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2549C4" w:rsidRDefault="00935AD2" w:rsidP="00935AD2">
            <w:pPr>
              <w:rPr>
                <w:rFonts w:ascii="Arial" w:hAnsi="Arial" w:cs="Arial"/>
                <w:sz w:val="20"/>
                <w:highlight w:val="yellow"/>
              </w:rPr>
            </w:pPr>
            <w:r w:rsidRPr="002549C4">
              <w:rPr>
                <w:rFonts w:ascii="Arial" w:hAnsi="Arial" w:cs="Arial"/>
                <w:sz w:val="20"/>
                <w:highlight w:val="yellow"/>
              </w:rPr>
              <w:t>Re</w:t>
            </w:r>
            <w:r w:rsidR="002549C4" w:rsidRPr="002549C4">
              <w:rPr>
                <w:rFonts w:ascii="Arial" w:hAnsi="Arial" w:cs="Arial"/>
                <w:sz w:val="20"/>
                <w:highlight w:val="yellow"/>
              </w:rPr>
              <w:t>vise</w:t>
            </w:r>
          </w:p>
          <w:p w14:paraId="6D3CADD1" w14:textId="77777777" w:rsidR="002549C4" w:rsidRPr="002549C4" w:rsidRDefault="002549C4" w:rsidP="00935AD2">
            <w:pPr>
              <w:rPr>
                <w:rFonts w:ascii="Arial" w:hAnsi="Arial" w:cs="Arial"/>
                <w:sz w:val="20"/>
                <w:highlight w:val="yellow"/>
              </w:rPr>
            </w:pPr>
          </w:p>
          <w:p w14:paraId="314447B4" w14:textId="170B85E7" w:rsidR="002549C4" w:rsidRPr="002549C4" w:rsidRDefault="002549C4" w:rsidP="00935AD2">
            <w:pPr>
              <w:rPr>
                <w:rFonts w:ascii="Arial" w:hAnsi="Arial" w:cs="Arial"/>
                <w:sz w:val="20"/>
                <w:highlight w:val="yellow"/>
              </w:rPr>
            </w:pPr>
            <w:r w:rsidRPr="002549C4">
              <w:rPr>
                <w:rFonts w:ascii="Arial" w:hAnsi="Arial" w:cs="Arial"/>
                <w:sz w:val="20"/>
                <w:highlight w:val="yellow"/>
              </w:rPr>
              <w:t>At 34.8 change “may” to “can”.</w:t>
            </w:r>
          </w:p>
          <w:p w14:paraId="6E4ECFF0" w14:textId="77777777" w:rsidR="00935AD2" w:rsidRPr="002549C4" w:rsidRDefault="00935AD2" w:rsidP="00935AD2">
            <w:pPr>
              <w:rPr>
                <w:rFonts w:ascii="Arial" w:hAnsi="Arial" w:cs="Arial"/>
                <w:sz w:val="20"/>
                <w:highlight w:val="yellow"/>
              </w:rPr>
            </w:pPr>
          </w:p>
          <w:p w14:paraId="3FCE074A" w14:textId="77777777" w:rsidR="00935AD2" w:rsidRPr="002549C4" w:rsidRDefault="002549C4" w:rsidP="00935AD2">
            <w:pPr>
              <w:rPr>
                <w:rFonts w:ascii="Arial" w:hAnsi="Arial" w:cs="Arial"/>
                <w:sz w:val="20"/>
                <w:highlight w:val="yellow"/>
              </w:rPr>
            </w:pPr>
            <w:r w:rsidRPr="002549C4">
              <w:rPr>
                <w:rFonts w:ascii="Arial" w:hAnsi="Arial" w:cs="Arial"/>
                <w:sz w:val="20"/>
                <w:highlight w:val="yellow"/>
              </w:rPr>
              <w:t xml:space="preserve">Change first sentence of next paragraph to "When a non-AP STA is randomly changing </w:t>
            </w:r>
            <w:proofErr w:type="spellStart"/>
            <w:r w:rsidRPr="002549C4">
              <w:rPr>
                <w:rFonts w:ascii="Arial" w:hAnsi="Arial" w:cs="Arial"/>
                <w:sz w:val="20"/>
                <w:highlight w:val="yellow"/>
              </w:rPr>
              <w:t>it's</w:t>
            </w:r>
            <w:proofErr w:type="spellEnd"/>
            <w:r w:rsidRPr="002549C4">
              <w:rPr>
                <w:rFonts w:ascii="Arial" w:hAnsi="Arial" w:cs="Arial"/>
                <w:sz w:val="20"/>
                <w:highlight w:val="yellow"/>
              </w:rPr>
              <w:t xml:space="preserve"> MAC address while not associated (see 4.5.4.10 (MAC privacy enhancements)) this presents a problem for the network in that it is unable to identify a non-AP STA that previously associated</w:t>
            </w:r>
            <w:r w:rsidRPr="002549C4">
              <w:rPr>
                <w:rFonts w:ascii="Arial" w:hAnsi="Arial" w:cs="Arial"/>
                <w:sz w:val="20"/>
                <w:highlight w:val="yellow"/>
              </w:rPr>
              <w:br/>
              <w:t>and is not able to apply cached information (“shared identity state”) from the previous association to the current</w:t>
            </w:r>
            <w:r w:rsidRPr="002549C4">
              <w:rPr>
                <w:rFonts w:ascii="Arial" w:hAnsi="Arial" w:cs="Arial"/>
                <w:sz w:val="20"/>
                <w:highlight w:val="yellow"/>
              </w:rPr>
              <w:br/>
              <w:t>association (see 12.2.10).”</w:t>
            </w:r>
          </w:p>
          <w:p w14:paraId="6A4CFDB3" w14:textId="77777777" w:rsidR="002549C4" w:rsidRPr="002549C4" w:rsidRDefault="002549C4" w:rsidP="00935AD2">
            <w:pPr>
              <w:rPr>
                <w:rFonts w:ascii="Arial" w:hAnsi="Arial" w:cs="Arial"/>
                <w:sz w:val="20"/>
                <w:highlight w:val="yellow"/>
              </w:rPr>
            </w:pPr>
          </w:p>
          <w:p w14:paraId="32BBC7E6" w14:textId="7B509256" w:rsidR="002549C4" w:rsidRPr="002549C4" w:rsidRDefault="002549C4" w:rsidP="00935AD2">
            <w:pPr>
              <w:rPr>
                <w:rFonts w:ascii="Arial" w:hAnsi="Arial" w:cs="Arial"/>
                <w:sz w:val="20"/>
                <w:highlight w:val="yellow"/>
              </w:rPr>
            </w:pPr>
            <w:r w:rsidRPr="002549C4">
              <w:rPr>
                <w:rFonts w:ascii="Arial" w:hAnsi="Arial" w:cs="Arial"/>
                <w:sz w:val="20"/>
                <w:highlight w:val="yellow"/>
              </w:rPr>
              <w:t>Note also look at CID 3073</w:t>
            </w: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t>
            </w:r>
            <w:proofErr w:type="gramStart"/>
            <w:r>
              <w:rPr>
                <w:rFonts w:ascii="Arial" w:hAnsi="Arial" w:cs="Arial"/>
                <w:sz w:val="20"/>
              </w:rPr>
              <w:t>will"</w:t>
            </w:r>
            <w:proofErr w:type="gramEnd"/>
          </w:p>
          <w:p w14:paraId="04796133" w14:textId="77777777" w:rsidR="00935AD2" w:rsidRDefault="00935AD2" w:rsidP="00935AD2">
            <w:pPr>
              <w:rPr>
                <w:rFonts w:ascii="Arial" w:hAnsi="Arial" w:cs="Arial"/>
                <w:sz w:val="20"/>
              </w:rPr>
            </w:pPr>
          </w:p>
        </w:tc>
        <w:tc>
          <w:tcPr>
            <w:tcW w:w="2360" w:type="dxa"/>
          </w:tcPr>
          <w:p w14:paraId="0B1CFEAE" w14:textId="77777777" w:rsidR="00935AD2" w:rsidRDefault="00935AD2" w:rsidP="00935AD2">
            <w:pPr>
              <w:rPr>
                <w:rFonts w:ascii="Arial" w:hAnsi="Arial" w:cs="Arial"/>
                <w:sz w:val="20"/>
              </w:rPr>
            </w:pPr>
            <w:r w:rsidRPr="002549C4">
              <w:rPr>
                <w:rFonts w:ascii="Arial" w:hAnsi="Arial" w:cs="Arial"/>
                <w:sz w:val="20"/>
                <w:highlight w:val="green"/>
              </w:rPr>
              <w:t>Reject</w:t>
            </w:r>
          </w:p>
          <w:p w14:paraId="72630843" w14:textId="55917734" w:rsidR="00935AD2" w:rsidRDefault="00935AD2" w:rsidP="00935AD2">
            <w:pPr>
              <w:rPr>
                <w:rFonts w:ascii="Arial" w:hAnsi="Arial" w:cs="Arial"/>
                <w:sz w:val="20"/>
              </w:rPr>
            </w:pPr>
            <w:r>
              <w:rPr>
                <w:rFonts w:ascii="Arial" w:hAnsi="Arial" w:cs="Arial"/>
                <w:sz w:val="20"/>
              </w:rPr>
              <w:t xml:space="preserve">It's not </w:t>
            </w:r>
            <w:proofErr w:type="spellStart"/>
            <w:r>
              <w:rPr>
                <w:rFonts w:ascii="Arial" w:hAnsi="Arial" w:cs="Arial"/>
                <w:sz w:val="20"/>
              </w:rPr>
              <w:t>compulsary</w:t>
            </w:r>
            <w:proofErr w:type="spellEnd"/>
            <w:r>
              <w:rPr>
                <w:rFonts w:ascii="Arial" w:hAnsi="Arial" w:cs="Arial"/>
                <w:sz w:val="20"/>
              </w:rPr>
              <w:t>.  It's optional.  Hence "</w:t>
            </w:r>
            <w:r w:rsidR="002549C4">
              <w:rPr>
                <w:rFonts w:ascii="Arial" w:hAnsi="Arial" w:cs="Arial"/>
                <w:sz w:val="20"/>
              </w:rPr>
              <w:t>m</w:t>
            </w:r>
            <w:r>
              <w:rPr>
                <w:rFonts w:ascii="Arial" w:hAnsi="Arial" w:cs="Arial"/>
                <w:sz w:val="20"/>
              </w:rPr>
              <w:t>ay" is correct.</w:t>
            </w: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specifies that it is used 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Reject</w:t>
            </w:r>
          </w:p>
          <w:p w14:paraId="70608460" w14:textId="77777777" w:rsidR="00E031FB" w:rsidRPr="006E0894" w:rsidRDefault="00E031FB" w:rsidP="0018068B">
            <w:pPr>
              <w:rPr>
                <w:rFonts w:ascii="Arial" w:hAnsi="Arial" w:cs="Arial"/>
                <w:sz w:val="20"/>
                <w:highlight w:val="yellow"/>
              </w:rPr>
            </w:pPr>
          </w:p>
          <w:p w14:paraId="41C35D39" w14:textId="619C6D3A"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The Mechanisms do not require dot11 </w:t>
            </w:r>
            <w:proofErr w:type="spellStart"/>
            <w:r w:rsidRPr="006E0894">
              <w:rPr>
                <w:rFonts w:ascii="Arial" w:hAnsi="Arial" w:cs="Arial"/>
                <w:sz w:val="20"/>
                <w:highlight w:val="yellow"/>
              </w:rPr>
              <w:t>PrivacyActivated</w:t>
            </w:r>
            <w:proofErr w:type="spellEnd"/>
            <w:r w:rsidRPr="006E0894">
              <w:rPr>
                <w:rFonts w:ascii="Arial" w:hAnsi="Arial" w:cs="Arial"/>
                <w:sz w:val="20"/>
                <w:highlight w:val="yellow"/>
              </w:rPr>
              <w:t xml:space="preserve">.  They have their own </w:t>
            </w:r>
            <w:proofErr w:type="gramStart"/>
            <w:r w:rsidRPr="006E0894">
              <w:rPr>
                <w:rFonts w:ascii="Arial" w:hAnsi="Arial" w:cs="Arial"/>
                <w:sz w:val="20"/>
                <w:highlight w:val="yellow"/>
              </w:rPr>
              <w:t>MIBs</w:t>
            </w:r>
            <w:proofErr w:type="gramEnd"/>
          </w:p>
          <w:p w14:paraId="7EDC2167" w14:textId="77777777" w:rsidR="00E031FB" w:rsidRPr="006E0894" w:rsidRDefault="00E031FB" w:rsidP="0018068B">
            <w:pPr>
              <w:rPr>
                <w:rFonts w:ascii="Arial" w:hAnsi="Arial" w:cs="Arial"/>
                <w:sz w:val="20"/>
                <w:highlight w:val="yellow"/>
              </w:rPr>
            </w:pPr>
          </w:p>
          <w:p w14:paraId="5DFA7A7B" w14:textId="491729C1"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Discussion required?  </w:t>
            </w:r>
          </w:p>
          <w:p w14:paraId="6D39A981" w14:textId="77777777" w:rsidR="00E031FB" w:rsidRPr="006E0894" w:rsidRDefault="00E031FB" w:rsidP="0018068B">
            <w:pPr>
              <w:rPr>
                <w:rFonts w:ascii="Arial" w:hAnsi="Arial" w:cs="Arial"/>
                <w:sz w:val="20"/>
                <w:highlight w:val="yellow"/>
              </w:rPr>
            </w:pPr>
          </w:p>
          <w:p w14:paraId="5828BE7C"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Not true?  Does this need dot11 PrivacyActivated?  Don't think so.</w:t>
            </w:r>
          </w:p>
          <w:p w14:paraId="05753510" w14:textId="77777777" w:rsidR="002549C4" w:rsidRPr="006E0894" w:rsidRDefault="002549C4" w:rsidP="0018068B">
            <w:pPr>
              <w:rPr>
                <w:rFonts w:ascii="Arial" w:hAnsi="Arial" w:cs="Arial"/>
                <w:sz w:val="20"/>
                <w:highlight w:val="yellow"/>
              </w:rPr>
            </w:pPr>
          </w:p>
          <w:p w14:paraId="076951F7" w14:textId="1C298652" w:rsidR="002549C4" w:rsidRPr="006E0894" w:rsidRDefault="002549C4" w:rsidP="0018068B">
            <w:pPr>
              <w:rPr>
                <w:rFonts w:ascii="Arial" w:hAnsi="Arial" w:cs="Arial"/>
                <w:szCs w:val="22"/>
              </w:rPr>
            </w:pPr>
            <w:r w:rsidRPr="006E0894">
              <w:rPr>
                <w:rFonts w:ascii="Arial" w:hAnsi="Arial" w:cs="Arial"/>
                <w:sz w:val="20"/>
                <w:highlight w:val="yellow"/>
              </w:rPr>
              <w:t>Note: Also look at CID 3097</w:t>
            </w:r>
          </w:p>
          <w:p w14:paraId="2E20885E" w14:textId="77777777" w:rsidR="00E031FB" w:rsidRDefault="00E031FB" w:rsidP="0018068B">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w:t>
            </w:r>
            <w:r>
              <w:rPr>
                <w:rFonts w:ascii="Arial" w:hAnsi="Arial" w:cs="Arial"/>
                <w:sz w:val="20"/>
              </w:rPr>
              <w:lastRenderedPageBreak/>
              <w:t>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lastRenderedPageBreak/>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w:t>
            </w:r>
            <w:proofErr w:type="gramStart"/>
            <w:r>
              <w:rPr>
                <w:rFonts w:ascii="Arial" w:hAnsi="Arial" w:cs="Arial"/>
                <w:sz w:val="20"/>
              </w:rPr>
              <w:t>may"</w:t>
            </w:r>
            <w:proofErr w:type="gramEnd"/>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58B6E45F" w14:textId="77777777" w:rsidR="00935AD2" w:rsidRPr="00DE7D18" w:rsidRDefault="006E0894" w:rsidP="00935AD2">
            <w:pPr>
              <w:rPr>
                <w:rFonts w:ascii="Arial" w:hAnsi="Arial" w:cs="Arial"/>
                <w:sz w:val="20"/>
                <w:highlight w:val="yellow"/>
              </w:rPr>
            </w:pPr>
            <w:r w:rsidRPr="00DE7D18">
              <w:rPr>
                <w:rFonts w:ascii="Arial" w:hAnsi="Arial" w:cs="Arial"/>
                <w:sz w:val="20"/>
                <w:highlight w:val="yellow"/>
              </w:rPr>
              <w:t>Reject</w:t>
            </w:r>
          </w:p>
          <w:p w14:paraId="60BBFB54" w14:textId="1C92BEB9" w:rsidR="006E0894" w:rsidRPr="00DE7D18" w:rsidRDefault="006E0894" w:rsidP="00935AD2">
            <w:pPr>
              <w:rPr>
                <w:rFonts w:ascii="Arial" w:hAnsi="Arial" w:cs="Arial"/>
                <w:sz w:val="20"/>
                <w:highlight w:val="yellow"/>
              </w:rPr>
            </w:pPr>
            <w:r w:rsidRPr="00DE7D18">
              <w:rPr>
                <w:rFonts w:ascii="Arial" w:hAnsi="Arial" w:cs="Arial"/>
                <w:sz w:val="20"/>
                <w:highlight w:val="yellow"/>
              </w:rPr>
              <w:t xml:space="preserve">This action is implied in the description of IRM in the 4w HS. </w:t>
            </w:r>
          </w:p>
          <w:p w14:paraId="3AF356D3" w14:textId="77777777" w:rsidR="006E0894" w:rsidRPr="00DE7D18" w:rsidRDefault="006E0894" w:rsidP="00935AD2">
            <w:pPr>
              <w:rPr>
                <w:rFonts w:ascii="Arial" w:hAnsi="Arial" w:cs="Arial"/>
                <w:sz w:val="20"/>
                <w:highlight w:val="yellow"/>
              </w:rPr>
            </w:pPr>
          </w:p>
          <w:p w14:paraId="2B5D2499" w14:textId="77777777" w:rsidR="006E0894" w:rsidRPr="00DE7D18" w:rsidRDefault="006E0894" w:rsidP="00935AD2">
            <w:pPr>
              <w:rPr>
                <w:rFonts w:ascii="Arial" w:hAnsi="Arial" w:cs="Arial"/>
                <w:sz w:val="20"/>
                <w:highlight w:val="yellow"/>
              </w:rPr>
            </w:pPr>
            <w:r w:rsidRPr="00DE7D18">
              <w:rPr>
                <w:rFonts w:ascii="Arial" w:hAnsi="Arial" w:cs="Arial"/>
                <w:sz w:val="20"/>
                <w:highlight w:val="yellow"/>
              </w:rPr>
              <w:t>OR</w:t>
            </w:r>
          </w:p>
          <w:p w14:paraId="0540BCDD" w14:textId="77777777" w:rsidR="00DE7D18" w:rsidRPr="00DE7D18" w:rsidRDefault="00DE7D18" w:rsidP="00935AD2">
            <w:pPr>
              <w:rPr>
                <w:rFonts w:ascii="Arial" w:hAnsi="Arial" w:cs="Arial"/>
                <w:sz w:val="20"/>
                <w:highlight w:val="yellow"/>
              </w:rPr>
            </w:pPr>
          </w:p>
          <w:p w14:paraId="7754C96C" w14:textId="3AF1310D" w:rsidR="00DE7D18" w:rsidRPr="00DE7D18" w:rsidRDefault="00DE7D18" w:rsidP="00935AD2">
            <w:pPr>
              <w:rPr>
                <w:rFonts w:ascii="Arial" w:hAnsi="Arial" w:cs="Arial"/>
                <w:sz w:val="20"/>
                <w:highlight w:val="yellow"/>
              </w:rPr>
            </w:pPr>
            <w:r w:rsidRPr="00DE7D18">
              <w:rPr>
                <w:rFonts w:ascii="Arial" w:hAnsi="Arial" w:cs="Arial"/>
                <w:sz w:val="20"/>
                <w:highlight w:val="yellow"/>
              </w:rPr>
              <w:t xml:space="preserve">Add FT 4w HS to all instances of 4W </w:t>
            </w:r>
            <w:proofErr w:type="gramStart"/>
            <w:r w:rsidRPr="00DE7D18">
              <w:rPr>
                <w:rFonts w:ascii="Arial" w:hAnsi="Arial" w:cs="Arial"/>
                <w:sz w:val="20"/>
                <w:highlight w:val="yellow"/>
              </w:rPr>
              <w:t>HS..</w:t>
            </w:r>
            <w:proofErr w:type="gramEnd"/>
          </w:p>
          <w:p w14:paraId="2A4ADF9F" w14:textId="77777777" w:rsidR="006E0894" w:rsidRPr="00DE7D18" w:rsidRDefault="006E0894" w:rsidP="00935AD2">
            <w:pPr>
              <w:rPr>
                <w:rFonts w:ascii="Arial" w:hAnsi="Arial" w:cs="Arial"/>
                <w:sz w:val="20"/>
                <w:highlight w:val="yellow"/>
              </w:rPr>
            </w:pPr>
          </w:p>
          <w:p w14:paraId="61527CC2" w14:textId="04C53519" w:rsidR="006E0894" w:rsidRPr="00DE7D18" w:rsidRDefault="00DE7D18" w:rsidP="00935AD2">
            <w:pPr>
              <w:rPr>
                <w:rFonts w:ascii="Arial" w:hAnsi="Arial" w:cs="Arial"/>
                <w:sz w:val="20"/>
                <w:highlight w:val="yellow"/>
              </w:rPr>
            </w:pPr>
            <w:r w:rsidRPr="00DE7D18">
              <w:rPr>
                <w:rFonts w:ascii="Arial" w:hAnsi="Arial" w:cs="Arial"/>
                <w:sz w:val="20"/>
                <w:highlight w:val="yellow"/>
              </w:rPr>
              <w:t>Submission required.</w:t>
            </w: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it may proceed with the assumption [discussed elsewhere]</w:t>
            </w:r>
            <w:r>
              <w:rPr>
                <w:rFonts w:ascii="Arial" w:hAnsi="Arial" w:cs="Arial"/>
                <w:sz w:val="20"/>
              </w:rPr>
              <w:br/>
            </w:r>
            <w:r>
              <w:rPr>
                <w:rFonts w:ascii="Arial" w:hAnsi="Arial" w:cs="Arial"/>
                <w:sz w:val="20"/>
              </w:rPr>
              <w:br/>
              <w:t>An AP may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that it may transmit …</w:t>
            </w:r>
            <w:r>
              <w:rPr>
                <w:rFonts w:ascii="Arial" w:hAnsi="Arial" w:cs="Arial"/>
                <w:sz w:val="20"/>
              </w:rPr>
              <w:br/>
            </w:r>
            <w:r>
              <w:rPr>
                <w:rFonts w:ascii="Arial" w:hAnsi="Arial" w:cs="Arial"/>
                <w:sz w:val="20"/>
              </w:rPr>
              <w:br/>
              <w:t xml:space="preserve">…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An AP may set an IRM status field to 1 indicating Not Recognized if the AP cannot unequivocally identify the non-AP STA shared identity state.</w:t>
            </w:r>
            <w:r>
              <w:rPr>
                <w:rFonts w:ascii="Arial" w:hAnsi="Arial" w:cs="Arial"/>
                <w:sz w:val="20"/>
              </w:rPr>
              <w:br/>
            </w:r>
            <w:r>
              <w:rPr>
                <w:rFonts w:ascii="Arial" w:hAnsi="Arial" w:cs="Arial"/>
                <w:sz w:val="20"/>
              </w:rPr>
              <w:lastRenderedPageBreak/>
              <w:br/>
              <w:t>… such that the AP may identify the non-AP STA</w:t>
            </w:r>
            <w:r>
              <w:rPr>
                <w:rFonts w:ascii="Arial" w:hAnsi="Arial" w:cs="Arial"/>
                <w:sz w:val="20"/>
              </w:rPr>
              <w:br/>
            </w:r>
            <w:r>
              <w:rPr>
                <w:rFonts w:ascii="Arial" w:hAnsi="Arial" w:cs="Arial"/>
                <w:sz w:val="20"/>
              </w:rPr>
              <w:br/>
              <w:t>… such that APs in that ESS may identify the non-AP STA</w:t>
            </w:r>
          </w:p>
          <w:p w14:paraId="56893724" w14:textId="77777777" w:rsidR="008B6EA5" w:rsidRDefault="008B6EA5" w:rsidP="008B6EA5">
            <w:pPr>
              <w:rPr>
                <w:rFonts w:ascii="Arial" w:hAnsi="Arial" w:cs="Arial"/>
                <w:sz w:val="20"/>
              </w:rPr>
            </w:pPr>
          </w:p>
        </w:tc>
        <w:tc>
          <w:tcPr>
            <w:tcW w:w="2360" w:type="dxa"/>
          </w:tcPr>
          <w:p w14:paraId="7DD264C3" w14:textId="77777777" w:rsidR="008B6EA5" w:rsidRDefault="008B6EA5" w:rsidP="008B6EA5">
            <w:pPr>
              <w:rPr>
                <w:rFonts w:ascii="Arial" w:hAnsi="Arial" w:cs="Arial"/>
                <w:sz w:val="20"/>
              </w:rPr>
            </w:pPr>
            <w:r>
              <w:rPr>
                <w:rFonts w:ascii="Arial" w:hAnsi="Arial" w:cs="Arial"/>
                <w:sz w:val="20"/>
              </w:rPr>
              <w:lastRenderedPageBreak/>
              <w:t>Reject</w:t>
            </w:r>
          </w:p>
          <w:p w14:paraId="0B7083E8" w14:textId="77777777" w:rsidR="008B6EA5" w:rsidRDefault="008B6EA5" w:rsidP="008B6EA5">
            <w:pPr>
              <w:rPr>
                <w:rFonts w:ascii="Arial" w:hAnsi="Arial" w:cs="Arial"/>
                <w:sz w:val="20"/>
              </w:rPr>
            </w:pPr>
          </w:p>
          <w:p w14:paraId="69154468" w14:textId="76810085" w:rsidR="008B6EA5" w:rsidRDefault="008B6EA5" w:rsidP="008B6EA5">
            <w:pPr>
              <w:rPr>
                <w:rFonts w:ascii="Arial" w:hAnsi="Arial" w:cs="Arial"/>
                <w:sz w:val="20"/>
              </w:rPr>
            </w:pPr>
            <w:r>
              <w:rPr>
                <w:rFonts w:ascii="Arial" w:hAnsi="Arial" w:cs="Arial"/>
                <w:sz w:val="20"/>
              </w:rPr>
              <w:t>The mechanism is optional.</w:t>
            </w: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 xml:space="preserve">Change "distribute IRMs throughout the ESS" to "distribute IRMs throughout the APs in the </w:t>
            </w:r>
            <w:proofErr w:type="gramStart"/>
            <w:r>
              <w:rPr>
                <w:rFonts w:ascii="Arial" w:hAnsi="Arial" w:cs="Arial"/>
                <w:sz w:val="20"/>
              </w:rPr>
              <w:t>ESS"</w:t>
            </w:r>
            <w:proofErr w:type="gramEnd"/>
          </w:p>
          <w:p w14:paraId="2A736CCC" w14:textId="77777777" w:rsidR="00E031FB" w:rsidRDefault="00E031FB" w:rsidP="0018068B">
            <w:pPr>
              <w:rPr>
                <w:rFonts w:ascii="Arial" w:hAnsi="Arial" w:cs="Arial"/>
                <w:sz w:val="20"/>
              </w:rPr>
            </w:pPr>
          </w:p>
        </w:tc>
        <w:tc>
          <w:tcPr>
            <w:tcW w:w="2360" w:type="dxa"/>
          </w:tcPr>
          <w:p w14:paraId="2921A8DA" w14:textId="77777777" w:rsidR="00E031FB" w:rsidRDefault="00E031FB" w:rsidP="0018068B">
            <w:pPr>
              <w:rPr>
                <w:rFonts w:ascii="Arial" w:hAnsi="Arial" w:cs="Arial"/>
                <w:sz w:val="20"/>
              </w:rPr>
            </w:pPr>
            <w:r>
              <w:rPr>
                <w:rFonts w:ascii="Arial" w:hAnsi="Arial" w:cs="Arial"/>
                <w:sz w:val="20"/>
              </w:rPr>
              <w:t>Accept</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 xml:space="preserve">Change "the next time it requests association to any AP in that same ESS" to "the next time it associates with an AP in that same </w:t>
            </w:r>
            <w:proofErr w:type="gramStart"/>
            <w:r>
              <w:rPr>
                <w:rFonts w:ascii="Arial" w:hAnsi="Arial" w:cs="Arial"/>
                <w:sz w:val="20"/>
              </w:rPr>
              <w:t>ESS"</w:t>
            </w:r>
            <w:proofErr w:type="gramEnd"/>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 xml:space="preserve">The paragraph "An IRM is a MAC address that </w:t>
            </w:r>
            <w:r>
              <w:rPr>
                <w:rFonts w:ascii="Arial" w:hAnsi="Arial" w:cs="Arial"/>
                <w:sz w:val="20"/>
              </w:rPr>
              <w:lastRenderedPageBreak/>
              <w:t>is constructed from the locally administered address space. A non-AP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lastRenderedPageBreak/>
              <w:t xml:space="preserve">If the IRM is defined precisely in the definition </w:t>
            </w:r>
            <w:r>
              <w:rPr>
                <w:rFonts w:ascii="Arial" w:hAnsi="Arial" w:cs="Arial"/>
                <w:sz w:val="20"/>
              </w:rPr>
              <w:lastRenderedPageBreak/>
              <w:t>section, then this sentence may be unnecessary. Alternatively, 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1829F3">
              <w:rPr>
                <w:rFonts w:ascii="Arial" w:hAnsi="Arial" w:cs="Arial"/>
                <w:sz w:val="18"/>
                <w:szCs w:val="18"/>
              </w:rPr>
              <w:lastRenderedPageBreak/>
              <w:t>Revised</w:t>
            </w:r>
          </w:p>
          <w:p w14:paraId="0DEDF416" w14:textId="15219D54" w:rsidR="001829F3" w:rsidRDefault="001829F3" w:rsidP="001829F3">
            <w:pPr>
              <w:rPr>
                <w:rFonts w:ascii="Arial" w:hAnsi="Arial" w:cs="Arial"/>
                <w:sz w:val="18"/>
                <w:szCs w:val="18"/>
              </w:rPr>
            </w:pPr>
            <w:r>
              <w:rPr>
                <w:rFonts w:ascii="Arial" w:hAnsi="Arial" w:cs="Arial"/>
                <w:sz w:val="18"/>
                <w:szCs w:val="18"/>
              </w:rPr>
              <w:lastRenderedPageBreak/>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77777777" w:rsidR="001829F3" w:rsidRDefault="001829F3" w:rsidP="001829F3">
            <w:pPr>
              <w:rPr>
                <w:rFonts w:ascii="Arial" w:hAnsi="Arial" w:cs="Arial"/>
                <w:sz w:val="20"/>
              </w:rPr>
            </w:pPr>
            <w:r>
              <w:rPr>
                <w:rFonts w:ascii="Arial" w:hAnsi="Arial" w:cs="Arial"/>
                <w:sz w:val="20"/>
              </w:rPr>
              <w:t xml:space="preserve">Change “for the first time to an ESS, the non-AP STA” to “, a non-AP STA without an IRM that it has previously provided to the ESS”. See also comments targeted to P38L24 and P38L28 for additional changes proposed to this </w:t>
            </w:r>
            <w:proofErr w:type="gramStart"/>
            <w:r>
              <w:rPr>
                <w:rFonts w:ascii="Arial" w:hAnsi="Arial" w:cs="Arial"/>
                <w:sz w:val="20"/>
              </w:rPr>
              <w:t>material..</w:t>
            </w:r>
            <w:proofErr w:type="gramEnd"/>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Pr>
                <w:rFonts w:ascii="Arial" w:hAnsi="Arial" w:cs="Arial"/>
                <w:sz w:val="20"/>
              </w:rPr>
              <w:t xml:space="preserve">Reject </w:t>
            </w:r>
          </w:p>
          <w:p w14:paraId="290F61F4" w14:textId="77777777" w:rsidR="001829F3" w:rsidRDefault="001829F3" w:rsidP="001829F3">
            <w:pPr>
              <w:rPr>
                <w:rFonts w:ascii="Arial" w:hAnsi="Arial" w:cs="Arial"/>
                <w:sz w:val="20"/>
              </w:rPr>
            </w:pPr>
            <w:r>
              <w:rPr>
                <w:rFonts w:ascii="Arial" w:hAnsi="Arial" w:cs="Arial"/>
                <w:sz w:val="20"/>
              </w:rPr>
              <w:t>The STA can use any MAC address, including its real one.</w:t>
            </w:r>
          </w:p>
          <w:p w14:paraId="0AB3BD3E" w14:textId="77777777" w:rsidR="001829F3" w:rsidRDefault="001829F3" w:rsidP="001829F3">
            <w:pPr>
              <w:autoSpaceDE w:val="0"/>
              <w:autoSpaceDN w:val="0"/>
              <w:adjustRightInd w:val="0"/>
              <w:rPr>
                <w:rFonts w:eastAsia="TimesNewRoman"/>
                <w:sz w:val="24"/>
                <w:szCs w:val="24"/>
                <w:lang w:val="en-US" w:eastAsia="ja-JP"/>
              </w:rPr>
            </w:pP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 xml:space="preserve">The sentence looks to be specific to PASN, but I don't think it is. Also, there are </w:t>
            </w:r>
            <w:r>
              <w:rPr>
                <w:rFonts w:ascii="Arial" w:hAnsi="Arial" w:cs="Arial"/>
                <w:sz w:val="20"/>
              </w:rPr>
              <w:lastRenderedPageBreak/>
              <w:t>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lastRenderedPageBreak/>
              <w:t xml:space="preserve">Change "When associating or authenticating using PASN for the first time to an ESS, the non-AP STA </w:t>
            </w:r>
            <w:r>
              <w:rPr>
                <w:rFonts w:ascii="Arial" w:hAnsi="Arial" w:cs="Arial"/>
                <w:sz w:val="20"/>
              </w:rPr>
              <w:lastRenderedPageBreak/>
              <w:t>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77777777" w:rsidR="001829F3" w:rsidRDefault="001829F3" w:rsidP="001829F3">
            <w:pPr>
              <w:rPr>
                <w:rFonts w:ascii="Arial" w:hAnsi="Arial" w:cs="Arial"/>
                <w:sz w:val="20"/>
              </w:rPr>
            </w:pPr>
            <w:r>
              <w:rPr>
                <w:rFonts w:ascii="Arial" w:hAnsi="Arial" w:cs="Arial"/>
                <w:sz w:val="20"/>
              </w:rPr>
              <w:lastRenderedPageBreak/>
              <w:t xml:space="preserve">Line in spreadsheet </w:t>
            </w:r>
            <w:proofErr w:type="gramStart"/>
            <w:r>
              <w:rPr>
                <w:rFonts w:ascii="Arial" w:hAnsi="Arial" w:cs="Arial"/>
                <w:sz w:val="20"/>
              </w:rPr>
              <w:t>is  wrong</w:t>
            </w:r>
            <w:proofErr w:type="gramEnd"/>
            <w:r>
              <w:rPr>
                <w:rFonts w:ascii="Arial" w:hAnsi="Arial" w:cs="Arial"/>
                <w:sz w:val="20"/>
              </w:rPr>
              <w:t xml:space="preserve">.  Correct line is Line 28.  </w:t>
            </w:r>
          </w:p>
          <w:p w14:paraId="4EAD670C" w14:textId="77777777" w:rsidR="001829F3" w:rsidRDefault="001829F3" w:rsidP="001829F3">
            <w:pPr>
              <w:rPr>
                <w:rFonts w:ascii="Arial" w:hAnsi="Arial" w:cs="Arial"/>
                <w:sz w:val="20"/>
              </w:rPr>
            </w:pPr>
            <w:r>
              <w:rPr>
                <w:rFonts w:ascii="Arial" w:hAnsi="Arial" w:cs="Arial"/>
                <w:sz w:val="20"/>
              </w:rPr>
              <w:lastRenderedPageBreak/>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Pr>
                <w:rFonts w:ascii="Arial" w:hAnsi="Arial" w:cs="Arial"/>
                <w:sz w:val="20"/>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77777777"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any 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3C97D6F" w14:textId="77777777" w:rsidR="001829F3" w:rsidRDefault="001829F3" w:rsidP="001829F3">
            <w:pPr>
              <w:rPr>
                <w:rFonts w:ascii="Arial" w:hAnsi="Arial" w:cs="Arial"/>
                <w:sz w:val="20"/>
              </w:rPr>
            </w:pPr>
            <w:r>
              <w:rPr>
                <w:rFonts w:ascii="Arial" w:hAnsi="Arial" w:cs="Arial"/>
                <w:sz w:val="20"/>
              </w:rPr>
              <w:t xml:space="preserve">Reject </w:t>
            </w:r>
          </w:p>
          <w:p w14:paraId="62E4F129" w14:textId="23DDDB6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 xml:space="preserve">The STA can use any MAC address, including its real one </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"The non-AP STA may then use that IRM as its TA the next time it requests association to any AP in that same ESS." 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t>Change the next sentence to "</w:t>
            </w:r>
            <w:r w:rsidRPr="007F1F52">
              <w:rPr>
                <w:rFonts w:eastAsia="TimesNewRoman"/>
                <w:sz w:val="24"/>
                <w:szCs w:val="24"/>
                <w:lang w:val="en-US" w:eastAsia="ja-JP"/>
              </w:rPr>
              <w:t xml:space="preserve">The non-AP STA may also use that IRM as its TA for any directed or broadcast probe frames, public Action frames, Authentication frames, and (Re)Association frames that it may transmit when it </w:t>
            </w:r>
            <w:r w:rsidRPr="007F1F52">
              <w:rPr>
                <w:rFonts w:eastAsia="TimesNewRoman"/>
                <w:sz w:val="24"/>
                <w:szCs w:val="24"/>
                <w:lang w:val="en-US" w:eastAsia="ja-JP"/>
              </w:rPr>
              <w:lastRenderedPageBreak/>
              <w:t>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4DEEC148" w14:textId="1E6185A6" w:rsidR="001829F3" w:rsidRDefault="001829F3" w:rsidP="001829F3">
            <w:pPr>
              <w:rPr>
                <w:rFonts w:ascii="Arial" w:hAnsi="Arial" w:cs="Arial"/>
                <w:sz w:val="20"/>
              </w:rPr>
            </w:pPr>
            <w:r>
              <w:rPr>
                <w:rFonts w:ascii="Arial" w:hAnsi="Arial" w:cs="Arial"/>
                <w:sz w:val="20"/>
              </w:rPr>
              <w:t>Revise (ref CID 3001)</w:t>
            </w:r>
          </w:p>
          <w:p w14:paraId="5B79D3BA" w14:textId="77777777" w:rsidR="001829F3" w:rsidRDefault="001829F3" w:rsidP="001829F3">
            <w:pPr>
              <w:rPr>
                <w:rFonts w:ascii="Arial" w:hAnsi="Arial" w:cs="Arial"/>
                <w:sz w:val="20"/>
              </w:rPr>
            </w:pP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1829F3" w14:paraId="4151F43A" w14:textId="77777777" w:rsidTr="00E031FB">
        <w:tc>
          <w:tcPr>
            <w:tcW w:w="757" w:type="dxa"/>
          </w:tcPr>
          <w:p w14:paraId="50EBDDCC"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3A8C97C"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7D463C83"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0A8C5CB6"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45CD73FB"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75E7310F"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 xml:space="preserve">Change "If a newly provided IRM" to "If a new </w:t>
            </w:r>
            <w:proofErr w:type="gramStart"/>
            <w:r>
              <w:rPr>
                <w:rFonts w:ascii="Arial" w:hAnsi="Arial" w:cs="Arial"/>
                <w:sz w:val="20"/>
              </w:rPr>
              <w:t>IRM"</w:t>
            </w:r>
            <w:proofErr w:type="gramEnd"/>
          </w:p>
          <w:p w14:paraId="7EAFEB88" w14:textId="77777777" w:rsidR="001829F3" w:rsidRDefault="001829F3" w:rsidP="001829F3">
            <w:pPr>
              <w:rPr>
                <w:rFonts w:ascii="Arial" w:hAnsi="Arial" w:cs="Arial"/>
                <w:sz w:val="20"/>
              </w:rPr>
            </w:pPr>
          </w:p>
        </w:tc>
        <w:tc>
          <w:tcPr>
            <w:tcW w:w="2360" w:type="dxa"/>
          </w:tcPr>
          <w:p w14:paraId="3DEBC7F4" w14:textId="77777777" w:rsidR="001829F3" w:rsidRDefault="001829F3" w:rsidP="001829F3">
            <w:pPr>
              <w:rPr>
                <w:rFonts w:ascii="Arial" w:hAnsi="Arial" w:cs="Arial"/>
                <w:sz w:val="20"/>
              </w:rPr>
            </w:pPr>
            <w:r>
              <w:rPr>
                <w:rFonts w:ascii="Arial" w:hAnsi="Arial" w:cs="Arial"/>
                <w:sz w:val="20"/>
              </w:rPr>
              <w:t>Reject</w:t>
            </w:r>
          </w:p>
          <w:p w14:paraId="1962A5BF" w14:textId="77777777" w:rsidR="001829F3" w:rsidRDefault="001829F3" w:rsidP="001829F3">
            <w:pPr>
              <w:rPr>
                <w:rFonts w:ascii="Arial" w:hAnsi="Arial" w:cs="Arial"/>
                <w:sz w:val="20"/>
              </w:rPr>
            </w:pPr>
          </w:p>
          <w:p w14:paraId="787D5C83" w14:textId="77777777" w:rsidR="001829F3" w:rsidRDefault="001829F3" w:rsidP="001829F3">
            <w:pPr>
              <w:rPr>
                <w:rFonts w:ascii="Arial" w:hAnsi="Arial" w:cs="Arial"/>
                <w:sz w:val="20"/>
              </w:rPr>
            </w:pPr>
            <w:r>
              <w:rPr>
                <w:rFonts w:ascii="Arial" w:hAnsi="Arial" w:cs="Arial"/>
                <w:sz w:val="20"/>
              </w:rPr>
              <w:t>This is deliberate as it happens after a STA provides the new IRM. IRMs are “</w:t>
            </w:r>
            <w:proofErr w:type="gramStart"/>
            <w:r>
              <w:rPr>
                <w:rFonts w:ascii="Arial" w:hAnsi="Arial" w:cs="Arial"/>
                <w:sz w:val="20"/>
              </w:rPr>
              <w:t>provided”</w:t>
            </w:r>
            <w:proofErr w:type="gramEnd"/>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lastRenderedPageBreak/>
              <w:t xml:space="preserve">Change "If a newly provided IRM is already in use within the ESS" to "If a newly provided IRM is </w:t>
            </w:r>
            <w:r>
              <w:rPr>
                <w:rFonts w:ascii="Arial" w:hAnsi="Arial" w:cs="Arial"/>
                <w:sz w:val="20"/>
              </w:rPr>
              <w:lastRenderedPageBreak/>
              <w:t xml:space="preserve">already in use by an AP of the </w:t>
            </w:r>
            <w:proofErr w:type="gramStart"/>
            <w:r>
              <w:rPr>
                <w:rFonts w:ascii="Arial" w:hAnsi="Arial" w:cs="Arial"/>
                <w:sz w:val="20"/>
              </w:rPr>
              <w:t>ESS"</w:t>
            </w:r>
            <w:proofErr w:type="gramEnd"/>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lastRenderedPageBreak/>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lastRenderedPageBreak/>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4D7AD4D6"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for active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 xml:space="preserve">Change "A non-AP STA that has provided an IRM to an ESS" to "A non-AP STA that has provided an IRM to an AP within the </w:t>
            </w:r>
            <w:proofErr w:type="gramStart"/>
            <w:r>
              <w:rPr>
                <w:rFonts w:ascii="Arial" w:hAnsi="Arial" w:cs="Arial"/>
                <w:sz w:val="20"/>
              </w:rPr>
              <w:t>ESS"</w:t>
            </w:r>
            <w:proofErr w:type="gramEnd"/>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w:t>
            </w:r>
            <w:proofErr w:type="gramStart"/>
            <w:r>
              <w:rPr>
                <w:rFonts w:ascii="Arial" w:hAnsi="Arial" w:cs="Arial"/>
                <w:sz w:val="20"/>
              </w:rPr>
              <w:t>ESS</w:t>
            </w:r>
            <w:proofErr w:type="gramEnd"/>
            <w:r>
              <w:rPr>
                <w:rFonts w:ascii="Arial" w:hAnsi="Arial" w:cs="Arial"/>
                <w:sz w:val="20"/>
              </w:rPr>
              <w:t>"</w:t>
            </w:r>
          </w:p>
          <w:p w14:paraId="21E76D77" w14:textId="77777777" w:rsidR="001829F3" w:rsidRDefault="001829F3" w:rsidP="001829F3">
            <w:pPr>
              <w:rPr>
                <w:rFonts w:ascii="Arial" w:hAnsi="Arial" w:cs="Arial"/>
                <w:sz w:val="20"/>
              </w:rPr>
            </w:pPr>
          </w:p>
        </w:tc>
      </w:tr>
    </w:tbl>
    <w:p w14:paraId="1FEEFB31" w14:textId="77777777" w:rsidR="00BA7B1C" w:rsidRDefault="00BA7B1C" w:rsidP="00C66198">
      <w:pPr>
        <w:autoSpaceDE w:val="0"/>
        <w:autoSpaceDN w:val="0"/>
        <w:adjustRightInd w:val="0"/>
        <w:rPr>
          <w:rFonts w:eastAsia="TimesNewRoman"/>
          <w:sz w:val="24"/>
          <w:szCs w:val="24"/>
          <w:lang w:val="en-US" w:eastAsia="ja-JP"/>
        </w:rPr>
      </w:pPr>
    </w:p>
    <w:sectPr w:rsidR="00BA7B1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18365" w14:textId="77777777" w:rsidR="002724E2" w:rsidRDefault="002724E2">
      <w:r>
        <w:separator/>
      </w:r>
    </w:p>
  </w:endnote>
  <w:endnote w:type="continuationSeparator" w:id="0">
    <w:p w14:paraId="2FF31EBC" w14:textId="77777777" w:rsidR="002724E2" w:rsidRDefault="0027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DF33" w14:textId="77777777" w:rsidR="002724E2" w:rsidRDefault="002724E2">
      <w:r>
        <w:separator/>
      </w:r>
    </w:p>
  </w:footnote>
  <w:footnote w:type="continuationSeparator" w:id="0">
    <w:p w14:paraId="420BE2D3" w14:textId="77777777" w:rsidR="002724E2" w:rsidRDefault="0027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177D5D57"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1829F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4E2"/>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76</TotalTime>
  <Pages>11</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2024-05-20T15:05:00Z</dcterms:created>
  <dcterms:modified xsi:type="dcterms:W3CDTF">2024-05-20T15:05:00Z</dcterms:modified>
</cp:coreProperties>
</file>