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F6AC515" w14:textId="4F2809D2" w:rsidR="00246461" w:rsidRPr="00246461" w:rsidRDefault="00246461" w:rsidP="00246461">
                      <w:pPr>
                        <w:jc w:val="both"/>
                        <w:rPr>
                          <w:lang w:val="en-US" w:eastAsia="zh-CN"/>
                        </w:rPr>
                      </w:pPr>
                      <w:r>
                        <w:rPr>
                          <w:lang w:val="en-US" w:eastAsia="zh-CN"/>
                        </w:rPr>
                        <w:t>R2. PASN ID added.</w:t>
                      </w:r>
                    </w:p>
                    <w:p w14:paraId="19740928" w14:textId="63960125" w:rsidR="00E755DE" w:rsidRDefault="00F06979">
                      <w:pPr>
                        <w:jc w:val="both"/>
                        <w:rPr>
                          <w:lang w:eastAsia="zh-CN"/>
                        </w:rPr>
                      </w:pPr>
                      <w:r>
                        <w:rPr>
                          <w:lang w:eastAsia="zh-CN"/>
                        </w:rPr>
                        <w:t>R3. Modified text and figures for PASN ID.</w:t>
                      </w:r>
                    </w:p>
                    <w:p w14:paraId="6A32AD5B" w14:textId="23EC73DF" w:rsidR="00A86B4F" w:rsidRDefault="00A86B4F">
                      <w:pPr>
                        <w:jc w:val="both"/>
                        <w:rPr>
                          <w:lang w:eastAsia="zh-CN"/>
                        </w:rPr>
                      </w:pPr>
                      <w:r>
                        <w:rPr>
                          <w:lang w:eastAsia="zh-CN"/>
                        </w:rPr>
                        <w:t>R4. Further modifications on the figures and text.</w:t>
                      </w: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719CB35C" w14:textId="77777777" w:rsidR="003554BC" w:rsidRDefault="003554BC" w:rsidP="00D964E3">
      <w:pPr>
        <w:rPr>
          <w:i/>
          <w:iCs/>
          <w:highlight w:val="yellow"/>
        </w:rPr>
      </w:pPr>
    </w:p>
    <w:p w14:paraId="17577D9B" w14:textId="55C7EB5A"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 xml:space="preserve">Examples of device ID and IRM </w:t>
      </w:r>
      <w:proofErr w:type="gramStart"/>
      <w:r w:rsidRPr="00FA708F">
        <w:rPr>
          <w:b/>
          <w:bCs/>
        </w:rPr>
        <w:t>usage</w:t>
      </w:r>
      <w:proofErr w:type="gramEnd"/>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5632B454"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w:t>
      </w:r>
      <w:proofErr w:type="gramStart"/>
      <w:r w:rsidR="005E5AE3">
        <w:rPr>
          <w:color w:val="auto"/>
          <w:sz w:val="22"/>
          <w:szCs w:val="22"/>
        </w:rPr>
        <w:t>4 way</w:t>
      </w:r>
      <w:proofErr w:type="gramEnd"/>
      <w:r w:rsidR="005E5AE3">
        <w:rPr>
          <w:color w:val="auto"/>
          <w:sz w:val="22"/>
          <w:szCs w:val="22"/>
        </w:rPr>
        <w:t xml:space="preserve">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includes a device ID KDE</w:t>
      </w:r>
      <w:r w:rsidR="00C30114">
        <w:rPr>
          <w:color w:val="auto"/>
          <w:sz w:val="22"/>
          <w:szCs w:val="22"/>
        </w:rPr>
        <w:t xml:space="preserve"> and PASN ID KDE</w:t>
      </w:r>
      <w:r w:rsidR="005E5AE3">
        <w:rPr>
          <w:color w:val="auto"/>
          <w:sz w:val="22"/>
          <w:szCs w:val="22"/>
        </w:rPr>
        <w:t xml:space="preserve"> and </w:t>
      </w:r>
      <w:r w:rsidR="00F20B52">
        <w:rPr>
          <w:color w:val="auto"/>
          <w:sz w:val="22"/>
          <w:szCs w:val="22"/>
        </w:rPr>
        <w:t>assigns a device ID (</w:t>
      </w:r>
      <w:proofErr w:type="spellStart"/>
      <w:r w:rsidR="00F20B52">
        <w:rPr>
          <w:color w:val="auto"/>
          <w:sz w:val="22"/>
          <w:szCs w:val="22"/>
        </w:rPr>
        <w:t>devID</w:t>
      </w:r>
      <w:proofErr w:type="spellEnd"/>
      <w:r w:rsidR="00F20B52">
        <w:rPr>
          <w:color w:val="auto"/>
          <w:sz w:val="22"/>
          <w:szCs w:val="22"/>
        </w:rPr>
        <w:t>)</w:t>
      </w:r>
      <w:r w:rsidR="00C30114">
        <w:rPr>
          <w:color w:val="auto"/>
          <w:sz w:val="22"/>
          <w:szCs w:val="22"/>
        </w:rPr>
        <w:t xml:space="preserve"> and a PASN </w:t>
      </w:r>
      <w:proofErr w:type="gramStart"/>
      <w:r w:rsidR="00C30114">
        <w:rPr>
          <w:color w:val="auto"/>
          <w:sz w:val="22"/>
          <w:szCs w:val="22"/>
        </w:rPr>
        <w:t>ID(</w:t>
      </w:r>
      <w:proofErr w:type="gramEnd"/>
      <w:r w:rsidR="00C30114">
        <w:rPr>
          <w:color w:val="auto"/>
          <w:sz w:val="22"/>
          <w:szCs w:val="22"/>
        </w:rPr>
        <w:t>pasnID1)</w:t>
      </w:r>
      <w:r w:rsidR="00F20B52">
        <w:rPr>
          <w:color w:val="auto"/>
          <w:sz w:val="22"/>
          <w:szCs w:val="22"/>
        </w:rPr>
        <w:t xml:space="preserve">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w:t>
      </w:r>
      <w:r w:rsidR="005E5AE3">
        <w:rPr>
          <w:color w:val="auto"/>
          <w:sz w:val="22"/>
          <w:szCs w:val="22"/>
        </w:rPr>
        <w:t xml:space="preserve"> </w:t>
      </w:r>
      <w:proofErr w:type="spellStart"/>
      <w:r w:rsidR="00F20B52">
        <w:rPr>
          <w:color w:val="auto"/>
          <w:sz w:val="22"/>
          <w:szCs w:val="22"/>
        </w:rPr>
        <w:t>devID</w:t>
      </w:r>
      <w:proofErr w:type="spellEnd"/>
      <w:r w:rsidR="00C30114">
        <w:rPr>
          <w:color w:val="auto"/>
          <w:sz w:val="22"/>
          <w:szCs w:val="22"/>
        </w:rPr>
        <w:t xml:space="preserve"> and pasnID1</w:t>
      </w:r>
      <w:r w:rsidR="00F20B52">
        <w:rPr>
          <w:color w:val="auto"/>
          <w:sz w:val="22"/>
          <w:szCs w:val="22"/>
        </w:rPr>
        <w:t>.</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2C317BF7"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w:t>
      </w:r>
      <w:proofErr w:type="spellStart"/>
      <w:r w:rsidR="00F20B52">
        <w:rPr>
          <w:color w:val="auto"/>
          <w:sz w:val="22"/>
          <w:szCs w:val="22"/>
        </w:rPr>
        <w:t>devID</w:t>
      </w:r>
      <w:proofErr w:type="spellEnd"/>
      <w:r w:rsidR="00F20B52">
        <w:rPr>
          <w:color w:val="auto"/>
          <w:sz w:val="22"/>
          <w:szCs w:val="22"/>
        </w:rPr>
        <w:t>)</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w:t>
      </w:r>
      <w:proofErr w:type="spellStart"/>
      <w:r>
        <w:rPr>
          <w:color w:val="auto"/>
          <w:sz w:val="22"/>
          <w:szCs w:val="22"/>
        </w:rPr>
        <w:t>devID</w:t>
      </w:r>
      <w:proofErr w:type="spellEnd"/>
      <w:r>
        <w:rPr>
          <w:color w:val="auto"/>
          <w:sz w:val="22"/>
          <w:szCs w:val="22"/>
        </w:rPr>
        <w:t xml:space="preserve">)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428DD50A"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w:t>
      </w:r>
      <w:r w:rsidR="00721B79">
        <w:rPr>
          <w:color w:val="auto"/>
          <w:sz w:val="22"/>
          <w:szCs w:val="22"/>
        </w:rPr>
        <w:t>does not</w:t>
      </w:r>
      <w:r>
        <w:rPr>
          <w:color w:val="auto"/>
          <w:sz w:val="22"/>
          <w:szCs w:val="22"/>
        </w:rPr>
        <w:t xml:space="preserve"> allocate a new device ID</w:t>
      </w:r>
      <w:r w:rsidR="00DA7882">
        <w:rPr>
          <w:color w:val="auto"/>
          <w:sz w:val="22"/>
          <w:szCs w:val="22"/>
        </w:rPr>
        <w:t xml:space="preserve"> </w:t>
      </w:r>
      <w:r>
        <w:rPr>
          <w:color w:val="auto"/>
          <w:sz w:val="22"/>
          <w:szCs w:val="22"/>
        </w:rPr>
        <w:t>in the device ID KDE sent in 4-way Handshake Message 3</w:t>
      </w:r>
      <w:r w:rsidR="00721B79">
        <w:rPr>
          <w:color w:val="auto"/>
          <w:sz w:val="22"/>
          <w:szCs w:val="22"/>
        </w:rPr>
        <w:t xml:space="preserve">, implying that the same device </w:t>
      </w:r>
      <w:proofErr w:type="gramStart"/>
      <w:r w:rsidR="00721B79">
        <w:rPr>
          <w:color w:val="auto"/>
          <w:sz w:val="22"/>
          <w:szCs w:val="22"/>
        </w:rPr>
        <w:t>ID(</w:t>
      </w:r>
      <w:proofErr w:type="spellStart"/>
      <w:proofErr w:type="gramEnd"/>
      <w:r w:rsidR="00721B79">
        <w:rPr>
          <w:color w:val="auto"/>
          <w:sz w:val="22"/>
          <w:szCs w:val="22"/>
        </w:rPr>
        <w:t>devID</w:t>
      </w:r>
      <w:proofErr w:type="spellEnd"/>
      <w:r w:rsidR="00721B79">
        <w:rPr>
          <w:color w:val="auto"/>
          <w:sz w:val="22"/>
          <w:szCs w:val="22"/>
        </w:rPr>
        <w:t>) will be used subsequently.</w:t>
      </w:r>
    </w:p>
    <w:p w14:paraId="6A689963" w14:textId="77777777" w:rsidR="0079599B" w:rsidRDefault="0079599B" w:rsidP="005060E1">
      <w:pPr>
        <w:pStyle w:val="Default"/>
        <w:jc w:val="both"/>
        <w:rPr>
          <w:color w:val="auto"/>
          <w:sz w:val="22"/>
          <w:szCs w:val="22"/>
        </w:rPr>
      </w:pPr>
    </w:p>
    <w:p w14:paraId="431C550E" w14:textId="41E86A50"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5753C0E7" wp14:editId="1CDC1398">
            <wp:extent cx="5943600" cy="6130925"/>
            <wp:effectExtent l="0" t="0" r="0" b="3175"/>
            <wp:docPr id="1656909024"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9024" name="Picture 1" descr="A black scree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130925"/>
                    </a:xfrm>
                    <a:prstGeom prst="rect">
                      <a:avLst/>
                    </a:prstGeom>
                    <a:noFill/>
                    <a:ln>
                      <a:noFill/>
                    </a:ln>
                  </pic:spPr>
                </pic:pic>
              </a:graphicData>
            </a:graphic>
          </wp:inline>
        </w:drawing>
      </w:r>
    </w:p>
    <w:p w14:paraId="2E5A904A" w14:textId="2A56D923" w:rsidR="00D65ADE" w:rsidRPr="00D65ADE" w:rsidRDefault="00D65ADE" w:rsidP="00D65ADE">
      <w:pPr>
        <w:rPr>
          <w:rFonts w:eastAsia="Times New Roman"/>
          <w:sz w:val="24"/>
          <w:szCs w:val="24"/>
          <w:lang w:val="en-DE" w:eastAsia="zh-CN"/>
        </w:rPr>
      </w:pP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w:t>
      </w:r>
      <w:proofErr w:type="gramStart"/>
      <w:r>
        <w:rPr>
          <w:color w:val="auto"/>
          <w:sz w:val="22"/>
          <w:szCs w:val="22"/>
        </w:rPr>
        <w:t xml:space="preserve">in </w:t>
      </w:r>
      <w:r w:rsidR="00DA7882">
        <w:rPr>
          <w:color w:val="auto"/>
          <w:sz w:val="22"/>
          <w:szCs w:val="22"/>
        </w:rPr>
        <w:t xml:space="preserve"> 4</w:t>
      </w:r>
      <w:proofErr w:type="gramEnd"/>
      <w:r w:rsidR="00DA7882">
        <w:rPr>
          <w:color w:val="auto"/>
          <w:sz w:val="22"/>
          <w:szCs w:val="22"/>
        </w:rPr>
        <w:t>-way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62294CEA"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proofErr w:type="gramStart"/>
      <w:r w:rsidR="004D56EA">
        <w:rPr>
          <w:color w:val="auto"/>
          <w:sz w:val="22"/>
          <w:szCs w:val="22"/>
        </w:rPr>
        <w:t xml:space="preserve">using  </w:t>
      </w:r>
      <w:r>
        <w:rPr>
          <w:color w:val="auto"/>
          <w:sz w:val="22"/>
          <w:szCs w:val="22"/>
        </w:rPr>
        <w:t>FILS</w:t>
      </w:r>
      <w:proofErr w:type="gramEnd"/>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w:t>
      </w:r>
      <w:r w:rsidR="00E673C7">
        <w:rPr>
          <w:color w:val="auto"/>
          <w:sz w:val="22"/>
          <w:szCs w:val="22"/>
        </w:rPr>
        <w:t xml:space="preserve">and PASN ID </w:t>
      </w:r>
      <w:proofErr w:type="spellStart"/>
      <w:r w:rsidR="00E673C7">
        <w:rPr>
          <w:color w:val="auto"/>
          <w:sz w:val="22"/>
          <w:szCs w:val="22"/>
        </w:rPr>
        <w:t>element</w:t>
      </w:r>
      <w:r w:rsidR="005C310B">
        <w:rPr>
          <w:color w:val="auto"/>
          <w:sz w:val="22"/>
          <w:szCs w:val="22"/>
        </w:rPr>
        <w:t>and</w:t>
      </w:r>
      <w:proofErr w:type="spellEnd"/>
      <w:r w:rsidR="005C310B">
        <w:rPr>
          <w:color w:val="auto"/>
          <w:sz w:val="22"/>
          <w:szCs w:val="22"/>
        </w:rPr>
        <w:t xml:space="preserve"> </w:t>
      </w:r>
      <w:r>
        <w:rPr>
          <w:color w:val="auto"/>
          <w:sz w:val="22"/>
          <w:szCs w:val="22"/>
        </w:rPr>
        <w:t>assigns a device ID (devID1)</w:t>
      </w:r>
      <w:r w:rsidR="00E673C7">
        <w:rPr>
          <w:color w:val="auto"/>
          <w:sz w:val="22"/>
          <w:szCs w:val="22"/>
        </w:rPr>
        <w:t xml:space="preserve"> and a PASN ID (pasnID1)</w:t>
      </w:r>
      <w:r>
        <w:rPr>
          <w:color w:val="auto"/>
          <w:sz w:val="22"/>
          <w:szCs w:val="22"/>
        </w:rPr>
        <w:t xml:space="preserve">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Non-AP STA, AP-1, and AP-2 store devID1</w:t>
      </w:r>
      <w:r w:rsidR="00E673C7">
        <w:rPr>
          <w:color w:val="auto"/>
          <w:sz w:val="22"/>
          <w:szCs w:val="22"/>
        </w:rPr>
        <w:t xml:space="preserve"> and pasnID1</w:t>
      </w:r>
      <w:r w:rsidR="000F127E">
        <w:rPr>
          <w:color w:val="auto"/>
          <w:sz w:val="22"/>
          <w:szCs w:val="22"/>
        </w:rPr>
        <w:t xml:space="preserve">.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3808E58E" w14:textId="7FDA7C7C" w:rsidR="005C310B" w:rsidRDefault="006169CC" w:rsidP="00906814">
      <w:pPr>
        <w:pStyle w:val="Default"/>
        <w:jc w:val="both"/>
        <w:rPr>
          <w:color w:val="auto"/>
          <w:sz w:val="22"/>
          <w:szCs w:val="22"/>
        </w:rPr>
      </w:pPr>
      <w:r>
        <w:rPr>
          <w:color w:val="auto"/>
          <w:sz w:val="22"/>
          <w:szCs w:val="22"/>
        </w:rPr>
        <w:t xml:space="preserve">In the </w:t>
      </w:r>
      <w:r w:rsidRPr="00906814">
        <w:rPr>
          <w:rFonts w:hint="eastAsia"/>
          <w:color w:val="auto"/>
          <w:sz w:val="22"/>
          <w:szCs w:val="22"/>
        </w:rPr>
        <w:t>F</w:t>
      </w:r>
      <w:r w:rsidRPr="00906814">
        <w:rPr>
          <w:color w:val="auto"/>
          <w:sz w:val="22"/>
          <w:szCs w:val="22"/>
        </w:rPr>
        <w:t>igure AX-</w:t>
      </w:r>
      <w:proofErr w:type="gramStart"/>
      <w:r>
        <w:rPr>
          <w:color w:val="auto"/>
          <w:sz w:val="22"/>
          <w:szCs w:val="22"/>
        </w:rPr>
        <w:t>2,  t</w:t>
      </w:r>
      <w:r w:rsidR="005C310B">
        <w:rPr>
          <w:color w:val="auto"/>
          <w:sz w:val="22"/>
          <w:szCs w:val="22"/>
        </w:rPr>
        <w:t>he</w:t>
      </w:r>
      <w:proofErr w:type="gramEnd"/>
      <w:r w:rsidR="005C310B">
        <w:rPr>
          <w:color w:val="auto"/>
          <w:sz w:val="22"/>
          <w:szCs w:val="22"/>
        </w:rPr>
        <w:t xml:space="preserve"> AP</w:t>
      </w:r>
      <w:r w:rsidR="000F127E">
        <w:rPr>
          <w:color w:val="auto"/>
          <w:sz w:val="22"/>
          <w:szCs w:val="22"/>
        </w:rPr>
        <w:t>-2</w:t>
      </w:r>
      <w:r w:rsidR="005C310B">
        <w:rPr>
          <w:color w:val="auto"/>
          <w:sz w:val="22"/>
          <w:szCs w:val="22"/>
        </w:rPr>
        <w:t xml:space="preserve"> </w:t>
      </w:r>
      <w:r>
        <w:rPr>
          <w:color w:val="auto"/>
          <w:sz w:val="22"/>
          <w:szCs w:val="22"/>
        </w:rPr>
        <w:t xml:space="preserve">optionally </w:t>
      </w:r>
      <w:r w:rsidR="00CB0606">
        <w:rPr>
          <w:color w:val="auto"/>
          <w:sz w:val="22"/>
          <w:szCs w:val="22"/>
        </w:rPr>
        <w:t>allocate</w:t>
      </w:r>
      <w:r>
        <w:rPr>
          <w:color w:val="auto"/>
          <w:sz w:val="22"/>
          <w:szCs w:val="22"/>
        </w:rPr>
        <w:t>s</w:t>
      </w:r>
      <w:r w:rsidR="005C310B">
        <w:rPr>
          <w:color w:val="auto"/>
          <w:sz w:val="22"/>
          <w:szCs w:val="22"/>
        </w:rPr>
        <w:t xml:space="preserve"> a new device ID</w:t>
      </w:r>
      <w:r w:rsidR="00DA7882">
        <w:rPr>
          <w:color w:val="auto"/>
          <w:sz w:val="22"/>
          <w:szCs w:val="22"/>
        </w:rPr>
        <w:t xml:space="preserve"> (devID2)</w:t>
      </w:r>
      <w:r>
        <w:rPr>
          <w:color w:val="auto"/>
          <w:sz w:val="22"/>
          <w:szCs w:val="22"/>
        </w:rPr>
        <w:t xml:space="preserve"> and a PASN ID (pasnID2)</w:t>
      </w:r>
      <w:r w:rsidR="005C310B">
        <w:rPr>
          <w:color w:val="auto"/>
          <w:sz w:val="22"/>
          <w:szCs w:val="22"/>
        </w:rPr>
        <w:t xml:space="preserve"> in the device ID element </w:t>
      </w:r>
      <w:r>
        <w:rPr>
          <w:color w:val="auto"/>
          <w:sz w:val="22"/>
          <w:szCs w:val="22"/>
        </w:rPr>
        <w:t xml:space="preserve">and in the PASN ID element </w:t>
      </w:r>
      <w:r w:rsidR="005C310B">
        <w:rPr>
          <w:color w:val="auto"/>
          <w:sz w:val="22"/>
          <w:szCs w:val="22"/>
        </w:rPr>
        <w:t>sent in the FILS Association</w:t>
      </w:r>
      <w:r>
        <w:rPr>
          <w:color w:val="auto"/>
          <w:sz w:val="22"/>
          <w:szCs w:val="22"/>
        </w:rPr>
        <w:t xml:space="preserve"> Response.</w:t>
      </w:r>
    </w:p>
    <w:p w14:paraId="253C2C30" w14:textId="77777777" w:rsidR="0037298F" w:rsidRPr="0037298F" w:rsidRDefault="0037298F" w:rsidP="00906814">
      <w:pPr>
        <w:pStyle w:val="Default"/>
        <w:jc w:val="both"/>
        <w:rPr>
          <w:color w:val="auto"/>
          <w:sz w:val="22"/>
          <w:szCs w:val="22"/>
        </w:rPr>
      </w:pPr>
    </w:p>
    <w:p w14:paraId="08CCFD88" w14:textId="22363833" w:rsidR="00D65ADE" w:rsidRPr="0083286D" w:rsidRDefault="00A31FB2" w:rsidP="0083286D">
      <w:pPr>
        <w:jc w:val="cente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55704E8D" wp14:editId="3D36DF40">
            <wp:extent cx="5943600" cy="4932045"/>
            <wp:effectExtent l="0" t="0" r="0" b="1905"/>
            <wp:docPr id="24169834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98342" name="Picture 2"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32045"/>
                    </a:xfrm>
                    <a:prstGeom prst="rect">
                      <a:avLst/>
                    </a:prstGeom>
                    <a:noFill/>
                    <a:ln>
                      <a:noFill/>
                    </a:ln>
                  </pic:spPr>
                </pic:pic>
              </a:graphicData>
            </a:graphic>
          </wp:inline>
        </w:drawing>
      </w:r>
    </w:p>
    <w:p w14:paraId="3CCB9E7C" w14:textId="6599FDE6" w:rsidR="000C7720" w:rsidRPr="000C7720" w:rsidRDefault="000C7720" w:rsidP="00D65ADE">
      <w:pPr>
        <w:jc w:val="center"/>
        <w:rPr>
          <w:rFonts w:eastAsia="Times New Roman"/>
          <w:sz w:val="24"/>
          <w:szCs w:val="24"/>
          <w:lang w:val="en-DE" w:eastAsia="zh-CN"/>
        </w:rPr>
      </w:pP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43300D0B" w:rsidR="002D410B" w:rsidRDefault="002D410B" w:rsidP="002D410B">
      <w:pPr>
        <w:jc w:val="both"/>
      </w:pPr>
      <w:r w:rsidRPr="008A350F">
        <w:t xml:space="preserve">Figure </w:t>
      </w:r>
      <w:r>
        <w:t>AX-3</w:t>
      </w:r>
      <w:r w:rsidRPr="008A350F">
        <w:t xml:space="preserve"> shows an example of a device ID </w:t>
      </w:r>
      <w:r w:rsidR="00C75E99">
        <w:t xml:space="preserve">and PASN ID </w:t>
      </w:r>
      <w:r w:rsidRPr="008A350F">
        <w:t>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w:t>
      </w:r>
      <w:r w:rsidR="00C75E99">
        <w:rPr>
          <w:szCs w:val="22"/>
        </w:rPr>
        <w:t xml:space="preserve"> </w:t>
      </w:r>
      <w:r>
        <w:rPr>
          <w:szCs w:val="22"/>
        </w:rPr>
        <w:t xml:space="preserve">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w:t>
      </w:r>
      <w:r w:rsidR="00C75E99">
        <w:t xml:space="preserve"> </w:t>
      </w:r>
      <w:r w:rsidRPr="008A350F">
        <w:t>in the RSNXE set to 1</w:t>
      </w:r>
      <w:r w:rsidR="001F6946">
        <w:t xml:space="preserve"> and </w:t>
      </w:r>
      <w:r w:rsidR="00B279DD">
        <w:t xml:space="preserve">without a </w:t>
      </w:r>
      <w:r w:rsidR="001F6946">
        <w:t>PASN</w:t>
      </w:r>
      <w:r w:rsidR="00B279DD">
        <w:t xml:space="preserve"> ID</w:t>
      </w:r>
      <w:r w:rsidRPr="008A350F">
        <w:t xml:space="preserve">. Upon receiving the </w:t>
      </w:r>
      <w:r w:rsidRPr="008A350F">
        <w:lastRenderedPageBreak/>
        <w:t>first PASN frame, AP1</w:t>
      </w:r>
      <w:r>
        <w:t xml:space="preserve"> </w:t>
      </w:r>
      <w:r>
        <w:rPr>
          <w:szCs w:val="22"/>
        </w:rPr>
        <w:t>indicates its activation of device ID</w:t>
      </w:r>
      <w:r w:rsidR="00C75E99">
        <w:rPr>
          <w:szCs w:val="22"/>
        </w:rPr>
        <w:t xml:space="preserve"> </w:t>
      </w:r>
      <w:r w:rsidR="00C85084">
        <w:t xml:space="preserve">by setting the </w:t>
      </w:r>
      <w:r w:rsidRPr="002D410B">
        <w:rPr>
          <w:szCs w:val="22"/>
        </w:rPr>
        <w:t>Device ID Active field</w:t>
      </w:r>
      <w:r w:rsidR="00C75E99">
        <w:rPr>
          <w:szCs w:val="22"/>
        </w:rPr>
        <w:t xml:space="preserve"> </w:t>
      </w:r>
      <w:r w:rsidR="00C75E99">
        <w:t>and PASN</w:t>
      </w:r>
      <w:r w:rsidR="00C75E99" w:rsidRPr="008A350F">
        <w:t xml:space="preserve"> ID Active</w:t>
      </w:r>
      <w:r w:rsidRPr="002D410B">
        <w:rPr>
          <w:szCs w:val="22"/>
        </w:rPr>
        <w:t xml:space="preserve"> in the RSNXE to 1</w:t>
      </w:r>
      <w:r w:rsidR="00C85084">
        <w:t>.  AP</w:t>
      </w:r>
      <w:r w:rsidR="00133A20">
        <w:t>-</w:t>
      </w:r>
      <w:r w:rsidR="00C85084">
        <w:t xml:space="preserve">1 </w:t>
      </w:r>
      <w:r w:rsidR="00E80B99">
        <w:t xml:space="preserve">then </w:t>
      </w:r>
      <w:r w:rsidRPr="008A350F">
        <w:t>assigns a device ID (</w:t>
      </w:r>
      <w:proofErr w:type="spellStart"/>
      <w:r w:rsidRPr="008A350F">
        <w:t>devID</w:t>
      </w:r>
      <w:proofErr w:type="spellEnd"/>
      <w:r w:rsidRPr="008A350F">
        <w:t>)</w:t>
      </w:r>
      <w:r w:rsidR="00C75E99">
        <w:t xml:space="preserve"> and a PASN ID (</w:t>
      </w:r>
      <w:r w:rsidR="00CB0606">
        <w:t>pasnID1</w:t>
      </w:r>
      <w:proofErr w:type="gramStart"/>
      <w:r w:rsidR="00C75E99">
        <w:t>), and</w:t>
      </w:r>
      <w:proofErr w:type="gramEnd"/>
      <w:r w:rsidRPr="008A350F">
        <w:t xml:space="preserve"> sends </w:t>
      </w:r>
      <w:r w:rsidR="00C75E99">
        <w:t>them</w:t>
      </w:r>
      <w:r w:rsidRPr="008A350F">
        <w:t xml:space="preserve">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C75E99">
        <w:t xml:space="preserve"> and in the PASN ID field in the PASN ID </w:t>
      </w:r>
      <w:proofErr w:type="spellStart"/>
      <w:r w:rsidR="00C75E99">
        <w:t>subelement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w:t>
      </w:r>
      <w:proofErr w:type="spellStart"/>
      <w:r w:rsidR="00C53E32">
        <w:rPr>
          <w:szCs w:val="22"/>
        </w:rPr>
        <w:t>devID</w:t>
      </w:r>
      <w:proofErr w:type="spellEnd"/>
      <w:r w:rsidR="00C75E99">
        <w:rPr>
          <w:szCs w:val="22"/>
        </w:rPr>
        <w:t xml:space="preserve"> and </w:t>
      </w:r>
      <w:r w:rsidR="00CB0606">
        <w:rPr>
          <w:szCs w:val="22"/>
        </w:rPr>
        <w:t>pasnID</w:t>
      </w:r>
      <w:r w:rsidR="00C75E99">
        <w:rPr>
          <w:szCs w:val="22"/>
        </w:rPr>
        <w:t>1</w:t>
      </w:r>
      <w:r w:rsidR="00C53E32">
        <w:rPr>
          <w:szCs w:val="22"/>
        </w:rPr>
        <w:t xml:space="preserve">.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 xml:space="preserve">previously assigned </w:t>
      </w:r>
      <w:r w:rsidR="00C75E99">
        <w:t>PASN</w:t>
      </w:r>
      <w:r w:rsidRPr="008A350F">
        <w:t xml:space="preserve"> ID (</w:t>
      </w:r>
      <w:r w:rsidR="00CB0606">
        <w:t>pasnID</w:t>
      </w:r>
      <w:r w:rsidR="00A31FB2">
        <w:t>1</w:t>
      </w:r>
      <w:r w:rsidRPr="008A350F">
        <w:t>) to AP</w:t>
      </w:r>
      <w:r w:rsidR="00133A20">
        <w:t>-</w:t>
      </w:r>
      <w:r w:rsidRPr="008A350F">
        <w:t>2</w:t>
      </w:r>
      <w:r w:rsidR="00E80B99">
        <w:t xml:space="preserve"> in</w:t>
      </w:r>
      <w:r w:rsidR="00450AF3">
        <w:t xml:space="preserve"> </w:t>
      </w:r>
      <w:r w:rsidR="00C85084">
        <w:t xml:space="preserve">the </w:t>
      </w:r>
      <w:r w:rsidR="00C75E99">
        <w:t>PASN</w:t>
      </w:r>
      <w:r w:rsidR="00450AF3">
        <w:t xml:space="preserve"> ID</w:t>
      </w:r>
      <w:r w:rsidR="00C85084">
        <w:t xml:space="preserve"> field</w:t>
      </w:r>
      <w:r w:rsidR="00450AF3">
        <w:t xml:space="preserve"> in</w:t>
      </w:r>
      <w:r w:rsidR="00E80B99">
        <w:t xml:space="preserve"> </w:t>
      </w:r>
      <w:r w:rsidR="00C85084">
        <w:t xml:space="preserve">an </w:t>
      </w:r>
      <w:r w:rsidR="00C75E99">
        <w:t>PASN</w:t>
      </w:r>
      <w:r w:rsidR="00E80B99">
        <w:t xml:space="preserv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w:t>
      </w:r>
      <w:r w:rsidR="00C75E99">
        <w:rPr>
          <w:szCs w:val="22"/>
        </w:rPr>
        <w:t>PASN</w:t>
      </w:r>
      <w:r w:rsidR="00C85084">
        <w:rPr>
          <w:szCs w:val="22"/>
        </w:rPr>
        <w:t xml:space="preserve"> ID (</w:t>
      </w:r>
      <w:r w:rsidR="00CB0606">
        <w:rPr>
          <w:szCs w:val="22"/>
        </w:rPr>
        <w:t>pasnID</w:t>
      </w:r>
      <w:r w:rsidR="00C85084">
        <w:rPr>
          <w:szCs w:val="22"/>
        </w:rPr>
        <w:t xml:space="preserve">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w:t>
      </w:r>
      <w:r w:rsidR="00C75E99">
        <w:t>PASN</w:t>
      </w:r>
      <w:r w:rsidRPr="008A350F">
        <w:t xml:space="preserve"> ID (</w:t>
      </w:r>
      <w:r w:rsidR="00CB0606">
        <w:t>pasnID</w:t>
      </w:r>
      <w:r w:rsidRPr="008A350F">
        <w:t>1) in first PASN frame,</w:t>
      </w:r>
      <w:r w:rsidR="00C53E32" w:rsidRPr="00C53E32">
        <w:t xml:space="preserve"> </w:t>
      </w:r>
      <w:r w:rsidR="00C53E32" w:rsidRPr="001C385A">
        <w:t>AP</w:t>
      </w:r>
      <w:r w:rsidR="00133A20">
        <w:t>-</w:t>
      </w:r>
      <w:r w:rsidR="00C53E32">
        <w:t>2</w:t>
      </w:r>
      <w:r w:rsidR="00C53E32" w:rsidRPr="001C385A">
        <w:t xml:space="preserve"> </w:t>
      </w:r>
      <w:r w:rsidR="00CB0606">
        <w:t>sends</w:t>
      </w:r>
      <w:r w:rsidR="00C85084">
        <w:t xml:space="preserve"> a </w:t>
      </w:r>
      <w:r w:rsidR="00C75E99">
        <w:t>PASN</w:t>
      </w:r>
      <w:r w:rsidR="00EB1C80">
        <w:t xml:space="preserv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w:t>
      </w:r>
      <w:r w:rsidR="00C75E99">
        <w:t>PASN</w:t>
      </w:r>
      <w:r w:rsidR="00C85084">
        <w:t xml:space="preserve"> ID status field set to 0, indicating that the </w:t>
      </w:r>
      <w:r w:rsidR="00C75E99">
        <w:t>PASN</w:t>
      </w:r>
      <w:r w:rsidR="00C85084">
        <w:t xml:space="preserve"> ID has been recognized.  </w:t>
      </w:r>
      <w:r w:rsidRPr="008A350F">
        <w:t>AP</w:t>
      </w:r>
      <w:r w:rsidR="00133A20">
        <w:t>-</w:t>
      </w:r>
      <w:r w:rsidRPr="008A350F">
        <w:t>2</w:t>
      </w:r>
      <w:r w:rsidR="00C53E32">
        <w:t xml:space="preserve"> </w:t>
      </w:r>
      <w:r w:rsidR="00C85084">
        <w:t xml:space="preserve">then </w:t>
      </w:r>
      <w:r w:rsidRPr="008A350F">
        <w:t>assign</w:t>
      </w:r>
      <w:r w:rsidR="00C85084">
        <w:t>s</w:t>
      </w:r>
      <w:r w:rsidRPr="008A350F">
        <w:t xml:space="preserve"> another </w:t>
      </w:r>
      <w:r w:rsidR="00C75E99">
        <w:t>PASN</w:t>
      </w:r>
      <w:r w:rsidRPr="008A350F">
        <w:t xml:space="preserve"> ID (</w:t>
      </w:r>
      <w:r w:rsidR="00CB0606">
        <w:t>pasnID</w:t>
      </w:r>
      <w:r w:rsidR="00A31FB2">
        <w:t>2</w:t>
      </w:r>
      <w:r w:rsidRPr="008A350F">
        <w:t>) and send</w:t>
      </w:r>
      <w:r w:rsidR="00C85084">
        <w:t>s</w:t>
      </w:r>
      <w:r w:rsidRPr="008A350F">
        <w:t xml:space="preserve"> it to the non-AP STA</w:t>
      </w:r>
      <w:r w:rsidR="00E80B99" w:rsidRPr="00E80B99">
        <w:t xml:space="preserve"> </w:t>
      </w:r>
      <w:r w:rsidR="00450AF3">
        <w:t xml:space="preserve">in </w:t>
      </w:r>
      <w:r w:rsidR="00576B22">
        <w:t xml:space="preserve">the </w:t>
      </w:r>
      <w:r w:rsidR="00C75E99">
        <w:t>PASN</w:t>
      </w:r>
      <w:r w:rsidR="00450AF3">
        <w:t xml:space="preserve"> ID </w:t>
      </w:r>
      <w:r w:rsidR="00576B22">
        <w:t xml:space="preserve">field </w:t>
      </w:r>
      <w:r w:rsidR="00450AF3">
        <w:t>in</w:t>
      </w:r>
      <w:r w:rsidR="00EB1C80">
        <w:t xml:space="preserve"> </w:t>
      </w:r>
      <w:r w:rsidR="00C75E99">
        <w:t>the</w:t>
      </w:r>
      <w:r w:rsidR="00576B22">
        <w:t xml:space="preserve"> </w:t>
      </w:r>
      <w:r w:rsidR="00C75E99">
        <w:t>PASN</w:t>
      </w:r>
      <w:r w:rsidR="00EB1C80">
        <w:t xml:space="preserve"> ID </w:t>
      </w:r>
      <w:proofErr w:type="spellStart"/>
      <w:r w:rsidR="008A6265">
        <w:t>sub</w:t>
      </w:r>
      <w:r w:rsidR="00EB1C80">
        <w:t>element</w:t>
      </w:r>
      <w:proofErr w:type="spellEnd"/>
      <w:r w:rsidR="00EB1C80">
        <w:t xml:space="preserve"> </w:t>
      </w:r>
      <w:r w:rsidR="00E80B99">
        <w:t>in</w:t>
      </w:r>
      <w:r w:rsidR="00576B22">
        <w:t xml:space="preserve">cluded in </w:t>
      </w:r>
      <w:proofErr w:type="gramStart"/>
      <w:r w:rsidR="00576B22">
        <w:t xml:space="preserve">the </w:t>
      </w:r>
      <w:r w:rsidR="00E80B99">
        <w:t xml:space="preserve"> PASN</w:t>
      </w:r>
      <w:proofErr w:type="gramEnd"/>
      <w:r w:rsidR="00E80B99">
        <w:t xml:space="preserve">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 xml:space="preserve">1, it sends the previously assigned </w:t>
      </w:r>
      <w:r w:rsidR="00C75E99">
        <w:t>PASN</w:t>
      </w:r>
      <w:r w:rsidRPr="008A350F">
        <w:t xml:space="preserve"> ID (</w:t>
      </w:r>
      <w:r w:rsidR="00CB0606">
        <w:t>pasnID</w:t>
      </w:r>
      <w:r w:rsidR="00A31FB2">
        <w:t>2</w:t>
      </w:r>
      <w:r w:rsidRPr="008A350F">
        <w:t xml:space="preserve">) and is assigned another </w:t>
      </w:r>
      <w:r w:rsidR="00C75E99">
        <w:t>PASN</w:t>
      </w:r>
      <w:r w:rsidRPr="008A350F">
        <w:t xml:space="preserve"> ID (</w:t>
      </w:r>
      <w:r w:rsidR="00CB0606">
        <w:t>pasnID3</w:t>
      </w:r>
      <w:r w:rsidRPr="008A350F">
        <w:t>) that will be used in the subsequent PASN for another FTM session.</w:t>
      </w:r>
    </w:p>
    <w:p w14:paraId="4CDA7B4B" w14:textId="0A016469"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6EF52006" wp14:editId="36BCF4A0">
            <wp:extent cx="5943600" cy="7539355"/>
            <wp:effectExtent l="0" t="0" r="0" b="4445"/>
            <wp:docPr id="185463509"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3509" name="Picture 3"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39355"/>
                    </a:xfrm>
                    <a:prstGeom prst="rect">
                      <a:avLst/>
                    </a:prstGeom>
                    <a:noFill/>
                    <a:ln>
                      <a:noFill/>
                    </a:ln>
                  </pic:spPr>
                </pic:pic>
              </a:graphicData>
            </a:graphic>
          </wp:inline>
        </w:drawing>
      </w:r>
    </w:p>
    <w:p w14:paraId="498B9DBD" w14:textId="7D1F8133" w:rsidR="00CB0606" w:rsidRPr="00CB0606" w:rsidRDefault="00CB0606" w:rsidP="00A31FB2">
      <w:pPr>
        <w:jc w:val="center"/>
        <w:rPr>
          <w:rFonts w:eastAsia="Times New Roman"/>
          <w:sz w:val="24"/>
          <w:szCs w:val="24"/>
          <w:lang w:val="en-DE" w:eastAsia="zh-CN"/>
        </w:rPr>
      </w:pPr>
    </w:p>
    <w:p w14:paraId="5380FE66" w14:textId="77777777" w:rsidR="002D410B" w:rsidRDefault="002D410B" w:rsidP="005060E1">
      <w:pPr>
        <w:pStyle w:val="Default"/>
        <w:jc w:val="both"/>
        <w:rPr>
          <w:color w:val="auto"/>
          <w:sz w:val="22"/>
          <w:szCs w:val="22"/>
        </w:rPr>
      </w:pPr>
    </w:p>
    <w:p w14:paraId="059D437B" w14:textId="162CB390"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w:t>
      </w:r>
      <w:r w:rsidR="00C75E99">
        <w:rPr>
          <w:color w:val="auto"/>
          <w:sz w:val="22"/>
          <w:szCs w:val="22"/>
        </w:rPr>
        <w:t xml:space="preserve"> and PASN ID</w:t>
      </w:r>
      <w:r>
        <w:rPr>
          <w:color w:val="auto"/>
          <w:sz w:val="22"/>
          <w:szCs w:val="22"/>
        </w:rPr>
        <w:t xml:space="preserve">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4EC3F531" w:rsidR="00241044" w:rsidRDefault="000812B0" w:rsidP="00241044">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t xml:space="preserve">APs (AP-1 and AP-2 belonging to the same ESS) </w:t>
      </w:r>
      <w:r w:rsidR="00576B22">
        <w:rPr>
          <w:color w:val="auto"/>
          <w:sz w:val="22"/>
          <w:szCs w:val="22"/>
        </w:rPr>
        <w:t xml:space="preserve">using the </w:t>
      </w:r>
      <w:proofErr w:type="gramStart"/>
      <w:r w:rsidR="00576B22">
        <w:rPr>
          <w:color w:val="auto"/>
          <w:sz w:val="22"/>
          <w:szCs w:val="22"/>
        </w:rPr>
        <w:t>4 way</w:t>
      </w:r>
      <w:proofErr w:type="gramEnd"/>
      <w:r w:rsidR="00576B22">
        <w:rPr>
          <w:color w:val="auto"/>
          <w:sz w:val="22"/>
          <w:szCs w:val="22"/>
        </w:rPr>
        <w:t xml:space="preserve">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w:t>
      </w:r>
      <w:proofErr w:type="spellStart"/>
      <w:r>
        <w:rPr>
          <w:color w:val="auto"/>
          <w:sz w:val="22"/>
          <w:szCs w:val="22"/>
        </w:rPr>
        <w:t>advertis</w:t>
      </w:r>
      <w:proofErr w:type="spellEnd"/>
      <w:r>
        <w:rPr>
          <w:color w:val="auto"/>
          <w:sz w:val="22"/>
          <w:szCs w:val="22"/>
        </w:rPr>
        <w:t xml:space="preserve">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496CF194" w14:textId="77777777" w:rsidR="00A31FB2" w:rsidRDefault="00A31FB2" w:rsidP="000812B0">
      <w:pPr>
        <w:pStyle w:val="Default"/>
        <w:jc w:val="both"/>
        <w:rPr>
          <w:color w:val="auto"/>
          <w:sz w:val="22"/>
          <w:szCs w:val="22"/>
        </w:rPr>
      </w:pPr>
    </w:p>
    <w:p w14:paraId="2D512D8C" w14:textId="0C163AA9" w:rsidR="00A31FB2" w:rsidRPr="00A31FB2" w:rsidRDefault="00A31FB2" w:rsidP="00A31FB2">
      <w:pPr>
        <w:rPr>
          <w:rFonts w:eastAsia="Times New Roman"/>
          <w:sz w:val="24"/>
          <w:szCs w:val="24"/>
          <w:lang w:val="en-DE" w:eastAsia="zh-CN"/>
        </w:rPr>
      </w:pPr>
      <w:r w:rsidRPr="00A31FB2">
        <w:rPr>
          <w:rFonts w:eastAsia="Times New Roman"/>
          <w:noProof/>
          <w:sz w:val="24"/>
          <w:szCs w:val="24"/>
          <w:lang w:val="en-DE" w:eastAsia="zh-CN"/>
        </w:rPr>
        <w:lastRenderedPageBreak/>
        <w:drawing>
          <wp:inline distT="0" distB="0" distL="0" distR="0" wp14:anchorId="3E6E6CD0" wp14:editId="6609412D">
            <wp:extent cx="5943600" cy="6088380"/>
            <wp:effectExtent l="0" t="0" r="0" b="7620"/>
            <wp:docPr id="36719744" name="Picture 4"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9744" name="Picture 4" descr="A black screen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88380"/>
                    </a:xfrm>
                    <a:prstGeom prst="rect">
                      <a:avLst/>
                    </a:prstGeom>
                    <a:noFill/>
                    <a:ln>
                      <a:noFill/>
                    </a:ln>
                  </pic:spPr>
                </pic:pic>
              </a:graphicData>
            </a:graphic>
          </wp:inline>
        </w:drawing>
      </w:r>
    </w:p>
    <w:p w14:paraId="00DB3049" w14:textId="25713218" w:rsidR="000C7720" w:rsidRPr="000C7720" w:rsidRDefault="000C7720" w:rsidP="000C7720">
      <w:pPr>
        <w:rPr>
          <w:rFonts w:eastAsia="Times New Roman"/>
          <w:sz w:val="24"/>
          <w:szCs w:val="24"/>
          <w:lang w:val="en-DE" w:eastAsia="zh-CN"/>
        </w:rPr>
      </w:pP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w:t>
      </w:r>
      <w:proofErr w:type="gramStart"/>
      <w:r>
        <w:rPr>
          <w:color w:val="auto"/>
          <w:sz w:val="22"/>
          <w:szCs w:val="22"/>
        </w:rPr>
        <w:t xml:space="preserve">in </w:t>
      </w:r>
      <w:r w:rsidR="001F01C1">
        <w:rPr>
          <w:color w:val="auto"/>
          <w:sz w:val="22"/>
          <w:szCs w:val="22"/>
        </w:rPr>
        <w:t xml:space="preserve"> 4</w:t>
      </w:r>
      <w:proofErr w:type="gramEnd"/>
      <w:r w:rsidR="001F01C1">
        <w:rPr>
          <w:color w:val="auto"/>
          <w:sz w:val="22"/>
          <w:szCs w:val="22"/>
        </w:rPr>
        <w:t>-way Handshake</w:t>
      </w:r>
    </w:p>
    <w:p w14:paraId="613E39C7" w14:textId="77777777" w:rsidR="0079599B" w:rsidRDefault="0079599B" w:rsidP="002C1638"/>
    <w:p w14:paraId="2BA360BF" w14:textId="440C0EC8"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proofErr w:type="gramStart"/>
      <w:r w:rsidR="00317843">
        <w:rPr>
          <w:color w:val="auto"/>
          <w:sz w:val="22"/>
          <w:szCs w:val="22"/>
        </w:rPr>
        <w:t>using  FILS</w:t>
      </w:r>
      <w:proofErr w:type="gramEnd"/>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Pr>
          <w:color w:val="auto"/>
          <w:sz w:val="22"/>
          <w:szCs w:val="22"/>
        </w:rPr>
        <w:t xml:space="preserve"> </w:t>
      </w:r>
      <w:r w:rsidR="00317843">
        <w:rPr>
          <w:color w:val="auto"/>
          <w:sz w:val="22"/>
          <w:szCs w:val="22"/>
        </w:rPr>
        <w:t xml:space="preserve">i.e., the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024A4997"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w:t>
      </w:r>
      <w:r>
        <w:rPr>
          <w:color w:val="auto"/>
          <w:sz w:val="22"/>
          <w:szCs w:val="22"/>
        </w:rPr>
        <w:lastRenderedPageBreak/>
        <w:t>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160463">
        <w:rPr>
          <w:color w:val="auto"/>
          <w:sz w:val="22"/>
          <w:szCs w:val="22"/>
        </w:rPr>
        <w:t>also</w:t>
      </w:r>
      <w:r w:rsidR="00506C42">
        <w:rPr>
          <w:color w:val="auto"/>
          <w:sz w:val="22"/>
          <w:szCs w:val="22"/>
        </w:rPr>
        <w:t xml:space="preserve"> 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48F2093E" w:rsidR="000C7720" w:rsidRPr="00A31FB2" w:rsidRDefault="00A31FB2" w:rsidP="000C7720">
      <w:pP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4E65A845" wp14:editId="47BDDEEC">
            <wp:extent cx="5943600" cy="4907280"/>
            <wp:effectExtent l="0" t="0" r="0" b="7620"/>
            <wp:docPr id="2074984935" name="Picture 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84935" name="Picture 5"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0728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val="en-DE"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77777777"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The non-AP STA then continues 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proofErr w:type="spellStart"/>
      <w:r w:rsidR="00450AF3">
        <w:lastRenderedPageBreak/>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 xml:space="preserve">in </w:t>
      </w:r>
      <w:proofErr w:type="gramStart"/>
      <w:r w:rsidR="003E239D">
        <w:t xml:space="preserve">the </w:t>
      </w:r>
      <w:r w:rsidR="001C385A" w:rsidRPr="001C385A">
        <w:t xml:space="preserve"> </w:t>
      </w:r>
      <w:r w:rsidR="001C385A">
        <w:t>third</w:t>
      </w:r>
      <w:proofErr w:type="gramEnd"/>
      <w:r w:rsidR="001C385A">
        <w:t xml:space="preserve">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3C64241C" w14:textId="40880CEF" w:rsidR="00A31FB2" w:rsidRPr="00A31FB2" w:rsidRDefault="00A31FB2" w:rsidP="00A31FB2">
      <w:pPr>
        <w:jc w:val="center"/>
        <w:rPr>
          <w:rFonts w:eastAsia="Times New Roman"/>
          <w:sz w:val="24"/>
          <w:szCs w:val="24"/>
          <w:lang w:val="en-DE" w:eastAsia="zh-CN"/>
        </w:rPr>
      </w:pPr>
      <w:r w:rsidRPr="00A31FB2">
        <w:rPr>
          <w:rFonts w:eastAsia="Times New Roman"/>
          <w:noProof/>
          <w:sz w:val="24"/>
          <w:szCs w:val="24"/>
          <w:lang w:val="en-DE" w:eastAsia="zh-CN"/>
        </w:rPr>
        <w:drawing>
          <wp:inline distT="0" distB="0" distL="0" distR="0" wp14:anchorId="71E369F1" wp14:editId="44280028">
            <wp:extent cx="5943600" cy="7414895"/>
            <wp:effectExtent l="0" t="0" r="0" b="0"/>
            <wp:docPr id="608538395" name="Picture 6"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38395" name="Picture 6"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14895"/>
                    </a:xfrm>
                    <a:prstGeom prst="rect">
                      <a:avLst/>
                    </a:prstGeom>
                    <a:noFill/>
                    <a:ln>
                      <a:noFill/>
                    </a:ln>
                  </pic:spPr>
                </pic:pic>
              </a:graphicData>
            </a:graphic>
          </wp:inline>
        </w:drawing>
      </w: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lastRenderedPageBreak/>
        <w:t>AX.3 – Example of device ID and IRM usage</w:t>
      </w:r>
    </w:p>
    <w:p w14:paraId="1B08A739" w14:textId="77777777" w:rsidR="00160463" w:rsidRDefault="00160463" w:rsidP="00160463">
      <w:pPr>
        <w:pStyle w:val="Default"/>
        <w:jc w:val="both"/>
        <w:rPr>
          <w:color w:val="auto"/>
          <w:sz w:val="22"/>
          <w:szCs w:val="22"/>
        </w:rPr>
      </w:pPr>
    </w:p>
    <w:p w14:paraId="2D010F08" w14:textId="4C02568E"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 xml:space="preserve">shows an example of a </w:t>
      </w:r>
      <w:r w:rsidR="00DD281C">
        <w:t xml:space="preserve">simultaneous exchange of </w:t>
      </w:r>
      <w:r w:rsidR="00160463" w:rsidRPr="008A350F">
        <w:t xml:space="preserve">device ID </w:t>
      </w:r>
      <w:r w:rsidR="00FA708F">
        <w:rPr>
          <w:szCs w:val="22"/>
        </w:rPr>
        <w:t xml:space="preserve">and </w:t>
      </w:r>
      <w:r w:rsidR="00FA708F">
        <w:t>IRM</w:t>
      </w:r>
      <w:r w:rsidR="00FA708F" w:rsidRPr="008A350F">
        <w:t xml:space="preserve"> </w:t>
      </w:r>
      <w:r w:rsidR="00CB0606" w:rsidRPr="008A350F">
        <w:t>in</w:t>
      </w:r>
      <w:r w:rsidR="00CB0606">
        <w:t xml:space="preserve"> </w:t>
      </w:r>
      <w:r w:rsidR="00CB0606">
        <w:rPr>
          <w:color w:val="auto"/>
          <w:sz w:val="22"/>
          <w:szCs w:val="22"/>
        </w:rPr>
        <w:t>4-way Handshake</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 i.e., 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 xml:space="preserve">and </w:t>
      </w:r>
      <w:proofErr w:type="spellStart"/>
      <w:r w:rsidR="00FA708F">
        <w:rPr>
          <w:color w:val="auto"/>
          <w:sz w:val="22"/>
          <w:szCs w:val="22"/>
        </w:rPr>
        <w:t>and</w:t>
      </w:r>
      <w:proofErr w:type="spellEnd"/>
      <w:r w:rsidR="00FA708F">
        <w:rPr>
          <w:color w:val="auto"/>
          <w:sz w:val="22"/>
          <w:szCs w:val="22"/>
        </w:rPr>
        <w:t xml:space="preserve">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w:t>
      </w:r>
      <w:r w:rsidR="002D3B44">
        <w:rPr>
          <w:color w:val="auto"/>
          <w:sz w:val="22"/>
          <w:szCs w:val="22"/>
        </w:rPr>
        <w:t xml:space="preserve"> and PASN KDE</w:t>
      </w:r>
      <w:r w:rsidR="00FA708F">
        <w:rPr>
          <w:color w:val="auto"/>
          <w:sz w:val="22"/>
          <w:szCs w:val="22"/>
        </w:rPr>
        <w:t xml:space="preserve"> and assigns a device ID (</w:t>
      </w:r>
      <w:proofErr w:type="spellStart"/>
      <w:r w:rsidR="00FA708F">
        <w:rPr>
          <w:color w:val="auto"/>
          <w:sz w:val="22"/>
          <w:szCs w:val="22"/>
        </w:rPr>
        <w:t>devID</w:t>
      </w:r>
      <w:proofErr w:type="spellEnd"/>
      <w:r w:rsidR="00FA708F">
        <w:rPr>
          <w:color w:val="auto"/>
          <w:sz w:val="22"/>
          <w:szCs w:val="22"/>
        </w:rPr>
        <w:t xml:space="preserve">) </w:t>
      </w:r>
      <w:r w:rsidR="002D3B44">
        <w:rPr>
          <w:color w:val="auto"/>
          <w:sz w:val="22"/>
          <w:szCs w:val="22"/>
        </w:rPr>
        <w:t xml:space="preserve">and </w:t>
      </w:r>
      <w:proofErr w:type="spellStart"/>
      <w:r w:rsidR="002D3B44">
        <w:rPr>
          <w:color w:val="auto"/>
          <w:sz w:val="22"/>
          <w:szCs w:val="22"/>
        </w:rPr>
        <w:t>pasn</w:t>
      </w:r>
      <w:proofErr w:type="spellEnd"/>
      <w:r w:rsidR="002D3B44">
        <w:rPr>
          <w:color w:val="auto"/>
          <w:sz w:val="22"/>
          <w:szCs w:val="22"/>
        </w:rPr>
        <w:t xml:space="preserve"> ID (pasnID1) </w:t>
      </w:r>
      <w:r w:rsidR="00FA708F">
        <w:rPr>
          <w:color w:val="auto"/>
          <w:sz w:val="22"/>
          <w:szCs w:val="22"/>
        </w:rPr>
        <w:t>to the non-AP STA. In 4-way Handshake Message 4, the non-AP STA includes an IRM KDE</w:t>
      </w:r>
      <w:r w:rsidR="00FA708F" w:rsidDel="00241044">
        <w:rPr>
          <w:color w:val="auto"/>
          <w:sz w:val="22"/>
          <w:szCs w:val="22"/>
        </w:rPr>
        <w:t xml:space="preserve"> </w:t>
      </w:r>
      <w:r w:rsidR="00FA708F">
        <w:rPr>
          <w:color w:val="auto"/>
          <w:sz w:val="22"/>
          <w:szCs w:val="22"/>
        </w:rPr>
        <w:t xml:space="preserve">and provides an IRM (IRM1) to the AP-1. The non-AP STA, AP-1, and AP-2 store </w:t>
      </w:r>
      <w:proofErr w:type="spellStart"/>
      <w:r w:rsidR="00FA708F">
        <w:rPr>
          <w:color w:val="auto"/>
          <w:sz w:val="22"/>
          <w:szCs w:val="22"/>
        </w:rPr>
        <w:t>devID</w:t>
      </w:r>
      <w:proofErr w:type="spellEnd"/>
      <w:r w:rsidR="002D3B44">
        <w:rPr>
          <w:color w:val="auto"/>
          <w:sz w:val="22"/>
          <w:szCs w:val="22"/>
        </w:rPr>
        <w:t>, pasnID1,</w:t>
      </w:r>
      <w:r w:rsidR="00FA708F">
        <w:rPr>
          <w:color w:val="auto"/>
          <w:sz w:val="22"/>
          <w:szCs w:val="22"/>
        </w:rPr>
        <w:t xml:space="preserve"> and IRM1.  </w:t>
      </w:r>
    </w:p>
    <w:p w14:paraId="64E3EBE9" w14:textId="77777777" w:rsidR="002D3B44" w:rsidRDefault="002D3B44" w:rsidP="00FA708F">
      <w:pPr>
        <w:pStyle w:val="Default"/>
        <w:jc w:val="both"/>
        <w:rPr>
          <w:color w:val="auto"/>
          <w:sz w:val="22"/>
          <w:szCs w:val="22"/>
        </w:rPr>
      </w:pPr>
    </w:p>
    <w:p w14:paraId="66769603" w14:textId="57F4FB45" w:rsidR="002D3B44" w:rsidRDefault="002D3B44" w:rsidP="00FA708F">
      <w:pPr>
        <w:pStyle w:val="Default"/>
        <w:jc w:val="both"/>
        <w:rPr>
          <w:color w:val="auto"/>
          <w:sz w:val="22"/>
          <w:szCs w:val="22"/>
        </w:rPr>
      </w:pPr>
      <w:r>
        <w:rPr>
          <w:color w:val="auto"/>
          <w:sz w:val="22"/>
          <w:szCs w:val="22"/>
        </w:rPr>
        <w:t>Later the non-AP STA terminates the connection with the AP-1.</w:t>
      </w:r>
    </w:p>
    <w:p w14:paraId="5C44ACF9" w14:textId="77777777" w:rsidR="002D3B44" w:rsidRDefault="002D3B44" w:rsidP="00FA708F">
      <w:pPr>
        <w:pStyle w:val="Default"/>
        <w:jc w:val="both"/>
        <w:rPr>
          <w:color w:val="auto"/>
          <w:sz w:val="22"/>
          <w:szCs w:val="22"/>
        </w:rPr>
      </w:pPr>
    </w:p>
    <w:p w14:paraId="6920D002" w14:textId="48614CC6" w:rsidR="002D3B44" w:rsidRDefault="002D3B44" w:rsidP="00FA708F">
      <w:pPr>
        <w:pStyle w:val="Default"/>
        <w:jc w:val="both"/>
        <w:rPr>
          <w:color w:val="auto"/>
          <w:sz w:val="22"/>
          <w:szCs w:val="22"/>
        </w:rPr>
      </w:pPr>
      <w:r>
        <w:rPr>
          <w:color w:val="auto"/>
          <w:sz w:val="22"/>
          <w:szCs w:val="22"/>
        </w:rPr>
        <w:t>When non-AP STA returns to that same ESS, the non-AP STA uses IRM1 as its MAC address.  The AP-2 identifies the non-AP STA from the stored IRM1.  The AP-2 then sends an IRM KDE in 4-way Handshake Message 3 with the Status field set to 0 indicating that the IRM has been recognized.  The non-AP STA then provides another IRM (IRM2) to the AP-2 in an IRM KDE in 4-way Handshake Message 4. Also, the non-AP STA exchanges device ID (</w:t>
      </w:r>
      <w:proofErr w:type="spellStart"/>
      <w:r>
        <w:rPr>
          <w:color w:val="auto"/>
          <w:sz w:val="22"/>
          <w:szCs w:val="22"/>
        </w:rPr>
        <w:t>devID</w:t>
      </w:r>
      <w:proofErr w:type="spellEnd"/>
      <w:r>
        <w:rPr>
          <w:color w:val="auto"/>
          <w:sz w:val="22"/>
          <w:szCs w:val="22"/>
        </w:rPr>
        <w:t>) in 4-way Handshake Message 3 and 4.</w:t>
      </w:r>
    </w:p>
    <w:p w14:paraId="055CDCAF" w14:textId="77777777" w:rsidR="002D3B44" w:rsidRDefault="002D3B44" w:rsidP="00FA708F">
      <w:pPr>
        <w:pStyle w:val="Default"/>
        <w:jc w:val="both"/>
        <w:rPr>
          <w:color w:val="auto"/>
          <w:sz w:val="22"/>
          <w:szCs w:val="22"/>
        </w:rPr>
      </w:pPr>
    </w:p>
    <w:p w14:paraId="7DA686CE" w14:textId="38C4D755" w:rsidR="002D3B44" w:rsidRDefault="002D3B44" w:rsidP="00FA708F">
      <w:pPr>
        <w:pStyle w:val="Default"/>
        <w:jc w:val="both"/>
        <w:rPr>
          <w:color w:val="auto"/>
          <w:sz w:val="22"/>
          <w:szCs w:val="22"/>
        </w:rPr>
      </w:pPr>
      <w:r>
        <w:rPr>
          <w:color w:val="auto"/>
          <w:sz w:val="22"/>
          <w:szCs w:val="22"/>
        </w:rPr>
        <w:t>Later the non-AP STA terminates the connection with the AP-2.</w:t>
      </w:r>
    </w:p>
    <w:p w14:paraId="76F7272A" w14:textId="77777777" w:rsidR="00E572ED" w:rsidRDefault="00E572ED" w:rsidP="00FA708F">
      <w:pPr>
        <w:pStyle w:val="Default"/>
        <w:jc w:val="both"/>
        <w:rPr>
          <w:color w:val="auto"/>
          <w:sz w:val="22"/>
          <w:szCs w:val="22"/>
        </w:rPr>
      </w:pPr>
    </w:p>
    <w:p w14:paraId="27524666" w14:textId="1325AAB3" w:rsidR="00E572ED" w:rsidRDefault="00E572ED" w:rsidP="00E572ED">
      <w:pPr>
        <w:pStyle w:val="Default"/>
        <w:jc w:val="both"/>
        <w:rPr>
          <w:color w:val="auto"/>
          <w:sz w:val="22"/>
          <w:szCs w:val="22"/>
        </w:rPr>
      </w:pPr>
      <w:r>
        <w:rPr>
          <w:color w:val="auto"/>
          <w:sz w:val="22"/>
          <w:szCs w:val="22"/>
        </w:rPr>
        <w:t>When non-AP STA returns to that same ESS, the non-AP STA uses IRM2 as its MAC address.  The AP-2 identifies the non-AP STA from the stored IRM2.  The AP-2 then sends an IRM KDE in 4-way Handshake Message 3 with the Status field set to 0 indicating that the IRM has been recognized.  The non-AP STA then provides another IRM (IRM3) to the AP-2 in an IRM KDE in 4-way Handshake Message 4. Also, the non-AP STA exchanges device ID (</w:t>
      </w:r>
      <w:proofErr w:type="spellStart"/>
      <w:r>
        <w:rPr>
          <w:color w:val="auto"/>
          <w:sz w:val="22"/>
          <w:szCs w:val="22"/>
        </w:rPr>
        <w:t>devID</w:t>
      </w:r>
      <w:proofErr w:type="spellEnd"/>
      <w:r>
        <w:rPr>
          <w:color w:val="auto"/>
          <w:sz w:val="22"/>
          <w:szCs w:val="22"/>
        </w:rPr>
        <w:t>) in 4-way Handshake Message 3 and 4.</w:t>
      </w:r>
    </w:p>
    <w:p w14:paraId="4A7B01CC" w14:textId="77777777" w:rsidR="00FA708F" w:rsidRPr="00FA708F" w:rsidRDefault="00FA708F" w:rsidP="00160463">
      <w:pPr>
        <w:jc w:val="both"/>
        <w:rPr>
          <w:lang w:val="en-US"/>
        </w:rPr>
      </w:pPr>
    </w:p>
    <w:p w14:paraId="1CC3319B" w14:textId="77777777" w:rsidR="00FA708F" w:rsidRDefault="00FA708F" w:rsidP="00160463">
      <w:pPr>
        <w:jc w:val="both"/>
      </w:pPr>
    </w:p>
    <w:p w14:paraId="3721EF05" w14:textId="171464B5" w:rsidR="00E572ED" w:rsidRPr="00E572ED" w:rsidRDefault="00E572ED" w:rsidP="00E572ED">
      <w:pPr>
        <w:jc w:val="center"/>
        <w:rPr>
          <w:rFonts w:eastAsia="Times New Roman"/>
          <w:sz w:val="24"/>
          <w:szCs w:val="24"/>
          <w:lang w:val="en-DE" w:eastAsia="zh-CN"/>
        </w:rPr>
      </w:pPr>
      <w:r w:rsidRPr="00E572ED">
        <w:rPr>
          <w:rFonts w:eastAsia="Times New Roman"/>
          <w:noProof/>
          <w:sz w:val="24"/>
          <w:szCs w:val="24"/>
          <w:lang w:val="en-DE" w:eastAsia="zh-CN"/>
        </w:rPr>
        <w:lastRenderedPageBreak/>
        <w:drawing>
          <wp:inline distT="0" distB="0" distL="0" distR="0" wp14:anchorId="7A87645B" wp14:editId="2A233AB4">
            <wp:extent cx="5906135" cy="8686800"/>
            <wp:effectExtent l="0" t="0" r="0" b="0"/>
            <wp:docPr id="686685014" name="Picture 1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85014" name="Picture 11" descr="A black background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6135" cy="8686800"/>
                    </a:xfrm>
                    <a:prstGeom prst="rect">
                      <a:avLst/>
                    </a:prstGeom>
                    <a:noFill/>
                    <a:ln>
                      <a:noFill/>
                    </a:ln>
                  </pic:spPr>
                </pic:pic>
              </a:graphicData>
            </a:graphic>
          </wp:inline>
        </w:drawing>
      </w:r>
    </w:p>
    <w:p w14:paraId="76A58CDF" w14:textId="031384A3" w:rsidR="00E572ED" w:rsidRPr="00E572ED" w:rsidRDefault="00E572ED" w:rsidP="00E572ED">
      <w:pPr>
        <w:jc w:val="center"/>
        <w:rPr>
          <w:rFonts w:eastAsia="Times New Roman"/>
          <w:sz w:val="24"/>
          <w:szCs w:val="24"/>
          <w:lang w:val="en-DE" w:eastAsia="zh-CN"/>
        </w:rPr>
      </w:pPr>
    </w:p>
    <w:p w14:paraId="1EC3011A" w14:textId="7401977B" w:rsidR="00AC5D13" w:rsidRPr="00AC5D13" w:rsidRDefault="00AC5D13" w:rsidP="00AC5D13">
      <w:pPr>
        <w:rPr>
          <w:rFonts w:eastAsia="Times New Roman"/>
          <w:sz w:val="24"/>
          <w:szCs w:val="24"/>
          <w:lang w:val="en-DE" w:eastAsia="zh-CN"/>
        </w:rPr>
      </w:pPr>
    </w:p>
    <w:p w14:paraId="6FD624E3" w14:textId="32832A25" w:rsidR="00F430B3" w:rsidRPr="00F430B3" w:rsidRDefault="00F430B3" w:rsidP="00F430B3">
      <w:pPr>
        <w:rPr>
          <w:rFonts w:eastAsia="Times New Roman"/>
          <w:sz w:val="24"/>
          <w:szCs w:val="24"/>
          <w:lang w:val="en-DE" w:eastAsia="zh-CN"/>
        </w:rPr>
      </w:pPr>
    </w:p>
    <w:p w14:paraId="2C45D135" w14:textId="3B923B81" w:rsidR="00F430B3" w:rsidRDefault="00F430B3" w:rsidP="00F430B3">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7 – Example of device ID exchange and IRM exchange in </w:t>
      </w:r>
      <w:r w:rsidR="00CB0606">
        <w:rPr>
          <w:color w:val="auto"/>
          <w:sz w:val="22"/>
          <w:szCs w:val="22"/>
        </w:rPr>
        <w:t>4-way Handshake</w:t>
      </w:r>
    </w:p>
    <w:p w14:paraId="62DF5885" w14:textId="77777777" w:rsidR="00F430B3" w:rsidRPr="00F430B3" w:rsidRDefault="00F430B3" w:rsidP="00572680">
      <w:pPr>
        <w:rPr>
          <w:lang w:val="en-US"/>
        </w:rPr>
      </w:pPr>
    </w:p>
    <w:sectPr w:rsidR="00F430B3"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FB05" w14:textId="77777777" w:rsidR="00BE2787" w:rsidRDefault="00BE2787">
      <w:r>
        <w:separator/>
      </w:r>
    </w:p>
  </w:endnote>
  <w:endnote w:type="continuationSeparator" w:id="0">
    <w:p w14:paraId="5018509B" w14:textId="77777777" w:rsidR="00BE2787" w:rsidRDefault="00BE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8727" w14:textId="77777777" w:rsidR="00BE2787" w:rsidRDefault="00BE2787">
      <w:r>
        <w:separator/>
      </w:r>
    </w:p>
  </w:footnote>
  <w:footnote w:type="continuationSeparator" w:id="0">
    <w:p w14:paraId="127EC870" w14:textId="77777777" w:rsidR="00BE2787" w:rsidRDefault="00BE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2211991"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B279DD">
      <w:rPr>
        <w:color w:val="000000"/>
        <w:sz w:val="27"/>
        <w:szCs w:val="27"/>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37D5"/>
    <w:rsid w:val="000314EE"/>
    <w:rsid w:val="000340A9"/>
    <w:rsid w:val="0005727F"/>
    <w:rsid w:val="0006221B"/>
    <w:rsid w:val="000632CB"/>
    <w:rsid w:val="0007668D"/>
    <w:rsid w:val="00080666"/>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1F6946"/>
    <w:rsid w:val="00216EB3"/>
    <w:rsid w:val="00216FF0"/>
    <w:rsid w:val="00240FF2"/>
    <w:rsid w:val="00241044"/>
    <w:rsid w:val="00246461"/>
    <w:rsid w:val="00257D2C"/>
    <w:rsid w:val="00263667"/>
    <w:rsid w:val="00280BB2"/>
    <w:rsid w:val="00280F56"/>
    <w:rsid w:val="00285B17"/>
    <w:rsid w:val="0029020B"/>
    <w:rsid w:val="002C1638"/>
    <w:rsid w:val="002C7257"/>
    <w:rsid w:val="002D2A6D"/>
    <w:rsid w:val="002D3B44"/>
    <w:rsid w:val="002D410B"/>
    <w:rsid w:val="002D44BE"/>
    <w:rsid w:val="002E6F95"/>
    <w:rsid w:val="002F0294"/>
    <w:rsid w:val="00305585"/>
    <w:rsid w:val="00317843"/>
    <w:rsid w:val="00342989"/>
    <w:rsid w:val="00345F16"/>
    <w:rsid w:val="00351488"/>
    <w:rsid w:val="00353FF8"/>
    <w:rsid w:val="003554BC"/>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169CC"/>
    <w:rsid w:val="0062440B"/>
    <w:rsid w:val="00642416"/>
    <w:rsid w:val="00645614"/>
    <w:rsid w:val="00647236"/>
    <w:rsid w:val="006668C2"/>
    <w:rsid w:val="00680281"/>
    <w:rsid w:val="006C0727"/>
    <w:rsid w:val="006E145F"/>
    <w:rsid w:val="00705B4B"/>
    <w:rsid w:val="00714BDE"/>
    <w:rsid w:val="00721B79"/>
    <w:rsid w:val="00745DFA"/>
    <w:rsid w:val="0074797A"/>
    <w:rsid w:val="007554E1"/>
    <w:rsid w:val="00770572"/>
    <w:rsid w:val="00773924"/>
    <w:rsid w:val="0079599B"/>
    <w:rsid w:val="007A20CB"/>
    <w:rsid w:val="007A7FDF"/>
    <w:rsid w:val="007B7C26"/>
    <w:rsid w:val="007C4309"/>
    <w:rsid w:val="007D09A8"/>
    <w:rsid w:val="007D33C7"/>
    <w:rsid w:val="00807824"/>
    <w:rsid w:val="00820226"/>
    <w:rsid w:val="0083286D"/>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1FB2"/>
    <w:rsid w:val="00A35A05"/>
    <w:rsid w:val="00A4008F"/>
    <w:rsid w:val="00A438F6"/>
    <w:rsid w:val="00A47893"/>
    <w:rsid w:val="00A73526"/>
    <w:rsid w:val="00A83090"/>
    <w:rsid w:val="00A86B4F"/>
    <w:rsid w:val="00A87FBB"/>
    <w:rsid w:val="00AA427C"/>
    <w:rsid w:val="00AB32DD"/>
    <w:rsid w:val="00AB3B56"/>
    <w:rsid w:val="00AC5D13"/>
    <w:rsid w:val="00B15756"/>
    <w:rsid w:val="00B279DD"/>
    <w:rsid w:val="00B52730"/>
    <w:rsid w:val="00B621A8"/>
    <w:rsid w:val="00B770EC"/>
    <w:rsid w:val="00B779BF"/>
    <w:rsid w:val="00B958A9"/>
    <w:rsid w:val="00BA0619"/>
    <w:rsid w:val="00BC26A4"/>
    <w:rsid w:val="00BD08E4"/>
    <w:rsid w:val="00BD1826"/>
    <w:rsid w:val="00BE2787"/>
    <w:rsid w:val="00BE68C2"/>
    <w:rsid w:val="00C032F3"/>
    <w:rsid w:val="00C30114"/>
    <w:rsid w:val="00C528FA"/>
    <w:rsid w:val="00C52E4A"/>
    <w:rsid w:val="00C53E32"/>
    <w:rsid w:val="00C75E99"/>
    <w:rsid w:val="00C85084"/>
    <w:rsid w:val="00C86FCE"/>
    <w:rsid w:val="00C93C34"/>
    <w:rsid w:val="00C967A5"/>
    <w:rsid w:val="00CA09B2"/>
    <w:rsid w:val="00CA33D9"/>
    <w:rsid w:val="00CB0606"/>
    <w:rsid w:val="00CD0F95"/>
    <w:rsid w:val="00CE079D"/>
    <w:rsid w:val="00CE47F4"/>
    <w:rsid w:val="00CF0468"/>
    <w:rsid w:val="00CF6595"/>
    <w:rsid w:val="00D11FF1"/>
    <w:rsid w:val="00D1226E"/>
    <w:rsid w:val="00D20B40"/>
    <w:rsid w:val="00D30BAB"/>
    <w:rsid w:val="00D453AF"/>
    <w:rsid w:val="00D65ADE"/>
    <w:rsid w:val="00D7229C"/>
    <w:rsid w:val="00D770BF"/>
    <w:rsid w:val="00D83675"/>
    <w:rsid w:val="00D9425C"/>
    <w:rsid w:val="00D964E3"/>
    <w:rsid w:val="00DA7882"/>
    <w:rsid w:val="00DB6F78"/>
    <w:rsid w:val="00DC33E1"/>
    <w:rsid w:val="00DC5A7B"/>
    <w:rsid w:val="00DD281C"/>
    <w:rsid w:val="00DD67A4"/>
    <w:rsid w:val="00DE6AC6"/>
    <w:rsid w:val="00E069FB"/>
    <w:rsid w:val="00E15A94"/>
    <w:rsid w:val="00E25F12"/>
    <w:rsid w:val="00E4778D"/>
    <w:rsid w:val="00E572ED"/>
    <w:rsid w:val="00E673C7"/>
    <w:rsid w:val="00E72764"/>
    <w:rsid w:val="00E755DE"/>
    <w:rsid w:val="00E80B99"/>
    <w:rsid w:val="00E82A41"/>
    <w:rsid w:val="00E96983"/>
    <w:rsid w:val="00EB04AC"/>
    <w:rsid w:val="00EB1C80"/>
    <w:rsid w:val="00ED738C"/>
    <w:rsid w:val="00EE27A1"/>
    <w:rsid w:val="00F03D81"/>
    <w:rsid w:val="00F06979"/>
    <w:rsid w:val="00F1398E"/>
    <w:rsid w:val="00F20B52"/>
    <w:rsid w:val="00F248BD"/>
    <w:rsid w:val="00F24A03"/>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748">
      <w:bodyDiv w:val="1"/>
      <w:marLeft w:val="0"/>
      <w:marRight w:val="0"/>
      <w:marTop w:val="0"/>
      <w:marBottom w:val="0"/>
      <w:divBdr>
        <w:top w:val="none" w:sz="0" w:space="0" w:color="auto"/>
        <w:left w:val="none" w:sz="0" w:space="0" w:color="auto"/>
        <w:bottom w:val="none" w:sz="0" w:space="0" w:color="auto"/>
        <w:right w:val="none" w:sz="0" w:space="0" w:color="auto"/>
      </w:divBdr>
      <w:divsChild>
        <w:div w:id="1934970295">
          <w:marLeft w:val="0"/>
          <w:marRight w:val="0"/>
          <w:marTop w:val="0"/>
          <w:marBottom w:val="0"/>
          <w:divBdr>
            <w:top w:val="none" w:sz="0" w:space="0" w:color="auto"/>
            <w:left w:val="none" w:sz="0" w:space="0" w:color="auto"/>
            <w:bottom w:val="none" w:sz="0" w:space="0" w:color="auto"/>
            <w:right w:val="none" w:sz="0" w:space="0" w:color="auto"/>
          </w:divBdr>
        </w:div>
      </w:divsChild>
    </w:div>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84958024">
      <w:bodyDiv w:val="1"/>
      <w:marLeft w:val="0"/>
      <w:marRight w:val="0"/>
      <w:marTop w:val="0"/>
      <w:marBottom w:val="0"/>
      <w:divBdr>
        <w:top w:val="none" w:sz="0" w:space="0" w:color="auto"/>
        <w:left w:val="none" w:sz="0" w:space="0" w:color="auto"/>
        <w:bottom w:val="none" w:sz="0" w:space="0" w:color="auto"/>
        <w:right w:val="none" w:sz="0" w:space="0" w:color="auto"/>
      </w:divBdr>
      <w:divsChild>
        <w:div w:id="1611620772">
          <w:marLeft w:val="0"/>
          <w:marRight w:val="0"/>
          <w:marTop w:val="0"/>
          <w:marBottom w:val="0"/>
          <w:divBdr>
            <w:top w:val="none" w:sz="0" w:space="0" w:color="auto"/>
            <w:left w:val="none" w:sz="0" w:space="0" w:color="auto"/>
            <w:bottom w:val="none" w:sz="0" w:space="0" w:color="auto"/>
            <w:right w:val="none" w:sz="0" w:space="0" w:color="auto"/>
          </w:divBdr>
        </w:div>
      </w:divsChild>
    </w:div>
    <w:div w:id="96878601">
      <w:bodyDiv w:val="1"/>
      <w:marLeft w:val="0"/>
      <w:marRight w:val="0"/>
      <w:marTop w:val="0"/>
      <w:marBottom w:val="0"/>
      <w:divBdr>
        <w:top w:val="none" w:sz="0" w:space="0" w:color="auto"/>
        <w:left w:val="none" w:sz="0" w:space="0" w:color="auto"/>
        <w:bottom w:val="none" w:sz="0" w:space="0" w:color="auto"/>
        <w:right w:val="none" w:sz="0" w:space="0" w:color="auto"/>
      </w:divBdr>
      <w:divsChild>
        <w:div w:id="1853374035">
          <w:marLeft w:val="0"/>
          <w:marRight w:val="0"/>
          <w:marTop w:val="0"/>
          <w:marBottom w:val="0"/>
          <w:divBdr>
            <w:top w:val="none" w:sz="0" w:space="0" w:color="auto"/>
            <w:left w:val="none" w:sz="0" w:space="0" w:color="auto"/>
            <w:bottom w:val="none" w:sz="0" w:space="0" w:color="auto"/>
            <w:right w:val="none" w:sz="0" w:space="0" w:color="auto"/>
          </w:divBdr>
        </w:div>
      </w:divsChild>
    </w:div>
    <w:div w:id="162090729">
      <w:bodyDiv w:val="1"/>
      <w:marLeft w:val="0"/>
      <w:marRight w:val="0"/>
      <w:marTop w:val="0"/>
      <w:marBottom w:val="0"/>
      <w:divBdr>
        <w:top w:val="none" w:sz="0" w:space="0" w:color="auto"/>
        <w:left w:val="none" w:sz="0" w:space="0" w:color="auto"/>
        <w:bottom w:val="none" w:sz="0" w:space="0" w:color="auto"/>
        <w:right w:val="none" w:sz="0" w:space="0" w:color="auto"/>
      </w:divBdr>
      <w:divsChild>
        <w:div w:id="142701289">
          <w:marLeft w:val="0"/>
          <w:marRight w:val="0"/>
          <w:marTop w:val="0"/>
          <w:marBottom w:val="0"/>
          <w:divBdr>
            <w:top w:val="none" w:sz="0" w:space="0" w:color="auto"/>
            <w:left w:val="none" w:sz="0" w:space="0" w:color="auto"/>
            <w:bottom w:val="none" w:sz="0" w:space="0" w:color="auto"/>
            <w:right w:val="none" w:sz="0" w:space="0" w:color="auto"/>
          </w:divBdr>
        </w:div>
      </w:divsChild>
    </w:div>
    <w:div w:id="210845691">
      <w:bodyDiv w:val="1"/>
      <w:marLeft w:val="0"/>
      <w:marRight w:val="0"/>
      <w:marTop w:val="0"/>
      <w:marBottom w:val="0"/>
      <w:divBdr>
        <w:top w:val="none" w:sz="0" w:space="0" w:color="auto"/>
        <w:left w:val="none" w:sz="0" w:space="0" w:color="auto"/>
        <w:bottom w:val="none" w:sz="0" w:space="0" w:color="auto"/>
        <w:right w:val="none" w:sz="0" w:space="0" w:color="auto"/>
      </w:divBdr>
      <w:divsChild>
        <w:div w:id="1587419985">
          <w:marLeft w:val="0"/>
          <w:marRight w:val="0"/>
          <w:marTop w:val="0"/>
          <w:marBottom w:val="0"/>
          <w:divBdr>
            <w:top w:val="none" w:sz="0" w:space="0" w:color="auto"/>
            <w:left w:val="none" w:sz="0" w:space="0" w:color="auto"/>
            <w:bottom w:val="none" w:sz="0" w:space="0" w:color="auto"/>
            <w:right w:val="none" w:sz="0" w:space="0" w:color="auto"/>
          </w:divBdr>
        </w:div>
      </w:divsChild>
    </w:div>
    <w:div w:id="214466247">
      <w:bodyDiv w:val="1"/>
      <w:marLeft w:val="0"/>
      <w:marRight w:val="0"/>
      <w:marTop w:val="0"/>
      <w:marBottom w:val="0"/>
      <w:divBdr>
        <w:top w:val="none" w:sz="0" w:space="0" w:color="auto"/>
        <w:left w:val="none" w:sz="0" w:space="0" w:color="auto"/>
        <w:bottom w:val="none" w:sz="0" w:space="0" w:color="auto"/>
        <w:right w:val="none" w:sz="0" w:space="0" w:color="auto"/>
      </w:divBdr>
      <w:divsChild>
        <w:div w:id="1433431542">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75728813">
      <w:bodyDiv w:val="1"/>
      <w:marLeft w:val="0"/>
      <w:marRight w:val="0"/>
      <w:marTop w:val="0"/>
      <w:marBottom w:val="0"/>
      <w:divBdr>
        <w:top w:val="none" w:sz="0" w:space="0" w:color="auto"/>
        <w:left w:val="none" w:sz="0" w:space="0" w:color="auto"/>
        <w:bottom w:val="none" w:sz="0" w:space="0" w:color="auto"/>
        <w:right w:val="none" w:sz="0" w:space="0" w:color="auto"/>
      </w:divBdr>
      <w:divsChild>
        <w:div w:id="990602605">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557978424">
      <w:bodyDiv w:val="1"/>
      <w:marLeft w:val="0"/>
      <w:marRight w:val="0"/>
      <w:marTop w:val="0"/>
      <w:marBottom w:val="0"/>
      <w:divBdr>
        <w:top w:val="none" w:sz="0" w:space="0" w:color="auto"/>
        <w:left w:val="none" w:sz="0" w:space="0" w:color="auto"/>
        <w:bottom w:val="none" w:sz="0" w:space="0" w:color="auto"/>
        <w:right w:val="none" w:sz="0" w:space="0" w:color="auto"/>
      </w:divBdr>
      <w:divsChild>
        <w:div w:id="1074863864">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735713212">
      <w:bodyDiv w:val="1"/>
      <w:marLeft w:val="0"/>
      <w:marRight w:val="0"/>
      <w:marTop w:val="0"/>
      <w:marBottom w:val="0"/>
      <w:divBdr>
        <w:top w:val="none" w:sz="0" w:space="0" w:color="auto"/>
        <w:left w:val="none" w:sz="0" w:space="0" w:color="auto"/>
        <w:bottom w:val="none" w:sz="0" w:space="0" w:color="auto"/>
        <w:right w:val="none" w:sz="0" w:space="0" w:color="auto"/>
      </w:divBdr>
      <w:divsChild>
        <w:div w:id="306206861">
          <w:marLeft w:val="0"/>
          <w:marRight w:val="0"/>
          <w:marTop w:val="0"/>
          <w:marBottom w:val="0"/>
          <w:divBdr>
            <w:top w:val="none" w:sz="0" w:space="0" w:color="auto"/>
            <w:left w:val="none" w:sz="0" w:space="0" w:color="auto"/>
            <w:bottom w:val="none" w:sz="0" w:space="0" w:color="auto"/>
            <w:right w:val="none" w:sz="0" w:space="0" w:color="auto"/>
          </w:divBdr>
        </w:div>
      </w:divsChild>
    </w:div>
    <w:div w:id="870144611">
      <w:bodyDiv w:val="1"/>
      <w:marLeft w:val="0"/>
      <w:marRight w:val="0"/>
      <w:marTop w:val="0"/>
      <w:marBottom w:val="0"/>
      <w:divBdr>
        <w:top w:val="none" w:sz="0" w:space="0" w:color="auto"/>
        <w:left w:val="none" w:sz="0" w:space="0" w:color="auto"/>
        <w:bottom w:val="none" w:sz="0" w:space="0" w:color="auto"/>
        <w:right w:val="none" w:sz="0" w:space="0" w:color="auto"/>
      </w:divBdr>
      <w:divsChild>
        <w:div w:id="1029112023">
          <w:marLeft w:val="0"/>
          <w:marRight w:val="0"/>
          <w:marTop w:val="0"/>
          <w:marBottom w:val="0"/>
          <w:divBdr>
            <w:top w:val="none" w:sz="0" w:space="0" w:color="auto"/>
            <w:left w:val="none" w:sz="0" w:space="0" w:color="auto"/>
            <w:bottom w:val="none" w:sz="0" w:space="0" w:color="auto"/>
            <w:right w:val="none" w:sz="0" w:space="0" w:color="auto"/>
          </w:divBdr>
        </w:div>
      </w:divsChild>
    </w:div>
    <w:div w:id="940065175">
      <w:bodyDiv w:val="1"/>
      <w:marLeft w:val="0"/>
      <w:marRight w:val="0"/>
      <w:marTop w:val="0"/>
      <w:marBottom w:val="0"/>
      <w:divBdr>
        <w:top w:val="none" w:sz="0" w:space="0" w:color="auto"/>
        <w:left w:val="none" w:sz="0" w:space="0" w:color="auto"/>
        <w:bottom w:val="none" w:sz="0" w:space="0" w:color="auto"/>
        <w:right w:val="none" w:sz="0" w:space="0" w:color="auto"/>
      </w:divBdr>
      <w:divsChild>
        <w:div w:id="325405212">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166094645">
      <w:bodyDiv w:val="1"/>
      <w:marLeft w:val="0"/>
      <w:marRight w:val="0"/>
      <w:marTop w:val="0"/>
      <w:marBottom w:val="0"/>
      <w:divBdr>
        <w:top w:val="none" w:sz="0" w:space="0" w:color="auto"/>
        <w:left w:val="none" w:sz="0" w:space="0" w:color="auto"/>
        <w:bottom w:val="none" w:sz="0" w:space="0" w:color="auto"/>
        <w:right w:val="none" w:sz="0" w:space="0" w:color="auto"/>
      </w:divBdr>
      <w:divsChild>
        <w:div w:id="51048740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284770828">
      <w:bodyDiv w:val="1"/>
      <w:marLeft w:val="0"/>
      <w:marRight w:val="0"/>
      <w:marTop w:val="0"/>
      <w:marBottom w:val="0"/>
      <w:divBdr>
        <w:top w:val="none" w:sz="0" w:space="0" w:color="auto"/>
        <w:left w:val="none" w:sz="0" w:space="0" w:color="auto"/>
        <w:bottom w:val="none" w:sz="0" w:space="0" w:color="auto"/>
        <w:right w:val="none" w:sz="0" w:space="0" w:color="auto"/>
      </w:divBdr>
      <w:divsChild>
        <w:div w:id="555167099">
          <w:marLeft w:val="0"/>
          <w:marRight w:val="0"/>
          <w:marTop w:val="0"/>
          <w:marBottom w:val="0"/>
          <w:divBdr>
            <w:top w:val="none" w:sz="0" w:space="0" w:color="auto"/>
            <w:left w:val="none" w:sz="0" w:space="0" w:color="auto"/>
            <w:bottom w:val="none" w:sz="0" w:space="0" w:color="auto"/>
            <w:right w:val="none" w:sz="0" w:space="0" w:color="auto"/>
          </w:divBdr>
        </w:div>
      </w:divsChild>
    </w:div>
    <w:div w:id="1320160049">
      <w:bodyDiv w:val="1"/>
      <w:marLeft w:val="0"/>
      <w:marRight w:val="0"/>
      <w:marTop w:val="0"/>
      <w:marBottom w:val="0"/>
      <w:divBdr>
        <w:top w:val="none" w:sz="0" w:space="0" w:color="auto"/>
        <w:left w:val="none" w:sz="0" w:space="0" w:color="auto"/>
        <w:bottom w:val="none" w:sz="0" w:space="0" w:color="auto"/>
        <w:right w:val="none" w:sz="0" w:space="0" w:color="auto"/>
      </w:divBdr>
      <w:divsChild>
        <w:div w:id="668674089">
          <w:marLeft w:val="0"/>
          <w:marRight w:val="0"/>
          <w:marTop w:val="0"/>
          <w:marBottom w:val="0"/>
          <w:divBdr>
            <w:top w:val="none" w:sz="0" w:space="0" w:color="auto"/>
            <w:left w:val="none" w:sz="0" w:space="0" w:color="auto"/>
            <w:bottom w:val="none" w:sz="0" w:space="0" w:color="auto"/>
            <w:right w:val="none" w:sz="0" w:space="0" w:color="auto"/>
          </w:divBdr>
        </w:div>
      </w:divsChild>
    </w:div>
    <w:div w:id="1332564180">
      <w:bodyDiv w:val="1"/>
      <w:marLeft w:val="0"/>
      <w:marRight w:val="0"/>
      <w:marTop w:val="0"/>
      <w:marBottom w:val="0"/>
      <w:divBdr>
        <w:top w:val="none" w:sz="0" w:space="0" w:color="auto"/>
        <w:left w:val="none" w:sz="0" w:space="0" w:color="auto"/>
        <w:bottom w:val="none" w:sz="0" w:space="0" w:color="auto"/>
        <w:right w:val="none" w:sz="0" w:space="0" w:color="auto"/>
      </w:divBdr>
      <w:divsChild>
        <w:div w:id="923415741">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481657342">
      <w:bodyDiv w:val="1"/>
      <w:marLeft w:val="0"/>
      <w:marRight w:val="0"/>
      <w:marTop w:val="0"/>
      <w:marBottom w:val="0"/>
      <w:divBdr>
        <w:top w:val="none" w:sz="0" w:space="0" w:color="auto"/>
        <w:left w:val="none" w:sz="0" w:space="0" w:color="auto"/>
        <w:bottom w:val="none" w:sz="0" w:space="0" w:color="auto"/>
        <w:right w:val="none" w:sz="0" w:space="0" w:color="auto"/>
      </w:divBdr>
      <w:divsChild>
        <w:div w:id="476342892">
          <w:marLeft w:val="0"/>
          <w:marRight w:val="0"/>
          <w:marTop w:val="0"/>
          <w:marBottom w:val="0"/>
          <w:divBdr>
            <w:top w:val="none" w:sz="0" w:space="0" w:color="auto"/>
            <w:left w:val="none" w:sz="0" w:space="0" w:color="auto"/>
            <w:bottom w:val="none" w:sz="0" w:space="0" w:color="auto"/>
            <w:right w:val="none" w:sz="0" w:space="0" w:color="auto"/>
          </w:divBdr>
        </w:div>
      </w:divsChild>
    </w:div>
    <w:div w:id="1532185626">
      <w:bodyDiv w:val="1"/>
      <w:marLeft w:val="0"/>
      <w:marRight w:val="0"/>
      <w:marTop w:val="0"/>
      <w:marBottom w:val="0"/>
      <w:divBdr>
        <w:top w:val="none" w:sz="0" w:space="0" w:color="auto"/>
        <w:left w:val="none" w:sz="0" w:space="0" w:color="auto"/>
        <w:bottom w:val="none" w:sz="0" w:space="0" w:color="auto"/>
        <w:right w:val="none" w:sz="0" w:space="0" w:color="auto"/>
      </w:divBdr>
      <w:divsChild>
        <w:div w:id="2042392479">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70723028">
      <w:bodyDiv w:val="1"/>
      <w:marLeft w:val="0"/>
      <w:marRight w:val="0"/>
      <w:marTop w:val="0"/>
      <w:marBottom w:val="0"/>
      <w:divBdr>
        <w:top w:val="none" w:sz="0" w:space="0" w:color="auto"/>
        <w:left w:val="none" w:sz="0" w:space="0" w:color="auto"/>
        <w:bottom w:val="none" w:sz="0" w:space="0" w:color="auto"/>
        <w:right w:val="none" w:sz="0" w:space="0" w:color="auto"/>
      </w:divBdr>
      <w:divsChild>
        <w:div w:id="108121872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650550382">
      <w:bodyDiv w:val="1"/>
      <w:marLeft w:val="0"/>
      <w:marRight w:val="0"/>
      <w:marTop w:val="0"/>
      <w:marBottom w:val="0"/>
      <w:divBdr>
        <w:top w:val="none" w:sz="0" w:space="0" w:color="auto"/>
        <w:left w:val="none" w:sz="0" w:space="0" w:color="auto"/>
        <w:bottom w:val="none" w:sz="0" w:space="0" w:color="auto"/>
        <w:right w:val="none" w:sz="0" w:space="0" w:color="auto"/>
      </w:divBdr>
      <w:divsChild>
        <w:div w:id="1875387834">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64849660">
      <w:bodyDiv w:val="1"/>
      <w:marLeft w:val="0"/>
      <w:marRight w:val="0"/>
      <w:marTop w:val="0"/>
      <w:marBottom w:val="0"/>
      <w:divBdr>
        <w:top w:val="none" w:sz="0" w:space="0" w:color="auto"/>
        <w:left w:val="none" w:sz="0" w:space="0" w:color="auto"/>
        <w:bottom w:val="none" w:sz="0" w:space="0" w:color="auto"/>
        <w:right w:val="none" w:sz="0" w:space="0" w:color="auto"/>
      </w:divBdr>
      <w:divsChild>
        <w:div w:id="1317881654">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20811940">
      <w:bodyDiv w:val="1"/>
      <w:marLeft w:val="0"/>
      <w:marRight w:val="0"/>
      <w:marTop w:val="0"/>
      <w:marBottom w:val="0"/>
      <w:divBdr>
        <w:top w:val="none" w:sz="0" w:space="0" w:color="auto"/>
        <w:left w:val="none" w:sz="0" w:space="0" w:color="auto"/>
        <w:bottom w:val="none" w:sz="0" w:space="0" w:color="auto"/>
        <w:right w:val="none" w:sz="0" w:space="0" w:color="auto"/>
      </w:divBdr>
      <w:divsChild>
        <w:div w:id="1251087401">
          <w:marLeft w:val="0"/>
          <w:marRight w:val="0"/>
          <w:marTop w:val="0"/>
          <w:marBottom w:val="0"/>
          <w:divBdr>
            <w:top w:val="none" w:sz="0" w:space="0" w:color="auto"/>
            <w:left w:val="none" w:sz="0" w:space="0" w:color="auto"/>
            <w:bottom w:val="none" w:sz="0" w:space="0" w:color="auto"/>
            <w:right w:val="none" w:sz="0" w:space="0" w:color="auto"/>
          </w:divBdr>
        </w:div>
      </w:divsChild>
    </w:div>
    <w:div w:id="2065566820">
      <w:bodyDiv w:val="1"/>
      <w:marLeft w:val="0"/>
      <w:marRight w:val="0"/>
      <w:marTop w:val="0"/>
      <w:marBottom w:val="0"/>
      <w:divBdr>
        <w:top w:val="none" w:sz="0" w:space="0" w:color="auto"/>
        <w:left w:val="none" w:sz="0" w:space="0" w:color="auto"/>
        <w:bottom w:val="none" w:sz="0" w:space="0" w:color="auto"/>
        <w:right w:val="none" w:sz="0" w:space="0" w:color="auto"/>
      </w:divBdr>
      <w:divsChild>
        <w:div w:id="2044165042">
          <w:marLeft w:val="0"/>
          <w:marRight w:val="0"/>
          <w:marTop w:val="0"/>
          <w:marBottom w:val="0"/>
          <w:divBdr>
            <w:top w:val="none" w:sz="0" w:space="0" w:color="auto"/>
            <w:left w:val="none" w:sz="0" w:space="0" w:color="auto"/>
            <w:bottom w:val="none" w:sz="0" w:space="0" w:color="auto"/>
            <w:right w:val="none" w:sz="0" w:space="0" w:color="auto"/>
          </w:divBdr>
        </w:div>
      </w:divsChild>
    </w:div>
    <w:div w:id="2076469697">
      <w:bodyDiv w:val="1"/>
      <w:marLeft w:val="0"/>
      <w:marRight w:val="0"/>
      <w:marTop w:val="0"/>
      <w:marBottom w:val="0"/>
      <w:divBdr>
        <w:top w:val="none" w:sz="0" w:space="0" w:color="auto"/>
        <w:left w:val="none" w:sz="0" w:space="0" w:color="auto"/>
        <w:bottom w:val="none" w:sz="0" w:space="0" w:color="auto"/>
        <w:right w:val="none" w:sz="0" w:space="0" w:color="auto"/>
      </w:divBdr>
      <w:divsChild>
        <w:div w:id="41250804">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54</TotalTime>
  <Pages>15</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802.11-24/0898r3</vt:lpstr>
    </vt:vector>
  </TitlesOfParts>
  <Company>Some Company</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802.11-24/0898r4</dc:title>
  <dc:subject>DRAFT Liaison</dc:subject>
  <dc:creator>okan.mutgan@nokia-sbell.com</dc:creator>
  <cp:keywords>May 2024</cp:keywords>
  <dc:description>Okan Mutgan, Nokia</dc:description>
  <cp:lastModifiedBy>Okan Mutgan (Nokia)</cp:lastModifiedBy>
  <cp:revision>6</cp:revision>
  <cp:lastPrinted>1900-01-01T10:00:00Z</cp:lastPrinted>
  <dcterms:created xsi:type="dcterms:W3CDTF">2024-06-20T18:59:00Z</dcterms:created>
  <dcterms:modified xsi:type="dcterms:W3CDTF">2024-06-20T19:17:00Z</dcterms:modified>
</cp:coreProperties>
</file>