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19DD07EB" w:rsidR="00CA09B2" w:rsidRDefault="00216FF0">
            <w:pPr>
              <w:pStyle w:val="T2"/>
            </w:pPr>
            <w:r w:rsidRPr="00216FF0">
              <w:t>SA</w:t>
            </w:r>
            <w:r>
              <w:t xml:space="preserve"> </w:t>
            </w:r>
            <w:r w:rsidRPr="00216FF0">
              <w:t>CR</w:t>
            </w:r>
            <w:r>
              <w:t xml:space="preserve"> </w:t>
            </w:r>
            <w:r w:rsidRPr="00216FF0">
              <w:t>for</w:t>
            </w:r>
            <w:r>
              <w:t xml:space="preserve"> </w:t>
            </w:r>
            <w:r w:rsidRPr="00216FF0">
              <w:t>CID3131</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“IE” removed</w:t>
                            </w:r>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r>
                              <w:rPr>
                                <w:lang w:val="en-US" w:eastAsia="zh-CN"/>
                              </w:rPr>
                              <w:t>named</w:t>
                            </w:r>
                          </w:p>
                          <w:p w14:paraId="6A4AA7B8" w14:textId="392B25F1" w:rsidR="000C7720" w:rsidRDefault="000C7720" w:rsidP="000C7720">
                            <w:pPr>
                              <w:pStyle w:val="ListParagraph"/>
                              <w:numPr>
                                <w:ilvl w:val="0"/>
                                <w:numId w:val="6"/>
                              </w:numPr>
                              <w:jc w:val="both"/>
                              <w:rPr>
                                <w:lang w:val="en-US" w:eastAsia="zh-CN"/>
                              </w:rPr>
                            </w:pPr>
                            <w:r>
                              <w:rPr>
                                <w:lang w:val="en-US" w:eastAsia="zh-CN"/>
                              </w:rPr>
                              <w:t>Relevant text modified</w:t>
                            </w:r>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Informative text format added</w:t>
                            </w:r>
                          </w:p>
                          <w:p w14:paraId="59FA2ACF" w14:textId="300D6462" w:rsidR="00F03D81" w:rsidRDefault="00F03D81" w:rsidP="000C7720">
                            <w:pPr>
                              <w:pStyle w:val="ListParagraph"/>
                              <w:numPr>
                                <w:ilvl w:val="0"/>
                                <w:numId w:val="6"/>
                              </w:numPr>
                              <w:jc w:val="both"/>
                              <w:rPr>
                                <w:lang w:val="en-US" w:eastAsia="zh-CN"/>
                              </w:rPr>
                            </w:pPr>
                            <w:r>
                              <w:rPr>
                                <w:lang w:val="en-US" w:eastAsia="zh-CN"/>
                              </w:rPr>
                              <w:t>Device ID and IRM exchange together added</w:t>
                            </w:r>
                          </w:p>
                          <w:p w14:paraId="1F6AC515" w14:textId="4F2809D2" w:rsidR="00246461" w:rsidRPr="00246461" w:rsidRDefault="00246461" w:rsidP="00246461">
                            <w:pPr>
                              <w:jc w:val="both"/>
                              <w:rPr>
                                <w:lang w:val="en-US" w:eastAsia="zh-CN"/>
                              </w:rPr>
                            </w:pPr>
                            <w:r>
                              <w:rPr>
                                <w:lang w:val="en-US" w:eastAsia="zh-CN"/>
                              </w:rPr>
                              <w:t>R2. PASN ID added.</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“IE” removed</w:t>
                      </w:r>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r>
                        <w:rPr>
                          <w:lang w:val="en-US" w:eastAsia="zh-CN"/>
                        </w:rPr>
                        <w:t>named</w:t>
                      </w:r>
                    </w:p>
                    <w:p w14:paraId="6A4AA7B8" w14:textId="392B25F1" w:rsidR="000C7720" w:rsidRDefault="000C7720" w:rsidP="000C7720">
                      <w:pPr>
                        <w:pStyle w:val="ListParagraph"/>
                        <w:numPr>
                          <w:ilvl w:val="0"/>
                          <w:numId w:val="6"/>
                        </w:numPr>
                        <w:jc w:val="both"/>
                        <w:rPr>
                          <w:lang w:val="en-US" w:eastAsia="zh-CN"/>
                        </w:rPr>
                      </w:pPr>
                      <w:r>
                        <w:rPr>
                          <w:lang w:val="en-US" w:eastAsia="zh-CN"/>
                        </w:rPr>
                        <w:t>Relevant text modified</w:t>
                      </w:r>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Informative text format added</w:t>
                      </w:r>
                    </w:p>
                    <w:p w14:paraId="59FA2ACF" w14:textId="300D6462" w:rsidR="00F03D81" w:rsidRDefault="00F03D81" w:rsidP="000C7720">
                      <w:pPr>
                        <w:pStyle w:val="ListParagraph"/>
                        <w:numPr>
                          <w:ilvl w:val="0"/>
                          <w:numId w:val="6"/>
                        </w:numPr>
                        <w:jc w:val="both"/>
                        <w:rPr>
                          <w:lang w:val="en-US" w:eastAsia="zh-CN"/>
                        </w:rPr>
                      </w:pPr>
                      <w:r>
                        <w:rPr>
                          <w:lang w:val="en-US" w:eastAsia="zh-CN"/>
                        </w:rPr>
                        <w:t>Device ID and IRM exchange together added</w:t>
                      </w:r>
                    </w:p>
                    <w:p w14:paraId="1F6AC515" w14:textId="4F2809D2" w:rsidR="00246461" w:rsidRPr="00246461" w:rsidRDefault="00246461" w:rsidP="00246461">
                      <w:pPr>
                        <w:jc w:val="both"/>
                        <w:rPr>
                          <w:lang w:val="en-US" w:eastAsia="zh-CN"/>
                        </w:rPr>
                      </w:pPr>
                      <w:r>
                        <w:rPr>
                          <w:lang w:val="en-US" w:eastAsia="zh-CN"/>
                        </w:rPr>
                        <w:t>R2. PASN ID added.</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1"/>
        <w:gridCol w:w="620"/>
        <w:gridCol w:w="3329"/>
        <w:gridCol w:w="2415"/>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C6D2BE8" w:rsidR="000D30FF" w:rsidRDefault="00216FF0">
            <w:r>
              <w:t>3131</w:t>
            </w:r>
          </w:p>
        </w:tc>
        <w:tc>
          <w:tcPr>
            <w:tcW w:w="651" w:type="dxa"/>
          </w:tcPr>
          <w:p w14:paraId="07B97671" w14:textId="78CF67E4" w:rsidR="000D30FF" w:rsidRDefault="00A11639">
            <w:r>
              <w:rPr>
                <w:rFonts w:hint="eastAsia"/>
              </w:rPr>
              <w:t>3</w:t>
            </w:r>
            <w:r w:rsidR="00216FF0">
              <w:t>7</w:t>
            </w:r>
          </w:p>
        </w:tc>
        <w:tc>
          <w:tcPr>
            <w:tcW w:w="620" w:type="dxa"/>
          </w:tcPr>
          <w:p w14:paraId="25020481" w14:textId="35CC8C9D" w:rsidR="000D30FF" w:rsidRDefault="00216FF0">
            <w:pPr>
              <w:rPr>
                <w:lang w:eastAsia="zh-CN"/>
              </w:rPr>
            </w:pPr>
            <w:r>
              <w:rPr>
                <w:lang w:eastAsia="zh-CN"/>
              </w:rPr>
              <w:t>42</w:t>
            </w:r>
          </w:p>
        </w:tc>
        <w:tc>
          <w:tcPr>
            <w:tcW w:w="3350" w:type="dxa"/>
          </w:tcPr>
          <w:p w14:paraId="7B5C18DE" w14:textId="77777777" w:rsidR="00216FF0" w:rsidRDefault="00216FF0" w:rsidP="00216FF0">
            <w:pPr>
              <w:rPr>
                <w:rFonts w:ascii="Arial" w:hAnsi="Arial" w:cs="Arial"/>
                <w:sz w:val="20"/>
                <w:lang w:eastAsia="zh-CN"/>
              </w:rPr>
            </w:pPr>
            <w:r>
              <w:rPr>
                <w:rFonts w:ascii="Arial" w:hAnsi="Arial" w:cs="Arial"/>
                <w:sz w:val="20"/>
              </w:rPr>
              <w:t xml:space="preserve">Draw example figures of the </w:t>
            </w:r>
            <w:proofErr w:type="spellStart"/>
            <w:r>
              <w:rPr>
                <w:rFonts w:ascii="Arial" w:hAnsi="Arial" w:cs="Arial"/>
                <w:sz w:val="20"/>
              </w:rPr>
              <w:t>signaling</w:t>
            </w:r>
            <w:proofErr w:type="spellEnd"/>
            <w:r>
              <w:rPr>
                <w:rFonts w:ascii="Arial" w:hAnsi="Arial" w:cs="Arial"/>
                <w:sz w:val="20"/>
              </w:rPr>
              <w:t xml:space="preserve"> for IRM and device ID, preferably each mechanism with identifier recognized or not recognized. (Previous letter ballot consists of several comments that are not completely clear about the </w:t>
            </w:r>
            <w:proofErr w:type="spellStart"/>
            <w:r>
              <w:rPr>
                <w:rFonts w:ascii="Arial" w:hAnsi="Arial" w:cs="Arial"/>
                <w:sz w:val="20"/>
              </w:rPr>
              <w:t>signaling</w:t>
            </w:r>
            <w:proofErr w:type="spellEnd"/>
            <w:r>
              <w:rPr>
                <w:rFonts w:ascii="Arial" w:hAnsi="Arial" w:cs="Arial"/>
                <w:sz w:val="20"/>
              </w:rPr>
              <w:t xml:space="preserve"> procedures)</w:t>
            </w:r>
          </w:p>
          <w:p w14:paraId="2595504F" w14:textId="1ABDDDD0" w:rsidR="000D30FF" w:rsidRDefault="000D30FF"/>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0C48CA90" w:rsidR="008A350F" w:rsidRPr="008A350F" w:rsidRDefault="00216FF0">
      <w:r>
        <w:rPr>
          <w:noProof/>
        </w:rPr>
        <w:drawing>
          <wp:inline distT="0" distB="0" distL="0" distR="0" wp14:anchorId="5F8FB387" wp14:editId="6E4F0E2D">
            <wp:extent cx="5943600" cy="5606415"/>
            <wp:effectExtent l="0" t="0" r="0" b="0"/>
            <wp:docPr id="1256220001"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0001" name="Picture 1" descr="A diagram of a device exchange&#10;&#10;Description automatically generated"/>
                    <pic:cNvPicPr/>
                  </pic:nvPicPr>
                  <pic:blipFill>
                    <a:blip r:embed="rId7"/>
                    <a:stretch>
                      <a:fillRect/>
                    </a:stretch>
                  </pic:blipFill>
                  <pic:spPr>
                    <a:xfrm>
                      <a:off x="0" y="0"/>
                      <a:ext cx="5943600" cy="5606415"/>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his document proposes additional figures and also some modification for the current figure 12-0a.</w:t>
      </w:r>
    </w:p>
    <w:p w14:paraId="5E0FC986" w14:textId="3882453B" w:rsidR="0088144D" w:rsidRDefault="0088144D"/>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0B51B27" w:rsidR="00C52E4A" w:rsidRPr="00BC26A4" w:rsidRDefault="00C52E4A" w:rsidP="00C52E4A">
      <w:pPr>
        <w:rPr>
          <w:b/>
          <w:bCs/>
        </w:rPr>
      </w:pPr>
      <w:r w:rsidRPr="00BC26A4">
        <w:rPr>
          <w:b/>
          <w:bCs/>
        </w:rPr>
        <w:t>CID</w:t>
      </w:r>
      <w:r w:rsidR="00216FF0">
        <w:rPr>
          <w:b/>
          <w:bCs/>
        </w:rPr>
        <w:t>3131</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719CB35C" w14:textId="77777777" w:rsidR="003554BC" w:rsidRDefault="003554BC" w:rsidP="00D964E3">
      <w:pPr>
        <w:rPr>
          <w:i/>
          <w:iCs/>
          <w:highlight w:val="yellow"/>
        </w:rPr>
      </w:pPr>
    </w:p>
    <w:p w14:paraId="17577D9B" w14:textId="55C7EB5A"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PASN. The example illustrates a non-AP STA performing PASN to establish FTM session(s) in an ESS</w:t>
      </w:r>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8"/>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7CA2ACEE" w14:textId="77777777" w:rsidR="00FA708F" w:rsidRDefault="00FA708F">
      <w:pPr>
        <w:rPr>
          <w:b/>
          <w:bCs/>
        </w:rPr>
      </w:pPr>
    </w:p>
    <w:p w14:paraId="5CB5F23C" w14:textId="1DF9363E" w:rsidR="00437F7F" w:rsidRPr="00FA708F" w:rsidRDefault="00A47893">
      <w:pPr>
        <w:rPr>
          <w:b/>
          <w:bCs/>
        </w:rPr>
      </w:pPr>
      <w:r w:rsidRPr="00FA708F">
        <w:rPr>
          <w:b/>
          <w:bCs/>
        </w:rPr>
        <w:t>Annex AX</w:t>
      </w:r>
      <w:r w:rsidRPr="00FA708F">
        <w:rPr>
          <w:b/>
          <w:bCs/>
        </w:rPr>
        <w:br/>
        <w:t>(informative)</w:t>
      </w:r>
      <w:r w:rsidR="000C7720" w:rsidRPr="00FA708F">
        <w:rPr>
          <w:b/>
          <w:bCs/>
        </w:rPr>
        <w:t xml:space="preserve"> </w:t>
      </w:r>
      <w:r w:rsidRPr="00FA708F">
        <w:rPr>
          <w:b/>
          <w:bCs/>
        </w:rPr>
        <w:t>Examples of device ID and IRM usage</w:t>
      </w:r>
    </w:p>
    <w:bookmarkEnd w:id="0"/>
    <w:p w14:paraId="65A2B304" w14:textId="035A5DC4" w:rsidR="005060E1" w:rsidRPr="00FA708F" w:rsidRDefault="0079599B" w:rsidP="005060E1">
      <w:pPr>
        <w:pStyle w:val="Default"/>
        <w:jc w:val="both"/>
        <w:rPr>
          <w:b/>
          <w:bCs/>
          <w:color w:val="auto"/>
          <w:sz w:val="22"/>
          <w:szCs w:val="22"/>
        </w:rPr>
      </w:pPr>
      <w:r w:rsidRPr="00FA708F">
        <w:rPr>
          <w:b/>
          <w:bCs/>
          <w:color w:val="auto"/>
          <w:sz w:val="22"/>
          <w:szCs w:val="22"/>
        </w:rPr>
        <w:lastRenderedPageBreak/>
        <w:t>AX.1 – Examples of device ID usage</w:t>
      </w:r>
      <w:r w:rsidR="00A47893" w:rsidRPr="00FA708F">
        <w:rPr>
          <w:b/>
          <w:bCs/>
          <w:color w:val="auto"/>
          <w:sz w:val="22"/>
          <w:szCs w:val="22"/>
        </w:rPr>
        <w:t xml:space="preserve"> </w:t>
      </w:r>
    </w:p>
    <w:p w14:paraId="71821EE3" w14:textId="77777777" w:rsidR="0079599B" w:rsidRDefault="0079599B" w:rsidP="005060E1">
      <w:pPr>
        <w:pStyle w:val="Default"/>
        <w:jc w:val="both"/>
        <w:rPr>
          <w:color w:val="auto"/>
          <w:sz w:val="22"/>
          <w:szCs w:val="22"/>
        </w:rPr>
      </w:pPr>
    </w:p>
    <w:p w14:paraId="05675422" w14:textId="65672005" w:rsidR="005C310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w:t>
      </w:r>
      <w:r w:rsidR="005E5AE3">
        <w:rPr>
          <w:color w:val="auto"/>
          <w:sz w:val="22"/>
          <w:szCs w:val="22"/>
        </w:rPr>
        <w:t xml:space="preserve">when a non-AP STA authenticates and associates to </w:t>
      </w:r>
      <w:r w:rsidR="000F127E">
        <w:rPr>
          <w:color w:val="auto"/>
          <w:sz w:val="22"/>
          <w:szCs w:val="22"/>
        </w:rPr>
        <w:t>APs (AP-1 and AP-2 belonging to the same ESS)</w:t>
      </w:r>
      <w:r w:rsidR="005E5AE3">
        <w:rPr>
          <w:color w:val="auto"/>
          <w:sz w:val="22"/>
          <w:szCs w:val="22"/>
        </w:rPr>
        <w:t xml:space="preserve"> using the 4 way handshake.  The </w:t>
      </w:r>
      <w:r w:rsidR="00351488">
        <w:rPr>
          <w:color w:val="auto"/>
          <w:sz w:val="22"/>
          <w:szCs w:val="22"/>
        </w:rPr>
        <w:t>AP</w:t>
      </w:r>
      <w:r w:rsidR="000F127E">
        <w:rPr>
          <w:color w:val="auto"/>
          <w:sz w:val="22"/>
          <w:szCs w:val="22"/>
        </w:rPr>
        <w:t>-1 and AP-2</w:t>
      </w:r>
      <w:r w:rsidR="00351488">
        <w:rPr>
          <w:color w:val="auto"/>
          <w:sz w:val="22"/>
          <w:szCs w:val="22"/>
        </w:rPr>
        <w:t xml:space="preserve"> advertise </w:t>
      </w:r>
      <w:r w:rsidR="000F127E">
        <w:rPr>
          <w:color w:val="auto"/>
          <w:sz w:val="22"/>
          <w:szCs w:val="22"/>
        </w:rPr>
        <w:t>their</w:t>
      </w:r>
      <w:r w:rsidR="00351488">
        <w:rPr>
          <w:color w:val="auto"/>
          <w:sz w:val="22"/>
          <w:szCs w:val="22"/>
        </w:rPr>
        <w:t xml:space="preserve"> support of device ID in </w:t>
      </w:r>
      <w:r w:rsidR="005E5AE3">
        <w:rPr>
          <w:color w:val="auto"/>
          <w:sz w:val="22"/>
          <w:szCs w:val="22"/>
        </w:rPr>
        <w:t xml:space="preserve">the </w:t>
      </w:r>
      <w:r w:rsidR="00351488">
        <w:rPr>
          <w:color w:val="auto"/>
          <w:sz w:val="22"/>
          <w:szCs w:val="22"/>
        </w:rPr>
        <w:t>RSNXE in Beacon</w:t>
      </w:r>
      <w:r w:rsidR="005E5AE3">
        <w:rPr>
          <w:color w:val="auto"/>
          <w:sz w:val="22"/>
          <w:szCs w:val="22"/>
        </w:rPr>
        <w:t>s</w:t>
      </w:r>
      <w:r w:rsidR="00351488">
        <w:rPr>
          <w:color w:val="auto"/>
          <w:sz w:val="22"/>
          <w:szCs w:val="22"/>
        </w:rPr>
        <w:t xml:space="preserve"> </w:t>
      </w:r>
      <w:r w:rsidR="005E5AE3">
        <w:rPr>
          <w:color w:val="auto"/>
          <w:sz w:val="22"/>
          <w:szCs w:val="22"/>
        </w:rPr>
        <w:t xml:space="preserve">and </w:t>
      </w:r>
      <w:r w:rsidR="00351488">
        <w:rPr>
          <w:color w:val="auto"/>
          <w:sz w:val="22"/>
          <w:szCs w:val="22"/>
        </w:rPr>
        <w:t>Probe Response</w:t>
      </w:r>
      <w:r w:rsidR="005E5AE3">
        <w:rPr>
          <w:color w:val="auto"/>
          <w:sz w:val="22"/>
          <w:szCs w:val="22"/>
        </w:rPr>
        <w:t>s</w:t>
      </w:r>
      <w:r w:rsidR="00351488">
        <w:rPr>
          <w:color w:val="auto"/>
          <w:sz w:val="22"/>
          <w:szCs w:val="22"/>
        </w:rPr>
        <w:t xml:space="preserv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sidR="00F20B52">
        <w:rPr>
          <w:color w:val="auto"/>
          <w:sz w:val="22"/>
          <w:szCs w:val="22"/>
        </w:rPr>
        <w:t xml:space="preserve"> i.e., </w:t>
      </w:r>
      <w:r w:rsidR="005E5AE3">
        <w:rPr>
          <w:color w:val="auto"/>
          <w:sz w:val="22"/>
          <w:szCs w:val="22"/>
        </w:rPr>
        <w:t>the non-AP STA does not have a</w:t>
      </w:r>
      <w:r w:rsidR="00F20B52">
        <w:rPr>
          <w:color w:val="auto"/>
          <w:sz w:val="22"/>
          <w:szCs w:val="22"/>
        </w:rPr>
        <w:t xml:space="preserve"> device ID</w:t>
      </w:r>
      <w:r w:rsidR="005E5AE3">
        <w:rPr>
          <w:color w:val="auto"/>
          <w:sz w:val="22"/>
          <w:szCs w:val="22"/>
        </w:rPr>
        <w:t xml:space="preserve"> for that AP/ESS</w:t>
      </w:r>
      <w:r w:rsidR="00F20B52">
        <w:rPr>
          <w:color w:val="auto"/>
          <w:sz w:val="22"/>
          <w:szCs w:val="22"/>
        </w:rPr>
        <w:t xml:space="preserve">). After </w:t>
      </w:r>
      <w:r w:rsidR="004D56EA">
        <w:rPr>
          <w:color w:val="auto"/>
          <w:sz w:val="22"/>
          <w:szCs w:val="22"/>
        </w:rPr>
        <w:t xml:space="preserve">the </w:t>
      </w:r>
      <w:r w:rsidR="00F20B52">
        <w:rPr>
          <w:color w:val="auto"/>
          <w:sz w:val="22"/>
          <w:szCs w:val="22"/>
        </w:rPr>
        <w:t xml:space="preserve">authentication frame exchange, </w:t>
      </w:r>
      <w:r w:rsidR="004D56EA">
        <w:rPr>
          <w:color w:val="auto"/>
          <w:sz w:val="22"/>
          <w:szCs w:val="22"/>
        </w:rPr>
        <w:t xml:space="preserve">the </w:t>
      </w:r>
      <w:r w:rsidR="00F20B52">
        <w:rPr>
          <w:color w:val="auto"/>
          <w:sz w:val="22"/>
          <w:szCs w:val="22"/>
        </w:rPr>
        <w:t>non-AP STA indicates its activation of device ID</w:t>
      </w:r>
      <w:r w:rsidR="002D410B" w:rsidRPr="002D410B">
        <w:t xml:space="preserve"> </w:t>
      </w:r>
      <w:r w:rsidR="005E5AE3">
        <w:t>by setting the</w:t>
      </w:r>
      <w:r w:rsidR="002D410B">
        <w:t xml:space="preserve"> </w:t>
      </w:r>
      <w:r w:rsidR="002D410B" w:rsidRPr="002D410B">
        <w:rPr>
          <w:color w:val="auto"/>
          <w:sz w:val="22"/>
          <w:szCs w:val="22"/>
        </w:rPr>
        <w:t>Device ID Active field in the RSNXE to 1</w:t>
      </w:r>
      <w:r w:rsidR="00F20B52">
        <w:rPr>
          <w:color w:val="auto"/>
          <w:sz w:val="22"/>
          <w:szCs w:val="22"/>
        </w:rPr>
        <w:t xml:space="preserve"> in </w:t>
      </w:r>
      <w:r w:rsidR="005E5AE3">
        <w:rPr>
          <w:color w:val="auto"/>
          <w:sz w:val="22"/>
          <w:szCs w:val="22"/>
        </w:rPr>
        <w:t xml:space="preserve">the </w:t>
      </w:r>
      <w:r w:rsidR="00F20B52">
        <w:rPr>
          <w:color w:val="auto"/>
          <w:sz w:val="22"/>
          <w:szCs w:val="22"/>
        </w:rPr>
        <w:t xml:space="preserve">Association Request. Similarly,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indicates its activation of device ID</w:t>
      </w:r>
      <w:r w:rsidR="002D410B" w:rsidRPr="002D410B">
        <w:t xml:space="preserve"> </w:t>
      </w:r>
      <w:r w:rsidR="005E5AE3">
        <w:t xml:space="preserve">by setting the </w:t>
      </w:r>
      <w:r w:rsidR="002D410B" w:rsidRPr="002D410B">
        <w:rPr>
          <w:color w:val="auto"/>
          <w:sz w:val="22"/>
          <w:szCs w:val="22"/>
        </w:rPr>
        <w:t xml:space="preserve">Device ID Active field in the RSNXE to </w:t>
      </w:r>
      <w:r w:rsidR="002D410B">
        <w:rPr>
          <w:color w:val="auto"/>
          <w:sz w:val="22"/>
          <w:szCs w:val="22"/>
        </w:rPr>
        <w:t>1</w:t>
      </w:r>
      <w:r w:rsidR="00F20B52">
        <w:rPr>
          <w:color w:val="auto"/>
          <w:sz w:val="22"/>
          <w:szCs w:val="22"/>
        </w:rPr>
        <w:t xml:space="preserve"> in Association Response. In 4-way Handshake Message 3,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w:t>
      </w:r>
      <w:r w:rsidR="005E5AE3">
        <w:rPr>
          <w:color w:val="auto"/>
          <w:sz w:val="22"/>
          <w:szCs w:val="22"/>
        </w:rPr>
        <w:t xml:space="preserve">includes a device ID KDE and </w:t>
      </w:r>
      <w:r w:rsidR="00F20B52">
        <w:rPr>
          <w:color w:val="auto"/>
          <w:sz w:val="22"/>
          <w:szCs w:val="22"/>
        </w:rPr>
        <w:t xml:space="preserve">assigns a device ID (devID1) to </w:t>
      </w:r>
      <w:r w:rsidR="005E5AE3">
        <w:rPr>
          <w:color w:val="auto"/>
          <w:sz w:val="22"/>
          <w:szCs w:val="22"/>
        </w:rPr>
        <w:t xml:space="preserve">the </w:t>
      </w:r>
      <w:r w:rsidR="00F20B52">
        <w:rPr>
          <w:color w:val="auto"/>
          <w:sz w:val="22"/>
          <w:szCs w:val="22"/>
        </w:rPr>
        <w:t xml:space="preserve">non-AP STA. </w:t>
      </w:r>
      <w:r w:rsidR="000F127E">
        <w:rPr>
          <w:color w:val="auto"/>
          <w:sz w:val="22"/>
          <w:szCs w:val="22"/>
        </w:rPr>
        <w:t>N</w:t>
      </w:r>
      <w:r w:rsidR="00F20B52">
        <w:rPr>
          <w:color w:val="auto"/>
          <w:sz w:val="22"/>
          <w:szCs w:val="22"/>
        </w:rPr>
        <w:t>on-AP STA</w:t>
      </w:r>
      <w:r w:rsidR="000F127E">
        <w:rPr>
          <w:color w:val="auto"/>
          <w:sz w:val="22"/>
          <w:szCs w:val="22"/>
        </w:rPr>
        <w:t xml:space="preserve">, </w:t>
      </w:r>
      <w:r w:rsidR="00F20B52">
        <w:rPr>
          <w:color w:val="auto"/>
          <w:sz w:val="22"/>
          <w:szCs w:val="22"/>
        </w:rPr>
        <w:t>AP</w:t>
      </w:r>
      <w:r w:rsidR="000F127E">
        <w:rPr>
          <w:color w:val="auto"/>
          <w:sz w:val="22"/>
          <w:szCs w:val="22"/>
        </w:rPr>
        <w:t>-1, and AP-2</w:t>
      </w:r>
      <w:r w:rsidR="00F20B52">
        <w:rPr>
          <w:color w:val="auto"/>
          <w:sz w:val="22"/>
          <w:szCs w:val="22"/>
        </w:rPr>
        <w:t xml:space="preserve"> store </w:t>
      </w:r>
      <w:r w:rsidR="005E5AE3">
        <w:rPr>
          <w:color w:val="auto"/>
          <w:sz w:val="22"/>
          <w:szCs w:val="22"/>
        </w:rPr>
        <w:t xml:space="preserve">this </w:t>
      </w:r>
      <w:r w:rsidR="00F20B52">
        <w:rPr>
          <w:color w:val="auto"/>
          <w:sz w:val="22"/>
          <w:szCs w:val="22"/>
        </w:rPr>
        <w:t>devID1.</w:t>
      </w:r>
      <w:r w:rsidR="005C310B">
        <w:rPr>
          <w:color w:val="auto"/>
          <w:sz w:val="22"/>
          <w:szCs w:val="22"/>
        </w:rPr>
        <w:t xml:space="preserve">  </w:t>
      </w:r>
    </w:p>
    <w:p w14:paraId="0DD36903" w14:textId="77777777" w:rsidR="005C310B" w:rsidRDefault="005C310B" w:rsidP="0079599B">
      <w:pPr>
        <w:pStyle w:val="Default"/>
        <w:jc w:val="both"/>
        <w:rPr>
          <w:color w:val="auto"/>
          <w:sz w:val="22"/>
          <w:szCs w:val="22"/>
        </w:rPr>
      </w:pPr>
    </w:p>
    <w:p w14:paraId="097B33D6" w14:textId="18C2E166" w:rsidR="005472D8" w:rsidRDefault="005C310B" w:rsidP="0079599B">
      <w:pPr>
        <w:pStyle w:val="Default"/>
        <w:jc w:val="both"/>
        <w:rPr>
          <w:color w:val="auto"/>
          <w:sz w:val="22"/>
          <w:szCs w:val="22"/>
        </w:rPr>
      </w:pPr>
      <w:r>
        <w:rPr>
          <w:color w:val="auto"/>
          <w:sz w:val="22"/>
          <w:szCs w:val="22"/>
        </w:rPr>
        <w:t>Later t</w:t>
      </w:r>
      <w:r w:rsidR="005472D8">
        <w:rPr>
          <w:color w:val="auto"/>
          <w:sz w:val="22"/>
          <w:szCs w:val="22"/>
        </w:rPr>
        <w:t xml:space="preserve">he </w:t>
      </w:r>
      <w:r w:rsidR="00F20B52">
        <w:rPr>
          <w:color w:val="auto"/>
          <w:sz w:val="22"/>
          <w:szCs w:val="22"/>
        </w:rPr>
        <w:t>non-AP STA</w:t>
      </w:r>
      <w:r>
        <w:rPr>
          <w:color w:val="auto"/>
          <w:sz w:val="22"/>
          <w:szCs w:val="22"/>
        </w:rPr>
        <w:t xml:space="preserve"> </w:t>
      </w:r>
      <w:r w:rsidR="00F20B52">
        <w:rPr>
          <w:color w:val="auto"/>
          <w:sz w:val="22"/>
          <w:szCs w:val="22"/>
        </w:rPr>
        <w:t xml:space="preserve">terminates </w:t>
      </w:r>
      <w:r w:rsidR="005E5AE3">
        <w:rPr>
          <w:color w:val="auto"/>
          <w:sz w:val="22"/>
          <w:szCs w:val="22"/>
        </w:rPr>
        <w:t xml:space="preserve">the </w:t>
      </w:r>
      <w:r w:rsidR="00F20B52">
        <w:rPr>
          <w:color w:val="auto"/>
          <w:sz w:val="22"/>
          <w:szCs w:val="22"/>
        </w:rPr>
        <w:t xml:space="preserve">connection with </w:t>
      </w:r>
      <w:r w:rsidR="005E5AE3">
        <w:rPr>
          <w:color w:val="auto"/>
          <w:sz w:val="22"/>
          <w:szCs w:val="22"/>
        </w:rPr>
        <w:t xml:space="preserve">the </w:t>
      </w:r>
      <w:r w:rsidR="00F20B52">
        <w:rPr>
          <w:color w:val="auto"/>
          <w:sz w:val="22"/>
          <w:szCs w:val="22"/>
        </w:rPr>
        <w:t>AP</w:t>
      </w:r>
      <w:r w:rsidR="000F127E">
        <w:rPr>
          <w:color w:val="auto"/>
          <w:sz w:val="22"/>
          <w:szCs w:val="22"/>
        </w:rPr>
        <w:t>-1</w:t>
      </w:r>
      <w:r w:rsidR="005472D8">
        <w:rPr>
          <w:color w:val="auto"/>
          <w:sz w:val="22"/>
          <w:szCs w:val="22"/>
        </w:rPr>
        <w:t>.</w:t>
      </w:r>
    </w:p>
    <w:p w14:paraId="40357AA8" w14:textId="77777777" w:rsidR="005472D8" w:rsidRDefault="005472D8" w:rsidP="0079599B">
      <w:pPr>
        <w:pStyle w:val="Default"/>
        <w:jc w:val="both"/>
        <w:rPr>
          <w:color w:val="auto"/>
          <w:sz w:val="22"/>
          <w:szCs w:val="22"/>
        </w:rPr>
      </w:pPr>
    </w:p>
    <w:p w14:paraId="2D0D65C6" w14:textId="58E77858" w:rsidR="004D56EA" w:rsidRDefault="005472D8" w:rsidP="005060E1">
      <w:pPr>
        <w:pStyle w:val="Default"/>
        <w:jc w:val="both"/>
        <w:rPr>
          <w:color w:val="auto"/>
          <w:sz w:val="22"/>
          <w:szCs w:val="22"/>
        </w:rPr>
      </w:pPr>
      <w:r>
        <w:rPr>
          <w:color w:val="auto"/>
          <w:sz w:val="22"/>
          <w:szCs w:val="22"/>
        </w:rPr>
        <w:t xml:space="preserve">The non-AP STA then </w:t>
      </w:r>
      <w:r w:rsidR="00F20B52">
        <w:rPr>
          <w:color w:val="auto"/>
          <w:sz w:val="22"/>
          <w:szCs w:val="22"/>
        </w:rPr>
        <w:t xml:space="preserve">returns to </w:t>
      </w:r>
      <w:r>
        <w:rPr>
          <w:color w:val="auto"/>
          <w:sz w:val="22"/>
          <w:szCs w:val="22"/>
        </w:rPr>
        <w:t xml:space="preserve">that </w:t>
      </w:r>
      <w:r w:rsidR="00F20B52">
        <w:rPr>
          <w:color w:val="auto"/>
          <w:sz w:val="22"/>
          <w:szCs w:val="22"/>
        </w:rPr>
        <w:t xml:space="preserve">same ESS </w:t>
      </w:r>
      <w:r>
        <w:rPr>
          <w:color w:val="auto"/>
          <w:sz w:val="22"/>
          <w:szCs w:val="22"/>
        </w:rPr>
        <w:t xml:space="preserve">using </w:t>
      </w:r>
      <w:r w:rsidR="005C310B">
        <w:rPr>
          <w:color w:val="auto"/>
          <w:sz w:val="22"/>
          <w:szCs w:val="22"/>
        </w:rPr>
        <w:t xml:space="preserve">a different </w:t>
      </w:r>
      <w:r w:rsidR="00F20B52">
        <w:rPr>
          <w:color w:val="auto"/>
          <w:sz w:val="22"/>
          <w:szCs w:val="22"/>
        </w:rPr>
        <w:t xml:space="preserve">MAC </w:t>
      </w:r>
      <w:r>
        <w:rPr>
          <w:color w:val="auto"/>
          <w:sz w:val="22"/>
          <w:szCs w:val="22"/>
        </w:rPr>
        <w:t xml:space="preserve">address </w:t>
      </w:r>
      <w:r w:rsidR="00F20B52">
        <w:rPr>
          <w:color w:val="auto"/>
          <w:sz w:val="22"/>
          <w:szCs w:val="22"/>
        </w:rPr>
        <w:t>(MAC2)</w:t>
      </w:r>
      <w:r>
        <w:rPr>
          <w:color w:val="auto"/>
          <w:sz w:val="22"/>
          <w:szCs w:val="22"/>
        </w:rPr>
        <w:t xml:space="preserve">, again indicating </w:t>
      </w:r>
      <w:r w:rsidR="00AC5D13">
        <w:rPr>
          <w:color w:val="auto"/>
          <w:sz w:val="22"/>
          <w:szCs w:val="22"/>
        </w:rPr>
        <w:t>activation</w:t>
      </w:r>
      <w:r>
        <w:rPr>
          <w:color w:val="auto"/>
          <w:sz w:val="22"/>
          <w:szCs w:val="22"/>
        </w:rPr>
        <w:t xml:space="preserve"> of device ID in the Association Request/Response frame exchange. The </w:t>
      </w:r>
      <w:r w:rsidR="00F20B52">
        <w:rPr>
          <w:color w:val="auto"/>
          <w:sz w:val="22"/>
          <w:szCs w:val="22"/>
        </w:rPr>
        <w:t xml:space="preserve">non-AP STA </w:t>
      </w:r>
      <w:r>
        <w:rPr>
          <w:color w:val="auto"/>
          <w:sz w:val="22"/>
          <w:szCs w:val="22"/>
        </w:rPr>
        <w:t xml:space="preserve">then </w:t>
      </w:r>
      <w:r w:rsidR="00F20B52">
        <w:rPr>
          <w:color w:val="auto"/>
          <w:sz w:val="22"/>
          <w:szCs w:val="22"/>
        </w:rPr>
        <w:t xml:space="preserve">provides </w:t>
      </w:r>
      <w:r>
        <w:rPr>
          <w:color w:val="auto"/>
          <w:sz w:val="22"/>
          <w:szCs w:val="22"/>
        </w:rPr>
        <w:t xml:space="preserve">the </w:t>
      </w:r>
      <w:r w:rsidR="00F20B52">
        <w:rPr>
          <w:color w:val="auto"/>
          <w:sz w:val="22"/>
          <w:szCs w:val="22"/>
        </w:rPr>
        <w:t>previously assigned device ID (devID1)</w:t>
      </w:r>
      <w:r w:rsidR="00BD1826">
        <w:rPr>
          <w:color w:val="auto"/>
          <w:sz w:val="22"/>
          <w:szCs w:val="22"/>
        </w:rPr>
        <w:t xml:space="preserve"> to AP</w:t>
      </w:r>
      <w:r w:rsidR="000F127E">
        <w:rPr>
          <w:color w:val="auto"/>
          <w:sz w:val="22"/>
          <w:szCs w:val="22"/>
        </w:rPr>
        <w:t>-2</w:t>
      </w:r>
      <w:r w:rsidR="00F20B52">
        <w:rPr>
          <w:color w:val="auto"/>
          <w:sz w:val="22"/>
          <w:szCs w:val="22"/>
        </w:rPr>
        <w:t xml:space="preserve"> in </w:t>
      </w:r>
      <w:r>
        <w:rPr>
          <w:color w:val="auto"/>
          <w:sz w:val="22"/>
          <w:szCs w:val="22"/>
        </w:rPr>
        <w:t xml:space="preserve">a </w:t>
      </w:r>
      <w:r w:rsidR="00F20B52">
        <w:rPr>
          <w:color w:val="auto"/>
          <w:sz w:val="22"/>
          <w:szCs w:val="22"/>
        </w:rPr>
        <w:t xml:space="preserve">device ID KDE in 4-way Handshake Message 2. </w:t>
      </w:r>
      <w:r>
        <w:rPr>
          <w:color w:val="auto"/>
          <w:sz w:val="22"/>
          <w:szCs w:val="22"/>
        </w:rPr>
        <w:t>The AP</w:t>
      </w:r>
      <w:r w:rsidR="000F127E">
        <w:rPr>
          <w:color w:val="auto"/>
          <w:sz w:val="22"/>
          <w:szCs w:val="22"/>
        </w:rPr>
        <w:t>-2</w:t>
      </w:r>
      <w:r>
        <w:rPr>
          <w:color w:val="auto"/>
          <w:sz w:val="22"/>
          <w:szCs w:val="22"/>
        </w:rPr>
        <w:t xml:space="preserve"> identifies the non-AP STA from the device ID (devID1) </w:t>
      </w:r>
      <w:r w:rsidR="00906814">
        <w:rPr>
          <w:color w:val="auto"/>
          <w:sz w:val="22"/>
          <w:szCs w:val="22"/>
        </w:rPr>
        <w:t>despite</w:t>
      </w:r>
      <w:r w:rsidR="00F20B52">
        <w:rPr>
          <w:color w:val="auto"/>
          <w:sz w:val="22"/>
          <w:szCs w:val="22"/>
        </w:rPr>
        <w:t xml:space="preserve"> </w:t>
      </w:r>
      <w:r>
        <w:rPr>
          <w:color w:val="auto"/>
          <w:sz w:val="22"/>
          <w:szCs w:val="22"/>
        </w:rPr>
        <w:t xml:space="preserve">the </w:t>
      </w:r>
      <w:r w:rsidR="00906814">
        <w:rPr>
          <w:color w:val="auto"/>
          <w:sz w:val="22"/>
          <w:szCs w:val="22"/>
        </w:rPr>
        <w:t xml:space="preserve">non-AP </w:t>
      </w:r>
      <w:r>
        <w:rPr>
          <w:color w:val="auto"/>
          <w:sz w:val="22"/>
          <w:szCs w:val="22"/>
        </w:rPr>
        <w:t xml:space="preserve">STA using a </w:t>
      </w:r>
      <w:r w:rsidR="00906814">
        <w:rPr>
          <w:color w:val="auto"/>
          <w:sz w:val="22"/>
          <w:szCs w:val="22"/>
        </w:rPr>
        <w:t xml:space="preserve">randomized MAC </w:t>
      </w:r>
      <w:r>
        <w:rPr>
          <w:color w:val="auto"/>
          <w:sz w:val="22"/>
          <w:szCs w:val="22"/>
        </w:rPr>
        <w:t xml:space="preserve">address </w:t>
      </w:r>
      <w:r w:rsidR="00906814">
        <w:rPr>
          <w:color w:val="auto"/>
          <w:sz w:val="22"/>
          <w:szCs w:val="22"/>
        </w:rPr>
        <w:t xml:space="preserve">(MAC2). </w:t>
      </w:r>
      <w:r>
        <w:rPr>
          <w:color w:val="auto"/>
          <w:sz w:val="22"/>
          <w:szCs w:val="22"/>
        </w:rPr>
        <w:t xml:space="preserve">The </w:t>
      </w:r>
      <w:r w:rsidR="00906814">
        <w:rPr>
          <w:color w:val="auto"/>
          <w:sz w:val="22"/>
          <w:szCs w:val="22"/>
        </w:rPr>
        <w:t>AP</w:t>
      </w:r>
      <w:r w:rsidR="000F127E">
        <w:rPr>
          <w:color w:val="auto"/>
          <w:sz w:val="22"/>
          <w:szCs w:val="22"/>
        </w:rPr>
        <w:t>-2</w:t>
      </w:r>
      <w:r w:rsidR="00906814">
        <w:rPr>
          <w:color w:val="auto"/>
          <w:sz w:val="22"/>
          <w:szCs w:val="22"/>
        </w:rPr>
        <w:t xml:space="preserve"> </w:t>
      </w:r>
      <w:r>
        <w:rPr>
          <w:color w:val="auto"/>
          <w:sz w:val="22"/>
          <w:szCs w:val="22"/>
        </w:rPr>
        <w:t xml:space="preserve">then sends </w:t>
      </w:r>
      <w:r w:rsidR="004D56EA">
        <w:rPr>
          <w:color w:val="auto"/>
          <w:sz w:val="22"/>
          <w:szCs w:val="22"/>
        </w:rPr>
        <w:t xml:space="preserve">a device ID KDE in 4-way Handshake Message 3 with the Status field set to 0 indicating that the device ID has been recognized.  </w:t>
      </w:r>
    </w:p>
    <w:p w14:paraId="1549059F" w14:textId="77777777" w:rsidR="004D56EA" w:rsidRDefault="004D56EA" w:rsidP="005060E1">
      <w:pPr>
        <w:pStyle w:val="Default"/>
        <w:jc w:val="both"/>
        <w:rPr>
          <w:color w:val="auto"/>
          <w:sz w:val="22"/>
          <w:szCs w:val="22"/>
        </w:rPr>
      </w:pPr>
    </w:p>
    <w:p w14:paraId="2D3381B6" w14:textId="601FA821" w:rsidR="004D56EA" w:rsidRDefault="004D56EA" w:rsidP="0079599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may allocate a new device ID</w:t>
      </w:r>
      <w:r w:rsidR="00DA7882">
        <w:rPr>
          <w:color w:val="auto"/>
          <w:sz w:val="22"/>
          <w:szCs w:val="22"/>
        </w:rPr>
        <w:t xml:space="preserve"> (devID2)</w:t>
      </w:r>
      <w:r>
        <w:rPr>
          <w:color w:val="auto"/>
          <w:sz w:val="22"/>
          <w:szCs w:val="22"/>
        </w:rPr>
        <w:t xml:space="preserve"> in the device ID KDE sent in 4-way Handshake Message 3.  </w:t>
      </w:r>
    </w:p>
    <w:p w14:paraId="6A689963" w14:textId="77777777" w:rsidR="0079599B" w:rsidRDefault="0079599B" w:rsidP="005060E1">
      <w:pPr>
        <w:pStyle w:val="Default"/>
        <w:jc w:val="both"/>
        <w:rPr>
          <w:color w:val="auto"/>
          <w:sz w:val="22"/>
          <w:szCs w:val="22"/>
        </w:rPr>
      </w:pPr>
    </w:p>
    <w:p w14:paraId="3EBF44CA" w14:textId="28B1B71B" w:rsidR="000C7720" w:rsidRPr="000C7720" w:rsidRDefault="000C7720" w:rsidP="000C7720">
      <w:pPr>
        <w:jc w:val="center"/>
        <w:rPr>
          <w:rFonts w:eastAsia="Times New Roman"/>
          <w:sz w:val="24"/>
          <w:szCs w:val="24"/>
          <w:lang w:val="en-DE" w:eastAsia="zh-CN"/>
        </w:rPr>
      </w:pPr>
      <w:r w:rsidRPr="000C7720">
        <w:rPr>
          <w:rFonts w:eastAsia="Times New Roman"/>
          <w:noProof/>
          <w:sz w:val="24"/>
          <w:szCs w:val="24"/>
          <w:lang w:val="en-DE" w:eastAsia="zh-CN"/>
        </w:rPr>
        <w:lastRenderedPageBreak/>
        <w:drawing>
          <wp:inline distT="0" distB="0" distL="0" distR="0" wp14:anchorId="11DF4DFB" wp14:editId="200D92F5">
            <wp:extent cx="5943600" cy="6704965"/>
            <wp:effectExtent l="0" t="0" r="0" b="635"/>
            <wp:docPr id="1630021994"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21994" name="Picture 2" descr="A black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704965"/>
                    </a:xfrm>
                    <a:prstGeom prst="rect">
                      <a:avLst/>
                    </a:prstGeom>
                    <a:noFill/>
                    <a:ln>
                      <a:noFill/>
                    </a:ln>
                  </pic:spPr>
                </pic:pic>
              </a:graphicData>
            </a:graphic>
          </wp:inline>
        </w:drawing>
      </w:r>
    </w:p>
    <w:p w14:paraId="0DBA6D32" w14:textId="2ED6908F" w:rsidR="000C7720" w:rsidRPr="000C7720" w:rsidRDefault="000C7720" w:rsidP="000C7720">
      <w:pPr>
        <w:rPr>
          <w:rFonts w:eastAsia="Times New Roman"/>
          <w:sz w:val="24"/>
          <w:szCs w:val="24"/>
          <w:lang w:val="en-DE" w:eastAsia="zh-CN"/>
        </w:rPr>
      </w:pPr>
    </w:p>
    <w:p w14:paraId="51D50259" w14:textId="6E4BAE0C" w:rsidR="0089764C" w:rsidRPr="0089764C" w:rsidRDefault="0089764C" w:rsidP="0089764C">
      <w:pPr>
        <w:jc w:val="center"/>
        <w:rPr>
          <w:rFonts w:eastAsia="Times New Roman"/>
          <w:sz w:val="24"/>
          <w:szCs w:val="24"/>
          <w:lang w:val="en-DE" w:eastAsia="zh-CN"/>
        </w:rPr>
      </w:pPr>
    </w:p>
    <w:p w14:paraId="437EA263" w14:textId="73C7F15D" w:rsidR="0079599B" w:rsidRPr="0079599B" w:rsidRDefault="0079599B" w:rsidP="0079599B">
      <w:pPr>
        <w:jc w:val="center"/>
        <w:rPr>
          <w:rFonts w:ascii="SimSun" w:eastAsia="SimSun" w:hAnsi="SimSun" w:cs="SimSun"/>
          <w:sz w:val="24"/>
          <w:szCs w:val="24"/>
          <w:lang w:val="en-US" w:eastAsia="zh-CN"/>
        </w:rPr>
      </w:pPr>
    </w:p>
    <w:p w14:paraId="7F266387" w14:textId="61413CB8"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in </w:t>
      </w:r>
      <w:r w:rsidR="00DA7882">
        <w:rPr>
          <w:color w:val="auto"/>
          <w:sz w:val="22"/>
          <w:szCs w:val="22"/>
        </w:rPr>
        <w:t xml:space="preserve"> 4-way Handshake</w:t>
      </w:r>
    </w:p>
    <w:p w14:paraId="6741AC93" w14:textId="77777777" w:rsidR="005C310B" w:rsidRDefault="005C310B" w:rsidP="005C310B">
      <w:pPr>
        <w:pStyle w:val="Default"/>
        <w:jc w:val="both"/>
        <w:rPr>
          <w:color w:val="auto"/>
          <w:sz w:val="22"/>
          <w:szCs w:val="22"/>
        </w:rPr>
      </w:pPr>
    </w:p>
    <w:p w14:paraId="2245848E" w14:textId="77777777" w:rsidR="005C310B" w:rsidRDefault="005C310B" w:rsidP="005060E1">
      <w:pPr>
        <w:pStyle w:val="Default"/>
        <w:jc w:val="both"/>
        <w:rPr>
          <w:color w:val="auto"/>
          <w:sz w:val="22"/>
          <w:szCs w:val="22"/>
        </w:rPr>
      </w:pPr>
    </w:p>
    <w:p w14:paraId="75ADC335" w14:textId="0908962D" w:rsidR="005C310B"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w:t>
      </w:r>
      <w:r w:rsidR="004D56EA">
        <w:rPr>
          <w:color w:val="auto"/>
          <w:sz w:val="22"/>
          <w:szCs w:val="22"/>
        </w:rPr>
        <w:t xml:space="preserve">when a non-AP STA associates to </w:t>
      </w:r>
      <w:r w:rsidR="000F127E">
        <w:rPr>
          <w:color w:val="auto"/>
          <w:sz w:val="22"/>
          <w:szCs w:val="22"/>
        </w:rPr>
        <w:t xml:space="preserve">APs (AP-1 and AP-2 belonging to the same ESS) </w:t>
      </w:r>
      <w:r w:rsidR="004D56EA">
        <w:rPr>
          <w:color w:val="auto"/>
          <w:sz w:val="22"/>
          <w:szCs w:val="22"/>
        </w:rPr>
        <w:t xml:space="preserve">using  </w:t>
      </w:r>
      <w:r>
        <w:rPr>
          <w:color w:val="auto"/>
          <w:sz w:val="22"/>
          <w:szCs w:val="22"/>
        </w:rPr>
        <w:t>FILS</w:t>
      </w:r>
      <w:r w:rsidRPr="0079599B">
        <w:rPr>
          <w:color w:val="auto"/>
          <w:sz w:val="22"/>
          <w:szCs w:val="22"/>
        </w:rPr>
        <w:t xml:space="preserve">. </w:t>
      </w:r>
      <w:r w:rsidR="004D56EA">
        <w:rPr>
          <w:color w:val="auto"/>
          <w:sz w:val="22"/>
          <w:szCs w:val="22"/>
        </w:rPr>
        <w:t>The AP</w:t>
      </w:r>
      <w:r w:rsidR="000F127E">
        <w:rPr>
          <w:color w:val="auto"/>
          <w:sz w:val="22"/>
          <w:szCs w:val="22"/>
        </w:rPr>
        <w:t>-1 and AP-2</w:t>
      </w:r>
      <w:r w:rsidR="004D56EA">
        <w:rPr>
          <w:color w:val="auto"/>
          <w:sz w:val="22"/>
          <w:szCs w:val="22"/>
        </w:rPr>
        <w:t xml:space="preserve"> advertise </w:t>
      </w:r>
      <w:r w:rsidR="000F127E">
        <w:rPr>
          <w:color w:val="auto"/>
          <w:sz w:val="22"/>
          <w:szCs w:val="22"/>
        </w:rPr>
        <w:t>their</w:t>
      </w:r>
      <w:r w:rsidR="004D56EA">
        <w:rPr>
          <w:color w:val="auto"/>
          <w:sz w:val="22"/>
          <w:szCs w:val="22"/>
        </w:rPr>
        <w:t xml:space="preserve"> support of device ID in the RSNXE in Beacons and Probe Responses</w:t>
      </w:r>
      <w:r>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Pr>
          <w:color w:val="auto"/>
          <w:sz w:val="22"/>
          <w:szCs w:val="22"/>
        </w:rPr>
        <w:t xml:space="preserve"> </w:t>
      </w:r>
      <w:r w:rsidR="004D56EA">
        <w:rPr>
          <w:color w:val="auto"/>
          <w:sz w:val="22"/>
          <w:szCs w:val="22"/>
        </w:rPr>
        <w:t>i.e., the non-AP STA does not have a device ID for that AP/ESS</w:t>
      </w:r>
      <w:r>
        <w:rPr>
          <w:color w:val="auto"/>
          <w:sz w:val="22"/>
          <w:szCs w:val="22"/>
        </w:rPr>
        <w:t xml:space="preserve">. After </w:t>
      </w:r>
      <w:r w:rsidR="00464F9F">
        <w:rPr>
          <w:color w:val="auto"/>
          <w:sz w:val="22"/>
          <w:szCs w:val="22"/>
        </w:rPr>
        <w:t xml:space="preserve">the </w:t>
      </w:r>
      <w:r>
        <w:rPr>
          <w:color w:val="auto"/>
          <w:sz w:val="22"/>
          <w:szCs w:val="22"/>
        </w:rPr>
        <w:t xml:space="preserve">authentication frame exchange, </w:t>
      </w:r>
      <w:r w:rsidR="00464F9F">
        <w:rPr>
          <w:color w:val="auto"/>
          <w:sz w:val="22"/>
          <w:szCs w:val="22"/>
        </w:rPr>
        <w:t xml:space="preserve">the </w:t>
      </w:r>
      <w:r>
        <w:rPr>
          <w:color w:val="auto"/>
          <w:sz w:val="22"/>
          <w:szCs w:val="22"/>
        </w:rPr>
        <w:t>non-AP STA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 xml:space="preserve">Device </w:t>
      </w:r>
      <w:r w:rsidR="002D410B" w:rsidRPr="002D410B">
        <w:rPr>
          <w:color w:val="auto"/>
          <w:sz w:val="22"/>
          <w:szCs w:val="22"/>
        </w:rPr>
        <w:lastRenderedPageBreak/>
        <w:t>ID Active field in the RSNXE to 1</w:t>
      </w:r>
      <w:r>
        <w:rPr>
          <w:color w:val="auto"/>
          <w:sz w:val="22"/>
          <w:szCs w:val="22"/>
        </w:rPr>
        <w:t xml:space="preserve"> in </w:t>
      </w:r>
      <w:r w:rsidR="00464F9F">
        <w:rPr>
          <w:color w:val="auto"/>
          <w:sz w:val="22"/>
          <w:szCs w:val="22"/>
        </w:rPr>
        <w:t xml:space="preserve">the </w:t>
      </w:r>
      <w:r>
        <w:rPr>
          <w:color w:val="auto"/>
          <w:sz w:val="22"/>
          <w:szCs w:val="22"/>
        </w:rPr>
        <w:t xml:space="preserve">Association Request. Similarly,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FILS </w:t>
      </w:r>
      <w:r>
        <w:rPr>
          <w:color w:val="auto"/>
          <w:sz w:val="22"/>
          <w:szCs w:val="22"/>
        </w:rPr>
        <w:t xml:space="preserve">Association Response. In </w:t>
      </w:r>
      <w:r w:rsidR="00464F9F">
        <w:rPr>
          <w:color w:val="auto"/>
          <w:sz w:val="22"/>
          <w:szCs w:val="22"/>
        </w:rPr>
        <w:t xml:space="preserve">the FILS </w:t>
      </w:r>
      <w:r>
        <w:rPr>
          <w:color w:val="auto"/>
          <w:sz w:val="22"/>
          <w:szCs w:val="22"/>
        </w:rPr>
        <w:t xml:space="preserve">Association Response,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w:t>
      </w:r>
      <w:r w:rsidR="005C310B">
        <w:rPr>
          <w:color w:val="auto"/>
          <w:sz w:val="22"/>
          <w:szCs w:val="22"/>
        </w:rPr>
        <w:t xml:space="preserve">includes Device ID element and </w:t>
      </w:r>
      <w:r>
        <w:rPr>
          <w:color w:val="auto"/>
          <w:sz w:val="22"/>
          <w:szCs w:val="22"/>
        </w:rPr>
        <w:t xml:space="preserve">assigns a device ID (devID1) to </w:t>
      </w:r>
      <w:r w:rsidR="005C310B">
        <w:rPr>
          <w:color w:val="auto"/>
          <w:sz w:val="22"/>
          <w:szCs w:val="22"/>
        </w:rPr>
        <w:t xml:space="preserve">the </w:t>
      </w:r>
      <w:r>
        <w:rPr>
          <w:color w:val="auto"/>
          <w:sz w:val="22"/>
          <w:szCs w:val="22"/>
        </w:rPr>
        <w:t>non-AP STA</w:t>
      </w:r>
      <w:r w:rsidR="005C310B">
        <w:rPr>
          <w:color w:val="auto"/>
          <w:sz w:val="22"/>
          <w:szCs w:val="22"/>
        </w:rPr>
        <w:t>.</w:t>
      </w:r>
      <w:r>
        <w:rPr>
          <w:color w:val="auto"/>
          <w:sz w:val="22"/>
          <w:szCs w:val="22"/>
        </w:rPr>
        <w:t xml:space="preserve"> </w:t>
      </w:r>
      <w:r w:rsidR="000F127E">
        <w:rPr>
          <w:color w:val="auto"/>
          <w:sz w:val="22"/>
          <w:szCs w:val="22"/>
        </w:rPr>
        <w:t xml:space="preserve">Non-AP STA, AP-1, and AP-2 store this devID1.  </w:t>
      </w:r>
    </w:p>
    <w:p w14:paraId="553E3C39" w14:textId="77777777" w:rsidR="005C310B" w:rsidRDefault="005C310B" w:rsidP="00906814">
      <w:pPr>
        <w:pStyle w:val="Default"/>
        <w:jc w:val="both"/>
        <w:rPr>
          <w:color w:val="auto"/>
          <w:sz w:val="22"/>
          <w:szCs w:val="22"/>
        </w:rPr>
      </w:pPr>
    </w:p>
    <w:p w14:paraId="25813167" w14:textId="2A731ADD" w:rsidR="005C310B" w:rsidRDefault="005C310B" w:rsidP="00906814">
      <w:pPr>
        <w:pStyle w:val="Default"/>
        <w:jc w:val="both"/>
        <w:rPr>
          <w:color w:val="auto"/>
          <w:sz w:val="22"/>
          <w:szCs w:val="22"/>
        </w:rPr>
      </w:pPr>
      <w:r>
        <w:rPr>
          <w:color w:val="auto"/>
          <w:sz w:val="22"/>
          <w:szCs w:val="22"/>
        </w:rPr>
        <w:t>Later the non-AP STA terminates the connection with the AP</w:t>
      </w:r>
      <w:r w:rsidR="000F127E">
        <w:rPr>
          <w:color w:val="auto"/>
          <w:sz w:val="22"/>
          <w:szCs w:val="22"/>
        </w:rPr>
        <w:t>-1</w:t>
      </w:r>
      <w:r>
        <w:rPr>
          <w:color w:val="auto"/>
          <w:sz w:val="22"/>
          <w:szCs w:val="22"/>
        </w:rPr>
        <w:t>.</w:t>
      </w:r>
    </w:p>
    <w:p w14:paraId="5EF1204E" w14:textId="77777777" w:rsidR="005C310B" w:rsidRDefault="005C310B" w:rsidP="00906814">
      <w:pPr>
        <w:pStyle w:val="Default"/>
        <w:jc w:val="both"/>
        <w:rPr>
          <w:color w:val="auto"/>
          <w:sz w:val="22"/>
          <w:szCs w:val="22"/>
        </w:rPr>
      </w:pPr>
    </w:p>
    <w:p w14:paraId="4EB706FF" w14:textId="103214C0" w:rsidR="00906814" w:rsidRDefault="005C310B" w:rsidP="00906814">
      <w:pPr>
        <w:pStyle w:val="Default"/>
        <w:jc w:val="both"/>
        <w:rPr>
          <w:color w:val="auto"/>
          <w:sz w:val="22"/>
          <w:szCs w:val="22"/>
        </w:rPr>
      </w:pPr>
      <w:r>
        <w:rPr>
          <w:color w:val="auto"/>
          <w:sz w:val="22"/>
          <w:szCs w:val="22"/>
        </w:rPr>
        <w:t xml:space="preserve">The </w:t>
      </w:r>
      <w:r w:rsidR="00906814">
        <w:rPr>
          <w:color w:val="auto"/>
          <w:sz w:val="22"/>
          <w:szCs w:val="22"/>
        </w:rPr>
        <w:t xml:space="preserve">non-AP STA </w:t>
      </w:r>
      <w:r>
        <w:rPr>
          <w:color w:val="auto"/>
          <w:sz w:val="22"/>
          <w:szCs w:val="22"/>
        </w:rPr>
        <w:t xml:space="preserve">then </w:t>
      </w:r>
      <w:r w:rsidR="00906814">
        <w:rPr>
          <w:color w:val="auto"/>
          <w:sz w:val="22"/>
          <w:szCs w:val="22"/>
        </w:rPr>
        <w:t xml:space="preserve">returns to </w:t>
      </w:r>
      <w:r>
        <w:rPr>
          <w:color w:val="auto"/>
          <w:sz w:val="22"/>
          <w:szCs w:val="22"/>
        </w:rPr>
        <w:t xml:space="preserve">that </w:t>
      </w:r>
      <w:r w:rsidR="00906814">
        <w:rPr>
          <w:color w:val="auto"/>
          <w:sz w:val="22"/>
          <w:szCs w:val="22"/>
        </w:rPr>
        <w:t xml:space="preserve">same ESS </w:t>
      </w:r>
      <w:r>
        <w:rPr>
          <w:color w:val="auto"/>
          <w:sz w:val="22"/>
          <w:szCs w:val="22"/>
        </w:rPr>
        <w:t xml:space="preserve">using a different </w:t>
      </w:r>
      <w:r w:rsidR="00906814">
        <w:rPr>
          <w:color w:val="auto"/>
          <w:sz w:val="22"/>
          <w:szCs w:val="22"/>
        </w:rPr>
        <w:t xml:space="preserve">MAC (MAC2), </w:t>
      </w:r>
      <w:r w:rsidR="00BD1826">
        <w:rPr>
          <w:color w:val="auto"/>
          <w:sz w:val="22"/>
          <w:szCs w:val="22"/>
        </w:rPr>
        <w:t xml:space="preserve">non-AP STA </w:t>
      </w:r>
      <w:r>
        <w:rPr>
          <w:color w:val="auto"/>
          <w:sz w:val="22"/>
          <w:szCs w:val="22"/>
        </w:rPr>
        <w:t xml:space="preserve">again indicating </w:t>
      </w:r>
      <w:r w:rsidR="00AC5D13">
        <w:rPr>
          <w:color w:val="auto"/>
          <w:sz w:val="22"/>
          <w:szCs w:val="22"/>
        </w:rPr>
        <w:t>activation</w:t>
      </w:r>
      <w:r>
        <w:rPr>
          <w:color w:val="auto"/>
          <w:sz w:val="22"/>
          <w:szCs w:val="22"/>
        </w:rPr>
        <w:t xml:space="preserve"> of device ID in the Association Request.  The non-AP STA then</w:t>
      </w:r>
      <w:r w:rsidR="00BD1826">
        <w:rPr>
          <w:color w:val="auto"/>
          <w:sz w:val="22"/>
          <w:szCs w:val="22"/>
        </w:rPr>
        <w:t xml:space="preserve"> provides </w:t>
      </w:r>
      <w:r>
        <w:rPr>
          <w:color w:val="auto"/>
          <w:sz w:val="22"/>
          <w:szCs w:val="22"/>
        </w:rPr>
        <w:t xml:space="preserve">the </w:t>
      </w:r>
      <w:r w:rsidR="00BD1826">
        <w:rPr>
          <w:color w:val="auto"/>
          <w:sz w:val="22"/>
          <w:szCs w:val="22"/>
        </w:rPr>
        <w:t>previously assigned device ID (devID1) to AP</w:t>
      </w:r>
      <w:r w:rsidR="000F127E">
        <w:rPr>
          <w:color w:val="auto"/>
          <w:sz w:val="22"/>
          <w:szCs w:val="22"/>
        </w:rPr>
        <w:t>-2</w:t>
      </w:r>
      <w:r w:rsidR="00BD1826">
        <w:rPr>
          <w:color w:val="auto"/>
          <w:sz w:val="22"/>
          <w:szCs w:val="22"/>
        </w:rPr>
        <w:t xml:space="preserve"> in </w:t>
      </w:r>
      <w:r>
        <w:rPr>
          <w:color w:val="auto"/>
          <w:sz w:val="22"/>
          <w:szCs w:val="22"/>
        </w:rPr>
        <w:t xml:space="preserve">a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w:t>
      </w:r>
      <w:r>
        <w:rPr>
          <w:color w:val="auto"/>
          <w:sz w:val="22"/>
          <w:szCs w:val="22"/>
        </w:rPr>
        <w:t xml:space="preserve">the FILS </w:t>
      </w:r>
      <w:r w:rsidR="00BD1826">
        <w:rPr>
          <w:color w:val="auto"/>
          <w:sz w:val="22"/>
          <w:szCs w:val="22"/>
        </w:rPr>
        <w:t>Association Request.</w:t>
      </w:r>
      <w:r w:rsidR="00BD1826">
        <w:rPr>
          <w:rFonts w:hint="eastAsia"/>
          <w:color w:val="auto"/>
          <w:sz w:val="22"/>
          <w:szCs w:val="22"/>
        </w:rPr>
        <w:t xml:space="preserve"> </w:t>
      </w:r>
      <w:r w:rsidR="00906814">
        <w:rPr>
          <w:color w:val="auto"/>
          <w:sz w:val="22"/>
          <w:szCs w:val="22"/>
        </w:rPr>
        <w:t xml:space="preserve">Because of devID1, </w:t>
      </w:r>
      <w:r>
        <w:rPr>
          <w:color w:val="auto"/>
          <w:sz w:val="22"/>
          <w:szCs w:val="22"/>
        </w:rPr>
        <w:t>The AP</w:t>
      </w:r>
      <w:r w:rsidR="000F127E">
        <w:rPr>
          <w:color w:val="auto"/>
          <w:sz w:val="22"/>
          <w:szCs w:val="22"/>
        </w:rPr>
        <w:t>-2</w:t>
      </w:r>
      <w:r>
        <w:rPr>
          <w:color w:val="auto"/>
          <w:sz w:val="22"/>
          <w:szCs w:val="22"/>
        </w:rPr>
        <w:t xml:space="preserve"> identifies the non-AP STA from the device ID (devID1) despite the non-AP STA using a randomized MAC address (MAC2)</w:t>
      </w:r>
      <w:r w:rsidR="00906814">
        <w:rPr>
          <w:color w:val="auto"/>
          <w:sz w:val="22"/>
          <w:szCs w:val="22"/>
        </w:rPr>
        <w:t>.</w:t>
      </w:r>
      <w:r w:rsidR="0037298F">
        <w:rPr>
          <w:color w:val="auto"/>
          <w:sz w:val="22"/>
          <w:szCs w:val="22"/>
        </w:rPr>
        <w:t xml:space="preserve"> </w:t>
      </w:r>
      <w:r>
        <w:rPr>
          <w:color w:val="auto"/>
          <w:sz w:val="22"/>
          <w:szCs w:val="22"/>
        </w:rPr>
        <w:t>The AP</w:t>
      </w:r>
      <w:r w:rsidR="000F127E">
        <w:rPr>
          <w:color w:val="auto"/>
          <w:sz w:val="22"/>
          <w:szCs w:val="22"/>
        </w:rPr>
        <w:t>-2</w:t>
      </w:r>
      <w:r>
        <w:rPr>
          <w:color w:val="auto"/>
          <w:sz w:val="22"/>
          <w:szCs w:val="22"/>
        </w:rPr>
        <w:t xml:space="preserve"> then sends a device ID element in the FILS Association Response with the Status field set to 0 indicating that the device ID has been recognized</w:t>
      </w:r>
      <w:r w:rsidR="00906814">
        <w:rPr>
          <w:color w:val="auto"/>
          <w:sz w:val="22"/>
          <w:szCs w:val="22"/>
        </w:rPr>
        <w:t>.</w:t>
      </w:r>
      <w:r w:rsidR="0037298F">
        <w:rPr>
          <w:color w:val="auto"/>
          <w:sz w:val="22"/>
          <w:szCs w:val="22"/>
        </w:rPr>
        <w:t xml:space="preserve"> (Notice the device ID activation from AP</w:t>
      </w:r>
      <w:r w:rsidR="000F127E">
        <w:rPr>
          <w:color w:val="auto"/>
          <w:sz w:val="22"/>
          <w:szCs w:val="22"/>
        </w:rPr>
        <w:t>-2</w:t>
      </w:r>
      <w:r w:rsidR="0037298F">
        <w:rPr>
          <w:color w:val="auto"/>
          <w:sz w:val="22"/>
          <w:szCs w:val="22"/>
        </w:rPr>
        <w:t xml:space="preserve"> via Association Response frame as well).</w:t>
      </w:r>
    </w:p>
    <w:p w14:paraId="0DA8006C" w14:textId="77777777" w:rsidR="005C310B" w:rsidRDefault="005C310B" w:rsidP="00906814">
      <w:pPr>
        <w:pStyle w:val="Default"/>
        <w:jc w:val="both"/>
        <w:rPr>
          <w:color w:val="auto"/>
          <w:sz w:val="22"/>
          <w:szCs w:val="22"/>
        </w:rPr>
      </w:pPr>
    </w:p>
    <w:p w14:paraId="2342E4BD" w14:textId="164771EB" w:rsidR="005C310B" w:rsidRDefault="005C310B" w:rsidP="005C310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may allocate a new device ID</w:t>
      </w:r>
      <w:r w:rsidR="00DA7882">
        <w:rPr>
          <w:color w:val="auto"/>
          <w:sz w:val="22"/>
          <w:szCs w:val="22"/>
        </w:rPr>
        <w:t xml:space="preserve"> (devID2)</w:t>
      </w:r>
      <w:r>
        <w:rPr>
          <w:color w:val="auto"/>
          <w:sz w:val="22"/>
          <w:szCs w:val="22"/>
        </w:rPr>
        <w:t xml:space="preserve"> in the device ID element sent in the FILS Association Response.  </w:t>
      </w:r>
    </w:p>
    <w:p w14:paraId="3808E58E" w14:textId="77777777" w:rsidR="005C310B" w:rsidRDefault="005C310B" w:rsidP="00906814">
      <w:pPr>
        <w:pStyle w:val="Default"/>
        <w:jc w:val="both"/>
        <w:rPr>
          <w:color w:val="auto"/>
          <w:sz w:val="22"/>
          <w:szCs w:val="22"/>
        </w:rPr>
      </w:pPr>
    </w:p>
    <w:p w14:paraId="253C2C30" w14:textId="77777777" w:rsidR="0037298F" w:rsidRPr="0037298F" w:rsidRDefault="0037298F" w:rsidP="00906814">
      <w:pPr>
        <w:pStyle w:val="Default"/>
        <w:jc w:val="both"/>
        <w:rPr>
          <w:color w:val="auto"/>
          <w:sz w:val="22"/>
          <w:szCs w:val="22"/>
        </w:rPr>
      </w:pPr>
    </w:p>
    <w:p w14:paraId="3CCB9E7C" w14:textId="65F7E8A6"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drawing>
          <wp:inline distT="0" distB="0" distL="0" distR="0" wp14:anchorId="2694FD71" wp14:editId="531BA0E2">
            <wp:extent cx="5943600" cy="5393690"/>
            <wp:effectExtent l="0" t="0" r="0" b="0"/>
            <wp:docPr id="2088575825" name="Picture 3"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75825" name="Picture 3"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393690"/>
                    </a:xfrm>
                    <a:prstGeom prst="rect">
                      <a:avLst/>
                    </a:prstGeom>
                    <a:noFill/>
                    <a:ln>
                      <a:noFill/>
                    </a:ln>
                  </pic:spPr>
                </pic:pic>
              </a:graphicData>
            </a:graphic>
          </wp:inline>
        </w:drawing>
      </w:r>
    </w:p>
    <w:p w14:paraId="41E08A4F" w14:textId="43CB8317" w:rsidR="00906814" w:rsidRPr="00906814" w:rsidRDefault="00906814" w:rsidP="00906814">
      <w:pPr>
        <w:jc w:val="center"/>
        <w:rPr>
          <w:rFonts w:ascii="SimSun" w:eastAsia="SimSun" w:hAnsi="SimSun" w:cs="SimSun"/>
          <w:sz w:val="24"/>
          <w:szCs w:val="24"/>
          <w:lang w:val="en-US" w:eastAsia="zh-CN"/>
        </w:rPr>
      </w:pP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lastRenderedPageBreak/>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787187D6" w:rsidR="002D410B" w:rsidRDefault="002D410B" w:rsidP="002D410B">
      <w:pPr>
        <w:jc w:val="both"/>
      </w:pPr>
      <w:r w:rsidRPr="008A350F">
        <w:t xml:space="preserve">Figure </w:t>
      </w:r>
      <w:r>
        <w:t>AX-3</w:t>
      </w:r>
      <w:r w:rsidRPr="008A350F">
        <w:t xml:space="preserve"> shows an example of a device ID </w:t>
      </w:r>
      <w:r w:rsidR="00C75E99">
        <w:t xml:space="preserve">and PASN ID </w:t>
      </w:r>
      <w:r w:rsidRPr="008A350F">
        <w:t>exchange in</w:t>
      </w:r>
      <w:r>
        <w:t xml:space="preserve"> </w:t>
      </w:r>
      <w:r w:rsidRPr="008A350F">
        <w:t>PASN. The example illustrates a non-AP STA performing PASN to establish FTM session(s) in an ESS</w:t>
      </w:r>
      <w:r>
        <w:t xml:space="preserve"> </w:t>
      </w:r>
      <w:r w:rsidRPr="008A350F">
        <w:t>containing AP</w:t>
      </w:r>
      <w:r w:rsidR="00133A20">
        <w:t>-</w:t>
      </w:r>
      <w:r w:rsidRPr="008A350F">
        <w:t>1 and AP</w:t>
      </w:r>
      <w:r w:rsidR="00133A20">
        <w:t>-</w:t>
      </w:r>
      <w:r w:rsidRPr="008A350F">
        <w:t xml:space="preserve">2. </w:t>
      </w:r>
      <w:r>
        <w:rPr>
          <w:szCs w:val="22"/>
        </w:rPr>
        <w:t>AP</w:t>
      </w:r>
      <w:r w:rsidR="00133A20">
        <w:rPr>
          <w:szCs w:val="22"/>
        </w:rPr>
        <w:t>-</w:t>
      </w:r>
      <w:r w:rsidR="00DE6AC6">
        <w:rPr>
          <w:szCs w:val="22"/>
        </w:rPr>
        <w:t>1 and AP</w:t>
      </w:r>
      <w:r w:rsidR="00133A20">
        <w:rPr>
          <w:szCs w:val="22"/>
        </w:rPr>
        <w:t>-</w:t>
      </w:r>
      <w:r w:rsidR="00DE6AC6">
        <w:rPr>
          <w:szCs w:val="22"/>
        </w:rPr>
        <w:t>2</w:t>
      </w:r>
      <w:r>
        <w:rPr>
          <w:szCs w:val="22"/>
        </w:rPr>
        <w:t xml:space="preserve"> advertise </w:t>
      </w:r>
      <w:r w:rsidR="00DE6AC6">
        <w:rPr>
          <w:szCs w:val="22"/>
        </w:rPr>
        <w:t>their</w:t>
      </w:r>
      <w:r>
        <w:rPr>
          <w:szCs w:val="22"/>
        </w:rPr>
        <w:t xml:space="preserve"> support of device ID</w:t>
      </w:r>
      <w:r w:rsidR="00C75E99">
        <w:rPr>
          <w:szCs w:val="22"/>
        </w:rPr>
        <w:t xml:space="preserve"> and PASN ID</w:t>
      </w:r>
      <w:r>
        <w:rPr>
          <w:szCs w:val="22"/>
        </w:rPr>
        <w:t xml:space="preserve"> in </w:t>
      </w:r>
      <w:r w:rsidR="005C310B">
        <w:rPr>
          <w:szCs w:val="22"/>
        </w:rPr>
        <w:t xml:space="preserve">the </w:t>
      </w:r>
      <w:r>
        <w:rPr>
          <w:szCs w:val="22"/>
        </w:rPr>
        <w:t>RSNXE in Beacon</w:t>
      </w:r>
      <w:r w:rsidR="00C85084">
        <w:rPr>
          <w:szCs w:val="22"/>
        </w:rPr>
        <w:t>s</w:t>
      </w:r>
      <w:r>
        <w:rPr>
          <w:szCs w:val="22"/>
        </w:rPr>
        <w:t xml:space="preserve"> </w:t>
      </w:r>
      <w:r w:rsidR="00C85084">
        <w:rPr>
          <w:szCs w:val="22"/>
        </w:rPr>
        <w:t xml:space="preserve">and </w:t>
      </w:r>
      <w:r>
        <w:rPr>
          <w:szCs w:val="22"/>
        </w:rPr>
        <w:t>Probe Response</w:t>
      </w:r>
      <w:r w:rsidR="00C85084">
        <w:rPr>
          <w:szCs w:val="22"/>
        </w:rPr>
        <w:t>s</w:t>
      </w:r>
      <w:r>
        <w:rPr>
          <w:szCs w:val="22"/>
        </w:rPr>
        <w:t xml:space="preserve">. </w:t>
      </w:r>
      <w:r w:rsidRPr="008A350F">
        <w:t>The non-AP STA with a MAC address of MAC1 first initiates the connection with AP</w:t>
      </w:r>
      <w:r w:rsidR="00133A20">
        <w:t>-</w:t>
      </w:r>
      <w:r w:rsidRPr="008A350F">
        <w:t>1 by sending the first PASN frame with the Device ID Active field</w:t>
      </w:r>
      <w:r w:rsidR="00C75E99">
        <w:t xml:space="preserve"> and PASN</w:t>
      </w:r>
      <w:r w:rsidR="00C75E99" w:rsidRPr="008A350F">
        <w:t xml:space="preserve"> ID Active field</w:t>
      </w:r>
      <w:r w:rsidRPr="008A350F">
        <w:t xml:space="preserve"> in the RSNXE set to 1. Upon receiving the first PASN frame, AP1</w:t>
      </w:r>
      <w:r>
        <w:t xml:space="preserve"> </w:t>
      </w:r>
      <w:r>
        <w:rPr>
          <w:szCs w:val="22"/>
        </w:rPr>
        <w:t>indicates its activation of device ID</w:t>
      </w:r>
      <w:r w:rsidR="00C75E99">
        <w:rPr>
          <w:szCs w:val="22"/>
        </w:rPr>
        <w:t xml:space="preserve"> and PASN ID</w:t>
      </w:r>
      <w:r>
        <w:rPr>
          <w:szCs w:val="22"/>
        </w:rPr>
        <w:t xml:space="preserve"> </w:t>
      </w:r>
      <w:r w:rsidR="00C85084">
        <w:t xml:space="preserve">by setting the </w:t>
      </w:r>
      <w:r w:rsidRPr="002D410B">
        <w:rPr>
          <w:szCs w:val="22"/>
        </w:rPr>
        <w:t>Device ID Active field</w:t>
      </w:r>
      <w:r w:rsidR="00C75E99">
        <w:rPr>
          <w:szCs w:val="22"/>
        </w:rPr>
        <w:t xml:space="preserve"> </w:t>
      </w:r>
      <w:r w:rsidR="00C75E99">
        <w:t>and PASN</w:t>
      </w:r>
      <w:r w:rsidR="00C75E99" w:rsidRPr="008A350F">
        <w:t xml:space="preserve"> ID Active</w:t>
      </w:r>
      <w:r w:rsidRPr="002D410B">
        <w:rPr>
          <w:szCs w:val="22"/>
        </w:rPr>
        <w:t xml:space="preserve"> in the RSNXE to 1</w:t>
      </w:r>
      <w:r w:rsidR="00C85084">
        <w:t>.  AP</w:t>
      </w:r>
      <w:r w:rsidR="00133A20">
        <w:t>-</w:t>
      </w:r>
      <w:r w:rsidR="00C85084">
        <w:t xml:space="preserve">1 </w:t>
      </w:r>
      <w:r w:rsidR="00E80B99">
        <w:t xml:space="preserve">then </w:t>
      </w:r>
      <w:r w:rsidRPr="008A350F">
        <w:t>assigns a device ID (devID1)</w:t>
      </w:r>
      <w:r w:rsidR="00C75E99">
        <w:t xml:space="preserve"> and a PASN ID (PASN ID1), and</w:t>
      </w:r>
      <w:r w:rsidRPr="008A350F">
        <w:t xml:space="preserve"> sends </w:t>
      </w:r>
      <w:r w:rsidR="00C75E99">
        <w:t>them</w:t>
      </w:r>
      <w:r w:rsidRPr="008A350F">
        <w:t xml:space="preserve"> to the non-AP STA</w:t>
      </w:r>
      <w:r w:rsidR="00E80B99">
        <w:t xml:space="preserve"> </w:t>
      </w:r>
      <w:r w:rsidR="00450AF3">
        <w:t xml:space="preserve">in </w:t>
      </w:r>
      <w:r w:rsidR="00C85084">
        <w:t xml:space="preserve">the Device ID field in the </w:t>
      </w:r>
      <w:r w:rsidR="00450AF3">
        <w:t>D</w:t>
      </w:r>
      <w:r w:rsidR="00EB1C80">
        <w:t xml:space="preserve">evice ID </w:t>
      </w:r>
      <w:proofErr w:type="spellStart"/>
      <w:r w:rsidR="001F01C1">
        <w:t>sub</w:t>
      </w:r>
      <w:r w:rsidR="00EB1C80">
        <w:t>element</w:t>
      </w:r>
      <w:proofErr w:type="spellEnd"/>
      <w:r w:rsidR="00C75E99">
        <w:t xml:space="preserve"> and </w:t>
      </w:r>
      <w:r w:rsidR="00C75E99">
        <w:t xml:space="preserve">in the </w:t>
      </w:r>
      <w:r w:rsidR="00C75E99">
        <w:t>PASN</w:t>
      </w:r>
      <w:r w:rsidR="00C75E99">
        <w:t xml:space="preserve"> ID field in the </w:t>
      </w:r>
      <w:r w:rsidR="00C75E99">
        <w:t>PASN</w:t>
      </w:r>
      <w:r w:rsidR="00C75E99">
        <w:t xml:space="preserve"> ID </w:t>
      </w:r>
      <w:proofErr w:type="spellStart"/>
      <w:r w:rsidR="00C75E99">
        <w:t>subelement</w:t>
      </w:r>
      <w:proofErr w:type="spellEnd"/>
      <w:r w:rsidR="00EB1C80">
        <w:t xml:space="preserve"> </w:t>
      </w:r>
      <w:r w:rsidR="00E80B99">
        <w:t xml:space="preserve">in </w:t>
      </w:r>
      <w:r w:rsidR="00C85084">
        <w:t xml:space="preserve">the </w:t>
      </w:r>
      <w:r w:rsidR="00E80B99">
        <w:t xml:space="preserve">PASN </w:t>
      </w:r>
      <w:proofErr w:type="spellStart"/>
      <w:r w:rsidR="00E80B99">
        <w:t>Ecrypted</w:t>
      </w:r>
      <w:proofErr w:type="spellEnd"/>
      <w:r w:rsidR="00E80B99">
        <w:t xml:space="preserve"> Data </w:t>
      </w:r>
      <w:r w:rsidR="00450AF3">
        <w:t>element</w:t>
      </w:r>
      <w:r w:rsidRPr="008A350F">
        <w:t xml:space="preserve"> in the second PASN frame. </w:t>
      </w:r>
      <w:r w:rsidR="003E239D">
        <w:rPr>
          <w:szCs w:val="22"/>
        </w:rPr>
        <w:t>N</w:t>
      </w:r>
      <w:r w:rsidR="00C53E32">
        <w:rPr>
          <w:szCs w:val="22"/>
        </w:rPr>
        <w:t>on-AP STA</w:t>
      </w:r>
      <w:r w:rsidR="003E239D">
        <w:rPr>
          <w:szCs w:val="22"/>
        </w:rPr>
        <w:t>, AP</w:t>
      </w:r>
      <w:r w:rsidR="00133A20">
        <w:rPr>
          <w:szCs w:val="22"/>
        </w:rPr>
        <w:t>-</w:t>
      </w:r>
      <w:r w:rsidR="003E239D">
        <w:rPr>
          <w:szCs w:val="22"/>
        </w:rPr>
        <w:t xml:space="preserve">1 and </w:t>
      </w:r>
      <w:r w:rsidR="00C53E32">
        <w:rPr>
          <w:szCs w:val="22"/>
        </w:rPr>
        <w:t>AP</w:t>
      </w:r>
      <w:r w:rsidR="00133A20">
        <w:rPr>
          <w:szCs w:val="22"/>
        </w:rPr>
        <w:t>-</w:t>
      </w:r>
      <w:r w:rsidR="003E239D">
        <w:rPr>
          <w:szCs w:val="22"/>
        </w:rPr>
        <w:t>2</w:t>
      </w:r>
      <w:r w:rsidR="00C53E32">
        <w:rPr>
          <w:szCs w:val="22"/>
        </w:rPr>
        <w:t xml:space="preserve"> store devID1</w:t>
      </w:r>
      <w:r w:rsidR="00C75E99">
        <w:rPr>
          <w:szCs w:val="22"/>
        </w:rPr>
        <w:t xml:space="preserve"> and PASN ID1</w:t>
      </w:r>
      <w:r w:rsidR="00C53E32">
        <w:rPr>
          <w:szCs w:val="22"/>
        </w:rPr>
        <w:t xml:space="preserve">. </w:t>
      </w:r>
      <w:r w:rsidRPr="008A350F">
        <w:t>The non-AP STA then continues to establish an FTM session with AP</w:t>
      </w:r>
      <w:r w:rsidR="00133A20">
        <w:t>-</w:t>
      </w:r>
      <w:r w:rsidRPr="008A350F">
        <w:t>1. When the non-AP STA</w:t>
      </w:r>
      <w:r w:rsidR="00C85084">
        <w:t>,</w:t>
      </w:r>
      <w:r w:rsidRPr="008A350F">
        <w:t xml:space="preserve"> </w:t>
      </w:r>
      <w:r w:rsidR="00C85084">
        <w:t>now using</w:t>
      </w:r>
      <w:r w:rsidR="00C85084" w:rsidRPr="008A350F">
        <w:t xml:space="preserve"> </w:t>
      </w:r>
      <w:r w:rsidRPr="008A350F">
        <w:t>a MAC address of MAC2 (non-AP STA changing its MAC from MAC1 to MAC2)</w:t>
      </w:r>
      <w:r w:rsidR="00C85084">
        <w:t>,</w:t>
      </w:r>
      <w:r w:rsidRPr="008A350F">
        <w:t xml:space="preserve"> performs PASN with AP</w:t>
      </w:r>
      <w:r w:rsidR="00133A20">
        <w:t>-</w:t>
      </w:r>
      <w:r w:rsidRPr="008A350F">
        <w:t xml:space="preserve">2 to establish another FTM session, the non-AP STA sends </w:t>
      </w:r>
      <w:r w:rsidR="00C85084">
        <w:t xml:space="preserve">the </w:t>
      </w:r>
      <w:r w:rsidRPr="008A350F">
        <w:t xml:space="preserve">previously assigned </w:t>
      </w:r>
      <w:r w:rsidR="00C75E99">
        <w:t>PASN</w:t>
      </w:r>
      <w:r w:rsidRPr="008A350F">
        <w:t xml:space="preserve"> ID (</w:t>
      </w:r>
      <w:r w:rsidR="00C75E99">
        <w:t xml:space="preserve">PASN </w:t>
      </w:r>
      <w:r w:rsidRPr="008A350F">
        <w:t>ID1) to AP</w:t>
      </w:r>
      <w:r w:rsidR="00133A20">
        <w:t>-</w:t>
      </w:r>
      <w:r w:rsidRPr="008A350F">
        <w:t>2</w:t>
      </w:r>
      <w:r w:rsidR="00E80B99">
        <w:t xml:space="preserve"> in</w:t>
      </w:r>
      <w:r w:rsidR="00450AF3">
        <w:t xml:space="preserve"> </w:t>
      </w:r>
      <w:r w:rsidR="00C85084">
        <w:t xml:space="preserve">the </w:t>
      </w:r>
      <w:r w:rsidR="00C75E99">
        <w:t>PASN</w:t>
      </w:r>
      <w:r w:rsidR="00450AF3">
        <w:t xml:space="preserve"> ID</w:t>
      </w:r>
      <w:r w:rsidR="00C85084">
        <w:t xml:space="preserve"> field</w:t>
      </w:r>
      <w:r w:rsidR="00450AF3">
        <w:t xml:space="preserve"> in</w:t>
      </w:r>
      <w:r w:rsidR="00E80B99">
        <w:t xml:space="preserve"> </w:t>
      </w:r>
      <w:r w:rsidR="00C85084">
        <w:t xml:space="preserve">an </w:t>
      </w:r>
      <w:r w:rsidR="00C75E99">
        <w:t>PASN</w:t>
      </w:r>
      <w:r w:rsidR="00E80B99">
        <w:t xml:space="preserve"> ID </w:t>
      </w:r>
      <w:r w:rsidR="00450AF3">
        <w:t>element</w:t>
      </w:r>
      <w:r w:rsidRPr="008A350F">
        <w:t xml:space="preserve"> in the first PASN frame.</w:t>
      </w:r>
      <w:r w:rsidR="00DE6AC6" w:rsidRPr="00DE6AC6">
        <w:rPr>
          <w:szCs w:val="22"/>
        </w:rPr>
        <w:t xml:space="preserve"> </w:t>
      </w:r>
      <w:r w:rsidR="00DE6AC6">
        <w:rPr>
          <w:szCs w:val="22"/>
        </w:rPr>
        <w:t>AP</w:t>
      </w:r>
      <w:r w:rsidR="00133A20">
        <w:rPr>
          <w:szCs w:val="22"/>
        </w:rPr>
        <w:t>-</w:t>
      </w:r>
      <w:r w:rsidR="00C53E32">
        <w:rPr>
          <w:szCs w:val="22"/>
        </w:rPr>
        <w:t>2</w:t>
      </w:r>
      <w:r w:rsidR="00DE6AC6">
        <w:rPr>
          <w:szCs w:val="22"/>
        </w:rPr>
        <w:t xml:space="preserve"> identifies the non-AP STA </w:t>
      </w:r>
      <w:r w:rsidR="00C85084">
        <w:rPr>
          <w:szCs w:val="22"/>
        </w:rPr>
        <w:t xml:space="preserve">from the </w:t>
      </w:r>
      <w:r w:rsidR="00C75E99">
        <w:rPr>
          <w:szCs w:val="22"/>
        </w:rPr>
        <w:t>PASN</w:t>
      </w:r>
      <w:r w:rsidR="00C85084">
        <w:rPr>
          <w:szCs w:val="22"/>
        </w:rPr>
        <w:t xml:space="preserve"> ID (</w:t>
      </w:r>
      <w:r w:rsidR="00C75E99">
        <w:rPr>
          <w:szCs w:val="22"/>
        </w:rPr>
        <w:t xml:space="preserve">PASN </w:t>
      </w:r>
      <w:r w:rsidR="00C85084">
        <w:rPr>
          <w:szCs w:val="22"/>
        </w:rPr>
        <w:t xml:space="preserve">ID1) </w:t>
      </w:r>
      <w:r w:rsidR="00DE6AC6">
        <w:rPr>
          <w:szCs w:val="22"/>
        </w:rPr>
        <w:t xml:space="preserve">despite </w:t>
      </w:r>
      <w:r w:rsidR="00C85084">
        <w:rPr>
          <w:szCs w:val="22"/>
        </w:rPr>
        <w:t xml:space="preserve">the </w:t>
      </w:r>
      <w:r w:rsidR="00DE6AC6">
        <w:rPr>
          <w:szCs w:val="22"/>
        </w:rPr>
        <w:t xml:space="preserve">non-AP </w:t>
      </w:r>
      <w:r w:rsidR="00C85084">
        <w:rPr>
          <w:szCs w:val="22"/>
        </w:rPr>
        <w:t xml:space="preserve">STA using a </w:t>
      </w:r>
      <w:r w:rsidR="00DE6AC6">
        <w:rPr>
          <w:szCs w:val="22"/>
        </w:rPr>
        <w:t xml:space="preserve">randomized MAC </w:t>
      </w:r>
      <w:r w:rsidR="00C85084">
        <w:rPr>
          <w:szCs w:val="22"/>
        </w:rPr>
        <w:t xml:space="preserve">address </w:t>
      </w:r>
      <w:r w:rsidR="00DE6AC6">
        <w:rPr>
          <w:szCs w:val="22"/>
        </w:rPr>
        <w:t>(MAC2)</w:t>
      </w:r>
      <w:r w:rsidR="00C53E32">
        <w:t>.</w:t>
      </w:r>
      <w:r w:rsidRPr="008A350F">
        <w:t xml:space="preserve"> Upon receiving the </w:t>
      </w:r>
      <w:r w:rsidR="00C75E99">
        <w:t>PASN</w:t>
      </w:r>
      <w:r w:rsidRPr="008A350F">
        <w:t xml:space="preserve"> ID (</w:t>
      </w:r>
      <w:r w:rsidR="00C75E99">
        <w:t xml:space="preserve">PASN </w:t>
      </w:r>
      <w:r w:rsidRPr="008A350F">
        <w:t>ID1) in first PASN frame,</w:t>
      </w:r>
      <w:r w:rsidR="00C53E32" w:rsidRPr="00C53E32">
        <w:t xml:space="preserve"> </w:t>
      </w:r>
      <w:r w:rsidR="00C53E32" w:rsidRPr="001C385A">
        <w:t>AP</w:t>
      </w:r>
      <w:r w:rsidR="00133A20">
        <w:t>-</w:t>
      </w:r>
      <w:r w:rsidR="00C53E32">
        <w:t>2</w:t>
      </w:r>
      <w:r w:rsidR="00C53E32" w:rsidRPr="001C385A">
        <w:t xml:space="preserve"> may </w:t>
      </w:r>
      <w:r w:rsidR="00C85084">
        <w:t xml:space="preserve">send a </w:t>
      </w:r>
      <w:r w:rsidR="00C75E99">
        <w:t>PASN</w:t>
      </w:r>
      <w:r w:rsidR="00EB1C80">
        <w:t xml:space="preserve"> ID </w:t>
      </w:r>
      <w:proofErr w:type="spellStart"/>
      <w:r w:rsidR="001F01C1">
        <w:t>sub</w:t>
      </w:r>
      <w:r w:rsidR="00EB1C80">
        <w:t>element</w:t>
      </w:r>
      <w:proofErr w:type="spellEnd"/>
      <w:r w:rsidR="00EB1C80">
        <w:t xml:space="preserve"> </w:t>
      </w:r>
      <w:r w:rsidR="00C85084" w:rsidRPr="001C385A">
        <w:t xml:space="preserve">in </w:t>
      </w:r>
      <w:r w:rsidR="00C85084">
        <w:t xml:space="preserve">the PASN </w:t>
      </w:r>
      <w:proofErr w:type="spellStart"/>
      <w:r w:rsidR="00C85084">
        <w:t>Ecrypted</w:t>
      </w:r>
      <w:proofErr w:type="spellEnd"/>
      <w:r w:rsidR="00C85084">
        <w:t xml:space="preserve"> Data element</w:t>
      </w:r>
      <w:r w:rsidR="00C85084" w:rsidRPr="001C385A">
        <w:t xml:space="preserve"> in </w:t>
      </w:r>
      <w:r w:rsidR="00C85084">
        <w:t xml:space="preserve">the second PASN frame with the </w:t>
      </w:r>
      <w:r w:rsidR="00C75E99">
        <w:t>PASN</w:t>
      </w:r>
      <w:r w:rsidR="00C85084">
        <w:t xml:space="preserve"> ID status field set to 0, indicating that the </w:t>
      </w:r>
      <w:r w:rsidR="00C75E99">
        <w:t>PASN</w:t>
      </w:r>
      <w:r w:rsidR="00C85084">
        <w:t xml:space="preserve"> ID has been recognized.  </w:t>
      </w:r>
      <w:r w:rsidRPr="008A350F">
        <w:t>AP</w:t>
      </w:r>
      <w:r w:rsidR="00133A20">
        <w:t>-</w:t>
      </w:r>
      <w:r w:rsidRPr="008A350F">
        <w:t>2</w:t>
      </w:r>
      <w:r w:rsidR="00C53E32">
        <w:t xml:space="preserve"> </w:t>
      </w:r>
      <w:r w:rsidR="00C85084">
        <w:t xml:space="preserve">then </w:t>
      </w:r>
      <w:r w:rsidR="00C85084" w:rsidRPr="008A350F">
        <w:t xml:space="preserve"> </w:t>
      </w:r>
      <w:r w:rsidRPr="008A350F">
        <w:t>assign</w:t>
      </w:r>
      <w:r w:rsidR="00C85084">
        <w:t>s</w:t>
      </w:r>
      <w:r w:rsidRPr="008A350F">
        <w:t xml:space="preserve"> another </w:t>
      </w:r>
      <w:r w:rsidR="00C75E99">
        <w:t>PASN</w:t>
      </w:r>
      <w:r w:rsidRPr="008A350F">
        <w:t xml:space="preserve"> ID (</w:t>
      </w:r>
      <w:r w:rsidR="00C75E99">
        <w:t xml:space="preserve">PASN </w:t>
      </w:r>
      <w:r w:rsidRPr="008A350F">
        <w:t>ID2) and send</w:t>
      </w:r>
      <w:r w:rsidR="00C85084">
        <w:t>s</w:t>
      </w:r>
      <w:r w:rsidRPr="008A350F">
        <w:t xml:space="preserve"> it to the non-AP STA</w:t>
      </w:r>
      <w:r w:rsidR="00E80B99" w:rsidRPr="00E80B99">
        <w:t xml:space="preserve"> </w:t>
      </w:r>
      <w:r w:rsidR="00450AF3">
        <w:t xml:space="preserve">in </w:t>
      </w:r>
      <w:r w:rsidR="00576B22">
        <w:t xml:space="preserve">the </w:t>
      </w:r>
      <w:r w:rsidR="00C75E99">
        <w:t>PASN</w:t>
      </w:r>
      <w:r w:rsidR="00450AF3">
        <w:t xml:space="preserve"> ID </w:t>
      </w:r>
      <w:r w:rsidR="00576B22">
        <w:t xml:space="preserve">field </w:t>
      </w:r>
      <w:r w:rsidR="00450AF3">
        <w:t>in</w:t>
      </w:r>
      <w:r w:rsidR="00EB1C80">
        <w:t xml:space="preserve"> </w:t>
      </w:r>
      <w:r w:rsidR="00C75E99">
        <w:t>the</w:t>
      </w:r>
      <w:r w:rsidR="00576B22">
        <w:t xml:space="preserve"> </w:t>
      </w:r>
      <w:r w:rsidR="00C75E99">
        <w:t>PASN</w:t>
      </w:r>
      <w:r w:rsidR="00EB1C80">
        <w:t xml:space="preserve"> ID </w:t>
      </w:r>
      <w:proofErr w:type="spellStart"/>
      <w:r w:rsidR="008A6265">
        <w:t>sub</w:t>
      </w:r>
      <w:r w:rsidR="00EB1C80">
        <w:t>element</w:t>
      </w:r>
      <w:proofErr w:type="spellEnd"/>
      <w:r w:rsidR="00EB1C80">
        <w:t xml:space="preserve"> </w:t>
      </w:r>
      <w:r w:rsidR="00E80B99">
        <w:t>in</w:t>
      </w:r>
      <w:r w:rsidR="00576B22">
        <w:t xml:space="preserve">cluded in the </w:t>
      </w:r>
      <w:r w:rsidR="00E80B99">
        <w:t xml:space="preserve"> PASN </w:t>
      </w:r>
      <w:proofErr w:type="spellStart"/>
      <w:r w:rsidR="00E80B99">
        <w:t>Ecrypted</w:t>
      </w:r>
      <w:proofErr w:type="spellEnd"/>
      <w:r w:rsidR="00E80B99">
        <w:t xml:space="preserve"> Data </w:t>
      </w:r>
      <w:r w:rsidR="00450AF3">
        <w:t>element</w:t>
      </w:r>
      <w:r w:rsidRPr="008A350F">
        <w:t xml:space="preserve"> in the second PASN frame.</w:t>
      </w:r>
      <w:r w:rsidR="0037298F" w:rsidRPr="0037298F">
        <w:rPr>
          <w:szCs w:val="22"/>
        </w:rPr>
        <w:t xml:space="preserve"> </w:t>
      </w:r>
      <w:r w:rsidRPr="008A350F">
        <w:t>The non-AP STA then proceeds to establish the FTM session. Similarly, when the non-AP STA with a MAC address of MAC3 returns to AP</w:t>
      </w:r>
      <w:r w:rsidR="00133A20">
        <w:t>-</w:t>
      </w:r>
      <w:r w:rsidRPr="008A350F">
        <w:t xml:space="preserve">1, it sends the previously assigned </w:t>
      </w:r>
      <w:r w:rsidR="00C75E99">
        <w:t>PASN</w:t>
      </w:r>
      <w:r w:rsidRPr="008A350F">
        <w:t xml:space="preserve"> ID (</w:t>
      </w:r>
      <w:r w:rsidR="00C75E99">
        <w:t xml:space="preserve">PASN </w:t>
      </w:r>
      <w:r w:rsidRPr="008A350F">
        <w:t xml:space="preserve">ID2) and is assigned another </w:t>
      </w:r>
      <w:r w:rsidR="00C75E99">
        <w:t>PASN</w:t>
      </w:r>
      <w:r w:rsidRPr="008A350F">
        <w:t xml:space="preserve"> ID (</w:t>
      </w:r>
      <w:r w:rsidR="00C75E99">
        <w:t xml:space="preserve">PASN </w:t>
      </w:r>
      <w:r w:rsidRPr="008A350F">
        <w:t>ID3) that will be used in the subsequent PASN for another FTM session.</w:t>
      </w:r>
    </w:p>
    <w:p w14:paraId="5F74DDFE" w14:textId="63967FAF" w:rsidR="00DB6F78" w:rsidRPr="00DB6F78" w:rsidRDefault="00DB6F78" w:rsidP="00DB6F78">
      <w:pPr>
        <w:jc w:val="center"/>
        <w:rPr>
          <w:rFonts w:eastAsia="Times New Roman"/>
          <w:sz w:val="24"/>
          <w:szCs w:val="24"/>
          <w:lang w:val="en-DE" w:eastAsia="zh-CN"/>
        </w:rPr>
      </w:pPr>
      <w:r w:rsidRPr="00DB6F78">
        <w:rPr>
          <w:rFonts w:eastAsia="Times New Roman"/>
          <w:noProof/>
          <w:sz w:val="24"/>
          <w:szCs w:val="24"/>
          <w:lang w:val="en-DE" w:eastAsia="zh-CN"/>
        </w:rPr>
        <w:lastRenderedPageBreak/>
        <w:drawing>
          <wp:inline distT="0" distB="0" distL="0" distR="0" wp14:anchorId="7BE01AE6" wp14:editId="7AC02A8C">
            <wp:extent cx="5118972" cy="6493329"/>
            <wp:effectExtent l="0" t="0" r="5715" b="3175"/>
            <wp:docPr id="592482086" name="Picture 2"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82086" name="Picture 2" descr="A black background with whit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663" cy="6511964"/>
                    </a:xfrm>
                    <a:prstGeom prst="rect">
                      <a:avLst/>
                    </a:prstGeom>
                    <a:noFill/>
                    <a:ln>
                      <a:noFill/>
                    </a:ln>
                  </pic:spPr>
                </pic:pic>
              </a:graphicData>
            </a:graphic>
          </wp:inline>
        </w:drawing>
      </w:r>
    </w:p>
    <w:p w14:paraId="48B6AD3B" w14:textId="1EABDA50" w:rsidR="00CE079D" w:rsidRPr="00C75E99" w:rsidRDefault="00CE079D" w:rsidP="00C75E99">
      <w:pPr>
        <w:jc w:val="center"/>
        <w:rPr>
          <w:rFonts w:eastAsia="Times New Roman"/>
          <w:sz w:val="24"/>
          <w:szCs w:val="24"/>
          <w:lang w:val="en-DE" w:eastAsia="zh-CN"/>
        </w:rPr>
      </w:pPr>
    </w:p>
    <w:p w14:paraId="5380FE66" w14:textId="77777777" w:rsidR="002D410B" w:rsidRDefault="002D410B" w:rsidP="005060E1">
      <w:pPr>
        <w:pStyle w:val="Default"/>
        <w:jc w:val="both"/>
        <w:rPr>
          <w:color w:val="auto"/>
          <w:sz w:val="22"/>
          <w:szCs w:val="22"/>
        </w:rPr>
      </w:pPr>
    </w:p>
    <w:p w14:paraId="059D437B" w14:textId="162CB390"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w:t>
      </w:r>
      <w:r w:rsidR="00C75E99">
        <w:rPr>
          <w:color w:val="auto"/>
          <w:sz w:val="22"/>
          <w:szCs w:val="22"/>
        </w:rPr>
        <w:t xml:space="preserve"> and PASN ID</w:t>
      </w:r>
      <w:r>
        <w:rPr>
          <w:color w:val="auto"/>
          <w:sz w:val="22"/>
          <w:szCs w:val="22"/>
        </w:rPr>
        <w:t xml:space="preserve">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3CCBEC9D" w:rsidR="0079599B" w:rsidRPr="00FA708F" w:rsidRDefault="0079599B" w:rsidP="005060E1">
      <w:pPr>
        <w:pStyle w:val="Default"/>
        <w:jc w:val="both"/>
        <w:rPr>
          <w:b/>
          <w:bCs/>
          <w:color w:val="auto"/>
          <w:sz w:val="22"/>
          <w:szCs w:val="22"/>
        </w:rPr>
      </w:pPr>
      <w:r w:rsidRPr="00FA708F">
        <w:rPr>
          <w:b/>
          <w:bCs/>
          <w:color w:val="auto"/>
          <w:sz w:val="22"/>
          <w:szCs w:val="22"/>
        </w:rPr>
        <w:t>AX.2 – Examples of IRM usage</w:t>
      </w:r>
    </w:p>
    <w:p w14:paraId="1512699F" w14:textId="77777777" w:rsidR="00DC33E1" w:rsidRPr="008A350F" w:rsidRDefault="00DC33E1" w:rsidP="00DC33E1">
      <w:pPr>
        <w:pStyle w:val="Default"/>
        <w:rPr>
          <w:sz w:val="22"/>
          <w:szCs w:val="22"/>
        </w:rPr>
      </w:pPr>
    </w:p>
    <w:p w14:paraId="0F88881F" w14:textId="4EC3F531" w:rsidR="00241044" w:rsidRDefault="000812B0" w:rsidP="0024104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w:t>
      </w:r>
      <w:r w:rsidR="00576B22">
        <w:rPr>
          <w:color w:val="auto"/>
          <w:sz w:val="22"/>
          <w:szCs w:val="22"/>
        </w:rPr>
        <w:t xml:space="preserve">when a non-AP STA authenticates and associates to </w:t>
      </w:r>
      <w:r w:rsidR="00133A20">
        <w:rPr>
          <w:color w:val="auto"/>
          <w:sz w:val="22"/>
          <w:szCs w:val="22"/>
        </w:rPr>
        <w:t xml:space="preserve">APs (AP-1 and AP-2 belonging to the same ESS) </w:t>
      </w:r>
      <w:r w:rsidR="00576B22">
        <w:rPr>
          <w:color w:val="auto"/>
          <w:sz w:val="22"/>
          <w:szCs w:val="22"/>
        </w:rPr>
        <w:t>using the 4 way handshake</w:t>
      </w:r>
      <w:r w:rsidRPr="0079599B">
        <w:rPr>
          <w:color w:val="auto"/>
          <w:sz w:val="22"/>
          <w:szCs w:val="22"/>
        </w:rPr>
        <w:t xml:space="preserve">. </w:t>
      </w:r>
      <w:r w:rsidR="00576B22">
        <w:rPr>
          <w:color w:val="auto"/>
          <w:sz w:val="22"/>
          <w:szCs w:val="22"/>
        </w:rPr>
        <w:t xml:space="preserve"> The </w:t>
      </w:r>
      <w:r>
        <w:rPr>
          <w:color w:val="auto"/>
          <w:sz w:val="22"/>
          <w:szCs w:val="22"/>
        </w:rPr>
        <w:t>AP</w:t>
      </w:r>
      <w:r w:rsidR="00133A20">
        <w:rPr>
          <w:color w:val="auto"/>
          <w:sz w:val="22"/>
          <w:szCs w:val="22"/>
        </w:rPr>
        <w:t>-1 and AP-2</w:t>
      </w:r>
      <w:r>
        <w:rPr>
          <w:color w:val="auto"/>
          <w:sz w:val="22"/>
          <w:szCs w:val="22"/>
        </w:rPr>
        <w:t xml:space="preserve"> </w:t>
      </w:r>
      <w:proofErr w:type="spellStart"/>
      <w:r>
        <w:rPr>
          <w:color w:val="auto"/>
          <w:sz w:val="22"/>
          <w:szCs w:val="22"/>
        </w:rPr>
        <w:t>advertis</w:t>
      </w:r>
      <w:proofErr w:type="spellEnd"/>
      <w:r>
        <w:rPr>
          <w:color w:val="auto"/>
          <w:sz w:val="22"/>
          <w:szCs w:val="22"/>
        </w:rPr>
        <w:t xml:space="preserve"> </w:t>
      </w:r>
      <w:r w:rsidR="00133A20">
        <w:rPr>
          <w:color w:val="auto"/>
          <w:sz w:val="22"/>
          <w:szCs w:val="22"/>
        </w:rPr>
        <w:t>their</w:t>
      </w:r>
      <w:r>
        <w:rPr>
          <w:color w:val="auto"/>
          <w:sz w:val="22"/>
          <w:szCs w:val="22"/>
        </w:rPr>
        <w:t xml:space="preserve"> support of IRM in </w:t>
      </w:r>
      <w:r w:rsidR="00576B22">
        <w:rPr>
          <w:color w:val="auto"/>
          <w:sz w:val="22"/>
          <w:szCs w:val="22"/>
        </w:rPr>
        <w:t xml:space="preserve">the </w:t>
      </w:r>
      <w:r>
        <w:rPr>
          <w:color w:val="auto"/>
          <w:sz w:val="22"/>
          <w:szCs w:val="22"/>
        </w:rPr>
        <w:t>RSNXE in Beacon</w:t>
      </w:r>
      <w:r w:rsidR="00576B22">
        <w:rPr>
          <w:color w:val="auto"/>
          <w:sz w:val="22"/>
          <w:szCs w:val="22"/>
        </w:rPr>
        <w:t>s</w:t>
      </w:r>
      <w:r>
        <w:rPr>
          <w:color w:val="auto"/>
          <w:sz w:val="22"/>
          <w:szCs w:val="22"/>
        </w:rPr>
        <w:t xml:space="preserve"> </w:t>
      </w:r>
      <w:r w:rsidR="00576B22">
        <w:rPr>
          <w:color w:val="auto"/>
          <w:sz w:val="22"/>
          <w:szCs w:val="22"/>
        </w:rPr>
        <w:t xml:space="preserve">and </w:t>
      </w:r>
      <w:r>
        <w:rPr>
          <w:color w:val="auto"/>
          <w:sz w:val="22"/>
          <w:szCs w:val="22"/>
        </w:rPr>
        <w:t>Probe Response</w:t>
      </w:r>
      <w:r w:rsidR="00576B22">
        <w:rPr>
          <w:color w:val="auto"/>
          <w:sz w:val="22"/>
          <w:szCs w:val="22"/>
        </w:rPr>
        <w:t>s</w:t>
      </w:r>
      <w:r>
        <w:rPr>
          <w:color w:val="auto"/>
          <w:sz w:val="22"/>
          <w:szCs w:val="22"/>
        </w:rPr>
        <w:t xml:space="preserve">. </w:t>
      </w:r>
      <w:r w:rsidR="00241044">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w:t>
      </w:r>
      <w:r w:rsidR="00576B22">
        <w:rPr>
          <w:color w:val="auto"/>
          <w:sz w:val="22"/>
          <w:szCs w:val="22"/>
        </w:rPr>
        <w:t xml:space="preserve">the </w:t>
      </w:r>
      <w:r w:rsidRPr="0079599B">
        <w:rPr>
          <w:color w:val="auto"/>
          <w:sz w:val="22"/>
          <w:szCs w:val="22"/>
        </w:rPr>
        <w:t>AP</w:t>
      </w:r>
      <w:r w:rsidR="00133A20">
        <w:rPr>
          <w:color w:val="auto"/>
          <w:sz w:val="22"/>
          <w:szCs w:val="22"/>
        </w:rPr>
        <w:t>-1</w:t>
      </w:r>
      <w:r w:rsidR="00241044">
        <w:rPr>
          <w:color w:val="auto"/>
          <w:sz w:val="22"/>
          <w:szCs w:val="22"/>
        </w:rPr>
        <w:t>,</w:t>
      </w:r>
      <w:r>
        <w:rPr>
          <w:color w:val="auto"/>
          <w:sz w:val="22"/>
          <w:szCs w:val="22"/>
        </w:rPr>
        <w:t xml:space="preserve"> </w:t>
      </w:r>
      <w:r w:rsidR="00241044">
        <w:rPr>
          <w:color w:val="auto"/>
          <w:sz w:val="22"/>
          <w:szCs w:val="22"/>
        </w:rPr>
        <w:t>i.e., the non-AP STA has not previously provided an IRM to that AP/ESS</w:t>
      </w:r>
      <w:r>
        <w:rPr>
          <w:color w:val="auto"/>
          <w:sz w:val="22"/>
          <w:szCs w:val="22"/>
        </w:rPr>
        <w:t xml:space="preserve">. After </w:t>
      </w:r>
      <w:r w:rsidR="00241044">
        <w:rPr>
          <w:color w:val="auto"/>
          <w:sz w:val="22"/>
          <w:szCs w:val="22"/>
        </w:rPr>
        <w:t>the</w:t>
      </w:r>
      <w:r w:rsidR="00317843">
        <w:rPr>
          <w:color w:val="auto"/>
          <w:sz w:val="22"/>
          <w:szCs w:val="22"/>
        </w:rPr>
        <w:t xml:space="preserve"> </w:t>
      </w:r>
      <w:r>
        <w:rPr>
          <w:color w:val="auto"/>
          <w:sz w:val="22"/>
          <w:szCs w:val="22"/>
        </w:rPr>
        <w:t xml:space="preserve">authentication frame exchange, </w:t>
      </w:r>
      <w:r w:rsidR="00241044">
        <w:rPr>
          <w:color w:val="auto"/>
          <w:sz w:val="22"/>
          <w:szCs w:val="22"/>
        </w:rPr>
        <w:t xml:space="preserve">the </w:t>
      </w:r>
      <w:r>
        <w:rPr>
          <w:color w:val="auto"/>
          <w:sz w:val="22"/>
          <w:szCs w:val="22"/>
        </w:rPr>
        <w:t>non-AP STA indicates its activation of IRM</w:t>
      </w:r>
      <w:r w:rsidRPr="002D410B">
        <w:t xml:space="preserve"> </w:t>
      </w:r>
      <w:r>
        <w:t xml:space="preserve">via </w:t>
      </w:r>
      <w:r w:rsidR="00241044">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241044">
        <w:rPr>
          <w:color w:val="auto"/>
          <w:sz w:val="22"/>
          <w:szCs w:val="22"/>
        </w:rPr>
        <w:t xml:space="preserve">the </w:t>
      </w:r>
      <w:r>
        <w:rPr>
          <w:color w:val="auto"/>
          <w:sz w:val="22"/>
          <w:szCs w:val="22"/>
        </w:rPr>
        <w:t xml:space="preserve">Association Request. </w:t>
      </w:r>
      <w:r>
        <w:rPr>
          <w:color w:val="auto"/>
          <w:sz w:val="22"/>
          <w:szCs w:val="22"/>
        </w:rPr>
        <w:lastRenderedPageBreak/>
        <w:t xml:space="preserve">Similarly, </w:t>
      </w:r>
      <w:r w:rsidR="00241044">
        <w:rPr>
          <w:color w:val="auto"/>
          <w:sz w:val="22"/>
          <w:szCs w:val="22"/>
        </w:rPr>
        <w:t xml:space="preserve">the </w:t>
      </w:r>
      <w:r>
        <w:rPr>
          <w:color w:val="auto"/>
          <w:sz w:val="22"/>
          <w:szCs w:val="22"/>
        </w:rPr>
        <w:t>AP</w:t>
      </w:r>
      <w:r w:rsidR="00133A20">
        <w:rPr>
          <w:color w:val="auto"/>
          <w:sz w:val="22"/>
          <w:szCs w:val="22"/>
        </w:rPr>
        <w:t>-1</w:t>
      </w:r>
      <w:r>
        <w:rPr>
          <w:color w:val="auto"/>
          <w:sz w:val="22"/>
          <w:szCs w:val="22"/>
        </w:rPr>
        <w:t xml:space="preserve"> indicates its activation of IRM</w:t>
      </w:r>
      <w:r w:rsidRPr="002D410B">
        <w:t xml:space="preserve"> </w:t>
      </w:r>
      <w:r w:rsidR="00241044">
        <w:t xml:space="preserve">by setting </w:t>
      </w:r>
      <w:r>
        <w:rPr>
          <w:color w:val="auto"/>
          <w:sz w:val="22"/>
          <w:szCs w:val="22"/>
        </w:rPr>
        <w:t>IRM</w:t>
      </w:r>
      <w:r w:rsidRPr="002D410B">
        <w:rPr>
          <w:color w:val="auto"/>
          <w:sz w:val="22"/>
          <w:szCs w:val="22"/>
        </w:rPr>
        <w:t xml:space="preserve"> Active field in the RSNXE to </w:t>
      </w:r>
      <w:r>
        <w:rPr>
          <w:color w:val="auto"/>
          <w:sz w:val="22"/>
          <w:szCs w:val="22"/>
        </w:rPr>
        <w:t xml:space="preserve">1 in </w:t>
      </w:r>
      <w:r w:rsidR="00241044">
        <w:rPr>
          <w:color w:val="auto"/>
          <w:sz w:val="22"/>
          <w:szCs w:val="22"/>
        </w:rPr>
        <w:t xml:space="preserve">the </w:t>
      </w:r>
      <w:r>
        <w:rPr>
          <w:color w:val="auto"/>
          <w:sz w:val="22"/>
          <w:szCs w:val="22"/>
        </w:rPr>
        <w:t xml:space="preserve">Association Response. In 4-way Handshake Message </w:t>
      </w:r>
      <w:r w:rsidR="009D7322">
        <w:rPr>
          <w:color w:val="auto"/>
          <w:sz w:val="22"/>
          <w:szCs w:val="22"/>
        </w:rPr>
        <w:t>4</w:t>
      </w:r>
      <w:r>
        <w:rPr>
          <w:color w:val="auto"/>
          <w:sz w:val="22"/>
          <w:szCs w:val="22"/>
        </w:rPr>
        <w:t xml:space="preserve">, </w:t>
      </w:r>
      <w:r w:rsidR="00241044">
        <w:rPr>
          <w:color w:val="auto"/>
          <w:sz w:val="22"/>
          <w:szCs w:val="22"/>
        </w:rPr>
        <w:t xml:space="preserve">the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w:t>
      </w:r>
      <w:r w:rsidR="00241044">
        <w:rPr>
          <w:color w:val="auto"/>
          <w:sz w:val="22"/>
          <w:szCs w:val="22"/>
        </w:rPr>
        <w:t>includes an IRM KDE</w:t>
      </w:r>
      <w:r w:rsidR="00241044" w:rsidDel="00241044">
        <w:rPr>
          <w:color w:val="auto"/>
          <w:sz w:val="22"/>
          <w:szCs w:val="22"/>
        </w:rPr>
        <w:t xml:space="preserve"> </w:t>
      </w:r>
      <w:r w:rsidR="00241044">
        <w:rPr>
          <w:color w:val="auto"/>
          <w:sz w:val="22"/>
          <w:szCs w:val="22"/>
        </w:rPr>
        <w:t xml:space="preserve">and provides </w:t>
      </w:r>
      <w:r>
        <w:rPr>
          <w:color w:val="auto"/>
          <w:sz w:val="22"/>
          <w:szCs w:val="22"/>
        </w:rPr>
        <w:t>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w:t>
      </w:r>
      <w:r w:rsidR="00241044">
        <w:rPr>
          <w:color w:val="auto"/>
          <w:sz w:val="22"/>
          <w:szCs w:val="22"/>
        </w:rPr>
        <w:t>the AP</w:t>
      </w:r>
      <w:r w:rsidR="00133A20">
        <w:rPr>
          <w:color w:val="auto"/>
          <w:sz w:val="22"/>
          <w:szCs w:val="22"/>
        </w:rPr>
        <w:t>-1</w:t>
      </w:r>
      <w:r>
        <w:rPr>
          <w:color w:val="auto"/>
          <w:sz w:val="22"/>
          <w:szCs w:val="22"/>
        </w:rPr>
        <w:t xml:space="preserve">. </w:t>
      </w:r>
      <w:r w:rsidR="00133A20">
        <w:rPr>
          <w:color w:val="auto"/>
          <w:sz w:val="22"/>
          <w:szCs w:val="22"/>
        </w:rPr>
        <w:t>The</w:t>
      </w:r>
      <w:r>
        <w:rPr>
          <w:color w:val="auto"/>
          <w:sz w:val="22"/>
          <w:szCs w:val="22"/>
        </w:rPr>
        <w:t xml:space="preserve"> non-AP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241044">
        <w:rPr>
          <w:color w:val="auto"/>
          <w:sz w:val="22"/>
          <w:szCs w:val="22"/>
        </w:rPr>
        <w:t>that IRM (</w:t>
      </w:r>
      <w:r w:rsidR="009D7322">
        <w:rPr>
          <w:color w:val="auto"/>
          <w:sz w:val="22"/>
          <w:szCs w:val="22"/>
        </w:rPr>
        <w:t>IRM</w:t>
      </w:r>
      <w:r>
        <w:rPr>
          <w:color w:val="auto"/>
          <w:sz w:val="22"/>
          <w:szCs w:val="22"/>
        </w:rPr>
        <w:t>1</w:t>
      </w:r>
      <w:r w:rsidR="00241044">
        <w:rPr>
          <w:color w:val="auto"/>
          <w:sz w:val="22"/>
          <w:szCs w:val="22"/>
        </w:rPr>
        <w:t>)</w:t>
      </w:r>
      <w:r>
        <w:rPr>
          <w:color w:val="auto"/>
          <w:sz w:val="22"/>
          <w:szCs w:val="22"/>
        </w:rPr>
        <w:t xml:space="preserve">. </w:t>
      </w:r>
      <w:r w:rsidR="00506C42">
        <w:rPr>
          <w:color w:val="auto"/>
          <w:sz w:val="22"/>
          <w:szCs w:val="22"/>
        </w:rPr>
        <w:t xml:space="preserve"> </w:t>
      </w:r>
      <w:r w:rsidR="00241044">
        <w:rPr>
          <w:color w:val="auto"/>
          <w:sz w:val="22"/>
          <w:szCs w:val="22"/>
        </w:rPr>
        <w:t>Later the non-AP STA terminates the connection with the AP</w:t>
      </w:r>
      <w:r w:rsidR="00133A20">
        <w:rPr>
          <w:color w:val="auto"/>
          <w:sz w:val="22"/>
          <w:szCs w:val="22"/>
        </w:rPr>
        <w:t>-1</w:t>
      </w:r>
      <w:r w:rsidR="00241044">
        <w:rPr>
          <w:color w:val="auto"/>
          <w:sz w:val="22"/>
          <w:szCs w:val="22"/>
        </w:rPr>
        <w:t>.</w:t>
      </w:r>
    </w:p>
    <w:p w14:paraId="42E2E61B" w14:textId="77777777" w:rsidR="00241044" w:rsidRDefault="00241044" w:rsidP="000812B0">
      <w:pPr>
        <w:pStyle w:val="Default"/>
        <w:jc w:val="both"/>
        <w:rPr>
          <w:color w:val="auto"/>
          <w:sz w:val="22"/>
          <w:szCs w:val="22"/>
        </w:rPr>
      </w:pPr>
    </w:p>
    <w:p w14:paraId="541FA3D3" w14:textId="2FD42FD1" w:rsidR="000812B0" w:rsidRDefault="000812B0" w:rsidP="000812B0">
      <w:pPr>
        <w:pStyle w:val="Default"/>
        <w:jc w:val="both"/>
        <w:rPr>
          <w:color w:val="auto"/>
          <w:sz w:val="22"/>
          <w:szCs w:val="22"/>
        </w:rPr>
      </w:pPr>
      <w:r>
        <w:rPr>
          <w:color w:val="auto"/>
          <w:sz w:val="22"/>
          <w:szCs w:val="22"/>
        </w:rPr>
        <w:t xml:space="preserve">When non-AP STA returns to </w:t>
      </w:r>
      <w:r w:rsidR="00241044">
        <w:rPr>
          <w:color w:val="auto"/>
          <w:sz w:val="22"/>
          <w:szCs w:val="22"/>
        </w:rPr>
        <w:t xml:space="preserve">that </w:t>
      </w:r>
      <w:r>
        <w:rPr>
          <w:color w:val="auto"/>
          <w:sz w:val="22"/>
          <w:szCs w:val="22"/>
        </w:rPr>
        <w:t xml:space="preserve">same ESS, </w:t>
      </w:r>
      <w:r w:rsidR="00241044">
        <w:rPr>
          <w:color w:val="auto"/>
          <w:sz w:val="22"/>
          <w:szCs w:val="22"/>
        </w:rPr>
        <w:t xml:space="preserve">the </w:t>
      </w:r>
      <w:r>
        <w:rPr>
          <w:color w:val="auto"/>
          <w:sz w:val="22"/>
          <w:szCs w:val="22"/>
        </w:rPr>
        <w:t xml:space="preserve">non-AP STA </w:t>
      </w:r>
      <w:r w:rsidR="009D7322">
        <w:rPr>
          <w:color w:val="auto"/>
          <w:sz w:val="22"/>
          <w:szCs w:val="22"/>
        </w:rPr>
        <w:t>uses</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w:t>
      </w:r>
      <w:r>
        <w:rPr>
          <w:color w:val="auto"/>
          <w:sz w:val="22"/>
          <w:szCs w:val="22"/>
        </w:rPr>
        <w:t xml:space="preserve"> </w:t>
      </w:r>
      <w:r w:rsidR="00317843">
        <w:rPr>
          <w:color w:val="auto"/>
          <w:sz w:val="22"/>
          <w:szCs w:val="22"/>
        </w:rPr>
        <w:t>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317843">
        <w:rPr>
          <w:color w:val="auto"/>
          <w:sz w:val="22"/>
          <w:szCs w:val="22"/>
        </w:rPr>
        <w:t xml:space="preserve"> from the stored IRM1</w:t>
      </w:r>
      <w:r>
        <w:rPr>
          <w:color w:val="auto"/>
          <w:sz w:val="22"/>
          <w:szCs w:val="22"/>
        </w:rPr>
        <w:t xml:space="preserve">. </w:t>
      </w:r>
      <w:r w:rsidR="00317843">
        <w:rPr>
          <w:color w:val="auto"/>
          <w:sz w:val="22"/>
          <w:szCs w:val="22"/>
        </w:rPr>
        <w:t xml:space="preserve"> The AP</w:t>
      </w:r>
      <w:r w:rsidR="00133A20">
        <w:rPr>
          <w:color w:val="auto"/>
          <w:sz w:val="22"/>
          <w:szCs w:val="22"/>
        </w:rPr>
        <w:t>-2</w:t>
      </w:r>
      <w:r w:rsidR="00317843">
        <w:rPr>
          <w:color w:val="auto"/>
          <w:sz w:val="22"/>
          <w:szCs w:val="22"/>
        </w:rPr>
        <w:t xml:space="preserve"> then sends an IRM KDE in 4-way Handshake Message 3 with the Status field set to 0 indicating that the IRM has been recognized.  The </w:t>
      </w:r>
      <w:r w:rsidR="009D7322">
        <w:rPr>
          <w:color w:val="auto"/>
          <w:sz w:val="22"/>
          <w:szCs w:val="22"/>
        </w:rPr>
        <w:t xml:space="preserve">non-AP STA </w:t>
      </w:r>
      <w:r w:rsidR="00317843">
        <w:rPr>
          <w:color w:val="auto"/>
          <w:sz w:val="22"/>
          <w:szCs w:val="22"/>
        </w:rPr>
        <w:t xml:space="preserve">then provides </w:t>
      </w:r>
      <w:r>
        <w:rPr>
          <w:color w:val="auto"/>
          <w:sz w:val="22"/>
          <w:szCs w:val="22"/>
        </w:rPr>
        <w:t xml:space="preserve">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w:t>
      </w:r>
      <w:r w:rsidR="00317843">
        <w:rPr>
          <w:color w:val="auto"/>
          <w:sz w:val="22"/>
          <w:szCs w:val="22"/>
        </w:rPr>
        <w:t>the AP</w:t>
      </w:r>
      <w:r w:rsidR="00133A20">
        <w:rPr>
          <w:color w:val="auto"/>
          <w:sz w:val="22"/>
          <w:szCs w:val="22"/>
        </w:rPr>
        <w:t>-2</w:t>
      </w:r>
      <w:r w:rsidR="00317843">
        <w:rPr>
          <w:color w:val="auto"/>
          <w:sz w:val="22"/>
          <w:szCs w:val="22"/>
        </w:rPr>
        <w:t xml:space="preserve"> </w:t>
      </w:r>
      <w:r>
        <w:rPr>
          <w:color w:val="auto"/>
          <w:sz w:val="22"/>
          <w:szCs w:val="22"/>
        </w:rPr>
        <w:t xml:space="preserve">in </w:t>
      </w:r>
      <w:r w:rsidR="00317843">
        <w:rPr>
          <w:color w:val="auto"/>
          <w:sz w:val="22"/>
          <w:szCs w:val="22"/>
        </w:rPr>
        <w:t xml:space="preserve">an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00DB3049" w14:textId="6773118E"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drawing>
          <wp:inline distT="0" distB="0" distL="0" distR="0" wp14:anchorId="4472BD76" wp14:editId="07DA942C">
            <wp:extent cx="5943600" cy="6654800"/>
            <wp:effectExtent l="0" t="0" r="0" b="0"/>
            <wp:docPr id="1269832165"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32165" name="Picture 5" descr="A black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654800"/>
                    </a:xfrm>
                    <a:prstGeom prst="rect">
                      <a:avLst/>
                    </a:prstGeom>
                    <a:noFill/>
                    <a:ln>
                      <a:noFill/>
                    </a:ln>
                  </pic:spPr>
                </pic:pic>
              </a:graphicData>
            </a:graphic>
          </wp:inline>
        </w:drawing>
      </w:r>
    </w:p>
    <w:p w14:paraId="25DF3A34" w14:textId="60745575" w:rsidR="000812B0" w:rsidRPr="000812B0" w:rsidRDefault="000812B0" w:rsidP="000812B0">
      <w:pPr>
        <w:jc w:val="center"/>
        <w:rPr>
          <w:rFonts w:ascii="SimSun" w:eastAsia="SimSun" w:hAnsi="SimSun" w:cs="SimSun"/>
          <w:sz w:val="24"/>
          <w:szCs w:val="24"/>
          <w:lang w:val="en-US" w:eastAsia="zh-CN"/>
        </w:rPr>
      </w:pPr>
    </w:p>
    <w:p w14:paraId="7CB45778" w14:textId="6C954513"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4 – Example of IRM exchange in </w:t>
      </w:r>
      <w:r w:rsidR="001F01C1">
        <w:rPr>
          <w:color w:val="auto"/>
          <w:sz w:val="22"/>
          <w:szCs w:val="22"/>
        </w:rPr>
        <w:t xml:space="preserve"> 4-way Handshake</w:t>
      </w:r>
    </w:p>
    <w:p w14:paraId="613E39C7" w14:textId="77777777" w:rsidR="0079599B" w:rsidRDefault="0079599B" w:rsidP="002C1638"/>
    <w:p w14:paraId="2BA360BF" w14:textId="440C0EC8" w:rsidR="00506C42" w:rsidRDefault="009D7322" w:rsidP="00506C42">
      <w:pPr>
        <w:pStyle w:val="Default"/>
        <w:jc w:val="both"/>
        <w:rPr>
          <w:color w:val="auto"/>
          <w:sz w:val="22"/>
          <w:szCs w:val="22"/>
        </w:rPr>
      </w:pPr>
      <w:r w:rsidRPr="0079599B">
        <w:rPr>
          <w:color w:val="auto"/>
          <w:sz w:val="22"/>
          <w:szCs w:val="22"/>
        </w:rPr>
        <w:lastRenderedPageBreak/>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 xml:space="preserve">exchange </w:t>
      </w:r>
      <w:r w:rsidR="00317843">
        <w:rPr>
          <w:color w:val="auto"/>
          <w:sz w:val="22"/>
          <w:szCs w:val="22"/>
        </w:rPr>
        <w:t xml:space="preserve">when a non-AP STA associates to </w:t>
      </w:r>
      <w:r w:rsidR="00133A20">
        <w:rPr>
          <w:color w:val="auto"/>
          <w:sz w:val="22"/>
          <w:szCs w:val="22"/>
        </w:rPr>
        <w:t xml:space="preserve">APs (AP-1 and AP-2 belonging to the same ESS) </w:t>
      </w:r>
      <w:r w:rsidR="00317843">
        <w:rPr>
          <w:color w:val="auto"/>
          <w:sz w:val="22"/>
          <w:szCs w:val="22"/>
        </w:rPr>
        <w:t>using  FILS</w:t>
      </w:r>
      <w:r w:rsidRPr="0079599B">
        <w:rPr>
          <w:color w:val="auto"/>
          <w:sz w:val="22"/>
          <w:szCs w:val="22"/>
        </w:rPr>
        <w:t xml:space="preserve">. </w:t>
      </w:r>
      <w:r w:rsidR="00317843">
        <w:rPr>
          <w:color w:val="auto"/>
          <w:sz w:val="22"/>
          <w:szCs w:val="22"/>
        </w:rPr>
        <w:t xml:space="preserve">The </w:t>
      </w:r>
      <w:r>
        <w:rPr>
          <w:color w:val="auto"/>
          <w:sz w:val="22"/>
          <w:szCs w:val="22"/>
        </w:rPr>
        <w:t>AP</w:t>
      </w:r>
      <w:r w:rsidR="00133A20">
        <w:rPr>
          <w:color w:val="auto"/>
          <w:sz w:val="22"/>
          <w:szCs w:val="22"/>
        </w:rPr>
        <w:t>-1 and AP-2</w:t>
      </w:r>
      <w:r>
        <w:rPr>
          <w:color w:val="auto"/>
          <w:sz w:val="22"/>
          <w:szCs w:val="22"/>
        </w:rPr>
        <w:t xml:space="preserve"> advertise </w:t>
      </w:r>
      <w:r w:rsidR="00133A20">
        <w:rPr>
          <w:color w:val="auto"/>
          <w:sz w:val="22"/>
          <w:szCs w:val="22"/>
        </w:rPr>
        <w:t>their</w:t>
      </w:r>
      <w:r>
        <w:rPr>
          <w:color w:val="auto"/>
          <w:sz w:val="22"/>
          <w:szCs w:val="22"/>
        </w:rPr>
        <w:t xml:space="preserve"> support of IRM in </w:t>
      </w:r>
      <w:r w:rsidR="00317843">
        <w:rPr>
          <w:color w:val="auto"/>
          <w:sz w:val="22"/>
          <w:szCs w:val="22"/>
        </w:rPr>
        <w:t xml:space="preserve">the </w:t>
      </w:r>
      <w:r>
        <w:rPr>
          <w:color w:val="auto"/>
          <w:sz w:val="22"/>
          <w:szCs w:val="22"/>
        </w:rPr>
        <w:t>RSNXE in Beacon</w:t>
      </w:r>
      <w:r w:rsidR="00317843">
        <w:rPr>
          <w:color w:val="auto"/>
          <w:sz w:val="22"/>
          <w:szCs w:val="22"/>
        </w:rPr>
        <w:t>s</w:t>
      </w:r>
      <w:r>
        <w:rPr>
          <w:color w:val="auto"/>
          <w:sz w:val="22"/>
          <w:szCs w:val="22"/>
        </w:rPr>
        <w:t xml:space="preserve"> or Probe Response</w:t>
      </w:r>
      <w:r w:rsidR="00317843">
        <w:rPr>
          <w:color w:val="auto"/>
          <w:sz w:val="22"/>
          <w:szCs w:val="22"/>
        </w:rPr>
        <w:t>s</w:t>
      </w:r>
      <w:r>
        <w:rPr>
          <w:color w:val="auto"/>
          <w:sz w:val="22"/>
          <w:szCs w:val="22"/>
        </w:rPr>
        <w:t>.</w:t>
      </w:r>
      <w:r w:rsidR="00317843" w:rsidRPr="0079599B">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AP</w:t>
      </w:r>
      <w:r w:rsidR="00133A20">
        <w:rPr>
          <w:color w:val="auto"/>
          <w:sz w:val="22"/>
          <w:szCs w:val="22"/>
        </w:rPr>
        <w:t>-1</w:t>
      </w:r>
      <w:r>
        <w:rPr>
          <w:color w:val="auto"/>
          <w:sz w:val="22"/>
          <w:szCs w:val="22"/>
        </w:rPr>
        <w:t xml:space="preserve"> </w:t>
      </w:r>
      <w:r w:rsidR="00317843">
        <w:rPr>
          <w:color w:val="auto"/>
          <w:sz w:val="22"/>
          <w:szCs w:val="22"/>
        </w:rPr>
        <w:t xml:space="preserve">i.e., the non-AP STA has not previously provided an IRM to that AP/ESS. </w:t>
      </w:r>
      <w:r>
        <w:rPr>
          <w:color w:val="auto"/>
          <w:sz w:val="22"/>
          <w:szCs w:val="22"/>
        </w:rPr>
        <w:t xml:space="preserve">After </w:t>
      </w:r>
      <w:r w:rsidR="00317843">
        <w:rPr>
          <w:color w:val="auto"/>
          <w:sz w:val="22"/>
          <w:szCs w:val="22"/>
        </w:rPr>
        <w:t xml:space="preserve">the FILS </w:t>
      </w:r>
      <w:r>
        <w:rPr>
          <w:color w:val="auto"/>
          <w:sz w:val="22"/>
          <w:szCs w:val="22"/>
        </w:rPr>
        <w:t xml:space="preserve">authentication frame exchange, </w:t>
      </w:r>
      <w:r w:rsidR="00317843">
        <w:rPr>
          <w:color w:val="auto"/>
          <w:sz w:val="22"/>
          <w:szCs w:val="22"/>
        </w:rPr>
        <w:t xml:space="preserve">the </w:t>
      </w:r>
      <w:r>
        <w:rPr>
          <w:color w:val="auto"/>
          <w:sz w:val="22"/>
          <w:szCs w:val="22"/>
        </w:rPr>
        <w:t xml:space="preserve">non-AP STA indicates its activation of IRM </w:t>
      </w:r>
      <w:r w:rsidR="00317843">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317843">
        <w:rPr>
          <w:color w:val="auto"/>
          <w:sz w:val="22"/>
          <w:szCs w:val="22"/>
        </w:rPr>
        <w:t xml:space="preserve">the FILS </w:t>
      </w:r>
      <w:r>
        <w:rPr>
          <w:color w:val="auto"/>
          <w:sz w:val="22"/>
          <w:szCs w:val="22"/>
        </w:rPr>
        <w:t xml:space="preserve">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133A20">
        <w:rPr>
          <w:color w:val="auto"/>
          <w:sz w:val="22"/>
          <w:szCs w:val="22"/>
        </w:rPr>
        <w:t>-1</w:t>
      </w:r>
      <w:r w:rsidR="00A14F74">
        <w:rPr>
          <w:color w:val="auto"/>
          <w:sz w:val="22"/>
          <w:szCs w:val="22"/>
        </w:rPr>
        <w:t xml:space="preserve"> also</w:t>
      </w:r>
      <w:r>
        <w:rPr>
          <w:color w:val="auto"/>
          <w:sz w:val="22"/>
          <w:szCs w:val="22"/>
        </w:rPr>
        <w:t xml:space="preserve"> indicates its activation of IRM </w:t>
      </w:r>
      <w:r w:rsidR="00506C42">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506C42">
        <w:rPr>
          <w:color w:val="auto"/>
          <w:sz w:val="22"/>
          <w:szCs w:val="22"/>
        </w:rPr>
        <w:t xml:space="preserve">the FILS </w:t>
      </w:r>
      <w:r>
        <w:rPr>
          <w:color w:val="auto"/>
          <w:sz w:val="22"/>
          <w:szCs w:val="22"/>
        </w:rPr>
        <w:t xml:space="preserve">Association Response. </w:t>
      </w:r>
      <w:r w:rsidR="00133A20">
        <w:rPr>
          <w:color w:val="auto"/>
          <w:sz w:val="22"/>
          <w:szCs w:val="22"/>
        </w:rPr>
        <w:t>The n</w:t>
      </w:r>
      <w:r>
        <w:rPr>
          <w:color w:val="auto"/>
          <w:sz w:val="22"/>
          <w:szCs w:val="22"/>
        </w:rPr>
        <w:t>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A14F74">
        <w:rPr>
          <w:color w:val="auto"/>
          <w:sz w:val="22"/>
          <w:szCs w:val="22"/>
        </w:rPr>
        <w:t>IRM</w:t>
      </w:r>
      <w:r>
        <w:rPr>
          <w:color w:val="auto"/>
          <w:sz w:val="22"/>
          <w:szCs w:val="22"/>
        </w:rPr>
        <w:t xml:space="preserve">1. </w:t>
      </w:r>
      <w:r w:rsidR="00506C42">
        <w:rPr>
          <w:color w:val="auto"/>
          <w:sz w:val="22"/>
          <w:szCs w:val="22"/>
        </w:rPr>
        <w:t>Later the non-AP STA terminates the connection with the AP</w:t>
      </w:r>
      <w:r w:rsidR="00133A20">
        <w:rPr>
          <w:color w:val="auto"/>
          <w:sz w:val="22"/>
          <w:szCs w:val="22"/>
        </w:rPr>
        <w:t>-1</w:t>
      </w:r>
      <w:r w:rsidR="00506C42">
        <w:rPr>
          <w:color w:val="auto"/>
          <w:sz w:val="22"/>
          <w:szCs w:val="22"/>
        </w:rPr>
        <w:t>.</w:t>
      </w:r>
    </w:p>
    <w:p w14:paraId="481D47D3" w14:textId="77777777" w:rsidR="00506C42" w:rsidRDefault="00506C42" w:rsidP="009D7322">
      <w:pPr>
        <w:pStyle w:val="Default"/>
        <w:jc w:val="both"/>
        <w:rPr>
          <w:color w:val="auto"/>
          <w:sz w:val="22"/>
          <w:szCs w:val="22"/>
        </w:rPr>
      </w:pPr>
    </w:p>
    <w:p w14:paraId="6892EA75" w14:textId="024A4997" w:rsidR="009D7322" w:rsidRDefault="009D7322" w:rsidP="009D7322">
      <w:pPr>
        <w:pStyle w:val="Default"/>
        <w:jc w:val="both"/>
        <w:rPr>
          <w:color w:val="auto"/>
          <w:sz w:val="22"/>
          <w:szCs w:val="22"/>
        </w:rPr>
      </w:pPr>
      <w:r>
        <w:rPr>
          <w:color w:val="auto"/>
          <w:sz w:val="22"/>
          <w:szCs w:val="22"/>
        </w:rPr>
        <w:t xml:space="preserve">When non-AP STA returns to </w:t>
      </w:r>
      <w:r w:rsidR="00506C42">
        <w:rPr>
          <w:color w:val="auto"/>
          <w:sz w:val="22"/>
          <w:szCs w:val="22"/>
        </w:rPr>
        <w:t xml:space="preserve">that </w:t>
      </w:r>
      <w:r>
        <w:rPr>
          <w:color w:val="auto"/>
          <w:sz w:val="22"/>
          <w:szCs w:val="22"/>
        </w:rPr>
        <w:t>same ESS</w:t>
      </w:r>
      <w:r w:rsidR="00572680">
        <w:rPr>
          <w:color w:val="auto"/>
          <w:sz w:val="22"/>
          <w:szCs w:val="22"/>
        </w:rPr>
        <w:t xml:space="preserve">, </w:t>
      </w:r>
      <w:r w:rsidR="00506C42">
        <w:rPr>
          <w:color w:val="auto"/>
          <w:sz w:val="22"/>
          <w:szCs w:val="22"/>
        </w:rPr>
        <w:t xml:space="preserve">the </w:t>
      </w:r>
      <w:r w:rsidR="00572680">
        <w:rPr>
          <w:color w:val="auto"/>
          <w:sz w:val="22"/>
          <w:szCs w:val="22"/>
        </w:rPr>
        <w:t xml:space="preserve">non-AP STA uses IRM1 as its MAC address. </w:t>
      </w:r>
      <w:r w:rsidR="00506C42">
        <w:rPr>
          <w:color w:val="auto"/>
          <w:sz w:val="22"/>
          <w:szCs w:val="22"/>
        </w:rPr>
        <w:t xml:space="preserve"> 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506C42">
        <w:rPr>
          <w:color w:val="auto"/>
          <w:sz w:val="22"/>
          <w:szCs w:val="22"/>
        </w:rPr>
        <w:t xml:space="preserve"> from the stored IRM1</w:t>
      </w:r>
      <w:r>
        <w:rPr>
          <w:color w:val="auto"/>
          <w:sz w:val="22"/>
          <w:szCs w:val="22"/>
        </w:rPr>
        <w:t xml:space="preserve">. </w:t>
      </w:r>
      <w:r w:rsidR="00506C42">
        <w:rPr>
          <w:color w:val="auto"/>
          <w:sz w:val="22"/>
          <w:szCs w:val="22"/>
        </w:rPr>
        <w:t>The</w:t>
      </w:r>
      <w:r w:rsidR="00572680">
        <w:rPr>
          <w:color w:val="auto"/>
          <w:sz w:val="22"/>
          <w:szCs w:val="22"/>
        </w:rPr>
        <w:t xml:space="preserve"> AP</w:t>
      </w:r>
      <w:r w:rsidR="00133A20">
        <w:rPr>
          <w:color w:val="auto"/>
          <w:sz w:val="22"/>
          <w:szCs w:val="22"/>
        </w:rPr>
        <w:t>-2</w:t>
      </w:r>
      <w:r w:rsidR="00572680">
        <w:rPr>
          <w:color w:val="auto"/>
          <w:sz w:val="22"/>
          <w:szCs w:val="22"/>
        </w:rPr>
        <w:t xml:space="preserve"> </w:t>
      </w:r>
      <w:r w:rsidR="00506C42">
        <w:rPr>
          <w:color w:val="auto"/>
          <w:sz w:val="22"/>
          <w:szCs w:val="22"/>
        </w:rPr>
        <w:t>then sends an</w:t>
      </w:r>
      <w:r w:rsidR="00572680">
        <w:rPr>
          <w:color w:val="auto"/>
          <w:sz w:val="22"/>
          <w:szCs w:val="22"/>
        </w:rPr>
        <w:t xml:space="preserve"> IRM </w:t>
      </w:r>
      <w:r w:rsidR="00450AF3">
        <w:rPr>
          <w:color w:val="auto"/>
          <w:sz w:val="22"/>
          <w:szCs w:val="22"/>
        </w:rPr>
        <w:t>element</w:t>
      </w:r>
      <w:r w:rsidR="00572680">
        <w:rPr>
          <w:color w:val="auto"/>
          <w:sz w:val="22"/>
          <w:szCs w:val="22"/>
        </w:rPr>
        <w:t xml:space="preserve"> in </w:t>
      </w:r>
      <w:r w:rsidR="00506C42">
        <w:rPr>
          <w:color w:val="auto"/>
          <w:sz w:val="22"/>
          <w:szCs w:val="22"/>
        </w:rPr>
        <w:t>the</w:t>
      </w:r>
      <w:r w:rsidR="00133A20">
        <w:rPr>
          <w:color w:val="auto"/>
          <w:sz w:val="22"/>
          <w:szCs w:val="22"/>
        </w:rPr>
        <w:t xml:space="preserve"> </w:t>
      </w:r>
      <w:r w:rsidR="00572680">
        <w:rPr>
          <w:color w:val="auto"/>
          <w:sz w:val="22"/>
          <w:szCs w:val="22"/>
        </w:rPr>
        <w:t xml:space="preserve">Association Response </w:t>
      </w:r>
      <w:r w:rsidR="00506C42">
        <w:rPr>
          <w:color w:val="auto"/>
          <w:sz w:val="22"/>
          <w:szCs w:val="22"/>
        </w:rPr>
        <w:t xml:space="preserve">with the Status field set to 0 indicating that the IRM has been recognized.  The </w:t>
      </w:r>
      <w:r w:rsidR="00572680">
        <w:rPr>
          <w:color w:val="auto"/>
          <w:sz w:val="22"/>
          <w:szCs w:val="22"/>
        </w:rPr>
        <w:t xml:space="preserve">non-AP STA </w:t>
      </w:r>
      <w:r w:rsidR="00160463">
        <w:rPr>
          <w:color w:val="auto"/>
          <w:sz w:val="22"/>
          <w:szCs w:val="22"/>
        </w:rPr>
        <w:t>also</w:t>
      </w:r>
      <w:r w:rsidR="00506C42">
        <w:rPr>
          <w:color w:val="auto"/>
          <w:sz w:val="22"/>
          <w:szCs w:val="22"/>
        </w:rPr>
        <w:t xml:space="preserve"> provides</w:t>
      </w:r>
      <w:r w:rsidR="00572680">
        <w:rPr>
          <w:color w:val="auto"/>
          <w:sz w:val="22"/>
          <w:szCs w:val="22"/>
        </w:rPr>
        <w:t xml:space="preserve"> another IRM (IRM2) to </w:t>
      </w:r>
      <w:r w:rsidR="00506C42">
        <w:rPr>
          <w:color w:val="auto"/>
          <w:sz w:val="22"/>
          <w:szCs w:val="22"/>
        </w:rPr>
        <w:t>the AP</w:t>
      </w:r>
      <w:r w:rsidR="00133A20">
        <w:rPr>
          <w:color w:val="auto"/>
          <w:sz w:val="22"/>
          <w:szCs w:val="22"/>
        </w:rPr>
        <w:t>-2</w:t>
      </w:r>
      <w:r w:rsidR="00506C42">
        <w:rPr>
          <w:color w:val="auto"/>
          <w:sz w:val="22"/>
          <w:szCs w:val="22"/>
        </w:rPr>
        <w:t xml:space="preserve"> </w:t>
      </w:r>
      <w:r w:rsidR="00572680">
        <w:rPr>
          <w:color w:val="auto"/>
          <w:sz w:val="22"/>
          <w:szCs w:val="22"/>
        </w:rPr>
        <w:t xml:space="preserve">in </w:t>
      </w:r>
      <w:r w:rsidR="00506C42">
        <w:rPr>
          <w:color w:val="auto"/>
          <w:sz w:val="22"/>
          <w:szCs w:val="22"/>
        </w:rPr>
        <w:t xml:space="preserve">an </w:t>
      </w:r>
      <w:r w:rsidR="00572680">
        <w:rPr>
          <w:color w:val="auto"/>
          <w:sz w:val="22"/>
          <w:szCs w:val="22"/>
        </w:rPr>
        <w:t xml:space="preserve">IRM </w:t>
      </w:r>
      <w:r w:rsidR="00450AF3">
        <w:rPr>
          <w:color w:val="auto"/>
          <w:sz w:val="22"/>
          <w:szCs w:val="22"/>
        </w:rPr>
        <w:t>element</w:t>
      </w:r>
      <w:r w:rsidR="00572680">
        <w:rPr>
          <w:color w:val="auto"/>
          <w:sz w:val="22"/>
          <w:szCs w:val="22"/>
        </w:rPr>
        <w:t xml:space="preserve"> in </w:t>
      </w:r>
      <w:r w:rsidR="00506C42">
        <w:rPr>
          <w:color w:val="auto"/>
          <w:sz w:val="22"/>
          <w:szCs w:val="22"/>
        </w:rPr>
        <w:t xml:space="preserve">FILS </w:t>
      </w:r>
      <w:r w:rsidR="00572680">
        <w:rPr>
          <w:color w:val="auto"/>
          <w:sz w:val="22"/>
          <w:szCs w:val="22"/>
        </w:rPr>
        <w:t>Association Request.</w:t>
      </w:r>
    </w:p>
    <w:p w14:paraId="2E2604D9" w14:textId="2609FF46" w:rsidR="0079599B" w:rsidRDefault="0079599B" w:rsidP="002C1638"/>
    <w:p w14:paraId="3892565D" w14:textId="5FDDCE0D"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drawing>
          <wp:inline distT="0" distB="0" distL="0" distR="0" wp14:anchorId="542F6068" wp14:editId="17F65313">
            <wp:extent cx="5943600" cy="5353050"/>
            <wp:effectExtent l="0" t="0" r="0" b="0"/>
            <wp:docPr id="76006310" name="Picture 6"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6310" name="Picture 6"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353050"/>
                    </a:xfrm>
                    <a:prstGeom prst="rect">
                      <a:avLst/>
                    </a:prstGeom>
                    <a:noFill/>
                    <a:ln>
                      <a:noFill/>
                    </a:ln>
                  </pic:spPr>
                </pic:pic>
              </a:graphicData>
            </a:graphic>
          </wp:inline>
        </w:drawing>
      </w:r>
    </w:p>
    <w:p w14:paraId="02EE3327" w14:textId="44756FEB" w:rsidR="0089764C" w:rsidRPr="0089764C" w:rsidRDefault="0089764C" w:rsidP="0089764C">
      <w:pPr>
        <w:rPr>
          <w:rFonts w:eastAsia="Times New Roman"/>
          <w:sz w:val="24"/>
          <w:szCs w:val="24"/>
          <w:lang w:val="en-DE" w:eastAsia="zh-CN"/>
        </w:rPr>
      </w:pPr>
    </w:p>
    <w:p w14:paraId="77B43B72" w14:textId="16F2C408" w:rsidR="009D7322" w:rsidRPr="009D7322" w:rsidRDefault="009D7322" w:rsidP="009D7322">
      <w:pPr>
        <w:jc w:val="center"/>
        <w:rPr>
          <w:rFonts w:ascii="SimSun" w:eastAsia="SimSun" w:hAnsi="SimSun" w:cs="SimSun"/>
          <w:sz w:val="24"/>
          <w:szCs w:val="24"/>
          <w:lang w:val="en-US" w:eastAsia="zh-CN"/>
        </w:rPr>
      </w:pP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2E16CD34" w14:textId="77777777" w:rsidR="00160463" w:rsidRDefault="00572680" w:rsidP="00160463">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containing AP</w:t>
      </w:r>
      <w:r w:rsidR="00160463">
        <w:t>-</w:t>
      </w:r>
      <w:r w:rsidRPr="008A350F">
        <w:t>1 and AP</w:t>
      </w:r>
      <w:r w:rsidR="00160463">
        <w:t>-</w:t>
      </w:r>
      <w:r w:rsidRPr="008A350F">
        <w:t xml:space="preserve">2. </w:t>
      </w:r>
      <w:r>
        <w:rPr>
          <w:szCs w:val="22"/>
        </w:rPr>
        <w:t>AP</w:t>
      </w:r>
      <w:r w:rsidR="00160463">
        <w:rPr>
          <w:szCs w:val="22"/>
        </w:rPr>
        <w:t>-</w:t>
      </w:r>
      <w:r>
        <w:rPr>
          <w:szCs w:val="22"/>
        </w:rPr>
        <w:t>1 and AP</w:t>
      </w:r>
      <w:r w:rsidR="00160463">
        <w:rPr>
          <w:szCs w:val="22"/>
        </w:rPr>
        <w:t>-</w:t>
      </w:r>
      <w:r>
        <w:rPr>
          <w:szCs w:val="22"/>
        </w:rPr>
        <w:t xml:space="preserve">2 advertise their support of IRM in </w:t>
      </w:r>
      <w:r w:rsidR="00506C42">
        <w:rPr>
          <w:szCs w:val="22"/>
        </w:rPr>
        <w:t xml:space="preserve">the </w:t>
      </w:r>
      <w:r>
        <w:rPr>
          <w:szCs w:val="22"/>
        </w:rPr>
        <w:t>RSNXE in Beacon</w:t>
      </w:r>
      <w:r w:rsidR="00506C42">
        <w:rPr>
          <w:szCs w:val="22"/>
        </w:rPr>
        <w:t>s</w:t>
      </w:r>
      <w:r>
        <w:rPr>
          <w:szCs w:val="22"/>
        </w:rPr>
        <w:t xml:space="preserve"> </w:t>
      </w:r>
      <w:r w:rsidR="00506C42">
        <w:rPr>
          <w:szCs w:val="22"/>
        </w:rPr>
        <w:t xml:space="preserve">and </w:t>
      </w:r>
      <w:r>
        <w:rPr>
          <w:szCs w:val="22"/>
        </w:rPr>
        <w:t>Probe Response</w:t>
      </w:r>
      <w:r w:rsidR="00506C42">
        <w:rPr>
          <w:szCs w:val="22"/>
        </w:rPr>
        <w:t>s</w:t>
      </w:r>
      <w:r>
        <w:rPr>
          <w:szCs w:val="22"/>
        </w:rPr>
        <w:t xml:space="preserve">. </w:t>
      </w:r>
      <w:r w:rsidRPr="008A350F">
        <w:t>The non-AP STA with a MAC address of MAC1 first initiates the connection with AP</w:t>
      </w:r>
      <w:r w:rsidR="00160463">
        <w:t>-</w:t>
      </w:r>
      <w:r w:rsidRPr="008A350F">
        <w:t xml:space="preserve">1 by sending the first PASN frame with the </w:t>
      </w:r>
      <w:r>
        <w:t>IRM</w:t>
      </w:r>
      <w:r w:rsidRPr="008A350F">
        <w:t xml:space="preserve"> Active field in the RSNXE set to 1. Upon receiving the first PASN frame, AP</w:t>
      </w:r>
      <w:r w:rsidR="00160463">
        <w:t>-</w:t>
      </w:r>
      <w:r w:rsidRPr="008A350F">
        <w:t>1</w:t>
      </w:r>
      <w:r>
        <w:t xml:space="preserve"> </w:t>
      </w:r>
      <w:r>
        <w:rPr>
          <w:szCs w:val="22"/>
        </w:rPr>
        <w:t xml:space="preserve">indicates its activation of IRM </w:t>
      </w:r>
      <w:r w:rsidR="00506C42">
        <w:t xml:space="preserve">by setting the </w:t>
      </w:r>
      <w:r>
        <w:rPr>
          <w:szCs w:val="22"/>
        </w:rPr>
        <w:t>IRM</w:t>
      </w:r>
      <w:r w:rsidRPr="002D410B">
        <w:rPr>
          <w:szCs w:val="22"/>
        </w:rPr>
        <w:t xml:space="preserve"> Active field in the RSNXE to 1</w:t>
      </w:r>
      <w:r>
        <w:rPr>
          <w:szCs w:val="22"/>
        </w:rPr>
        <w:t xml:space="preserve">. In the third PASN frame, </w:t>
      </w:r>
      <w:r w:rsidR="00506C42">
        <w:rPr>
          <w:szCs w:val="22"/>
        </w:rPr>
        <w:t xml:space="preserve">the </w:t>
      </w:r>
      <w:r>
        <w:rPr>
          <w:szCs w:val="22"/>
        </w:rPr>
        <w:t xml:space="preserve">non-AP STA </w:t>
      </w:r>
      <w:r w:rsidR="00506C42">
        <w:t>provides</w:t>
      </w:r>
      <w:r w:rsidR="00506C42" w:rsidRPr="008A350F">
        <w:t xml:space="preserve"> </w:t>
      </w:r>
      <w:r w:rsidRPr="008A350F">
        <w:t>a</w:t>
      </w:r>
      <w:r>
        <w:t>n</w:t>
      </w:r>
      <w:r w:rsidRPr="008A350F">
        <w:t xml:space="preserve"> </w:t>
      </w:r>
      <w:r>
        <w:t>IRM</w:t>
      </w:r>
      <w:r w:rsidRPr="008A350F">
        <w:t xml:space="preserve"> (</w:t>
      </w:r>
      <w:r>
        <w:t>IRM</w:t>
      </w:r>
      <w:r w:rsidRPr="008A350F">
        <w:t>1)</w:t>
      </w:r>
      <w:r>
        <w:t xml:space="preserve"> to </w:t>
      </w:r>
      <w:r w:rsidR="00506C42">
        <w:t>AP</w:t>
      </w:r>
      <w:r w:rsidR="00160463">
        <w:t>-</w:t>
      </w:r>
      <w:r w:rsidR="00506C42">
        <w:t>1</w:t>
      </w:r>
      <w:r w:rsidR="00506C42" w:rsidRPr="008A350F">
        <w:t xml:space="preserve"> </w:t>
      </w:r>
      <w:r w:rsidRPr="008A350F">
        <w:t>send</w:t>
      </w:r>
      <w:r w:rsidR="00506C42">
        <w:t>ing</w:t>
      </w:r>
      <w:r w:rsidRPr="008A350F">
        <w:t xml:space="preserve"> it to </w:t>
      </w:r>
      <w:r>
        <w:t>AP</w:t>
      </w:r>
      <w:r w:rsidR="00C53E32">
        <w:t>1</w:t>
      </w:r>
      <w:r w:rsidRPr="008A350F">
        <w:t xml:space="preserve"> in </w:t>
      </w:r>
      <w:r w:rsidR="00506C42">
        <w:t xml:space="preserve">the </w:t>
      </w:r>
      <w:r w:rsidR="00450AF3">
        <w:t xml:space="preserve">IRM </w:t>
      </w:r>
      <w:r w:rsidR="00506C42">
        <w:t xml:space="preserve">field </w:t>
      </w:r>
      <w:r w:rsidR="00450AF3">
        <w:t>in</w:t>
      </w:r>
      <w:r w:rsidR="00EB1C80">
        <w:t xml:space="preserve"> </w:t>
      </w:r>
      <w:r w:rsidR="00506C42">
        <w:t xml:space="preserve">an </w:t>
      </w:r>
      <w:r w:rsidR="00EB1C80">
        <w:t xml:space="preserve">IRM </w:t>
      </w:r>
      <w:proofErr w:type="spellStart"/>
      <w:r w:rsidR="00870CFA">
        <w:t>sub</w:t>
      </w:r>
      <w:r w:rsidR="00EB1C80">
        <w:t>element</w:t>
      </w:r>
      <w:proofErr w:type="spellEnd"/>
      <w:r w:rsidR="00EB1C80">
        <w:t xml:space="preserve"> in </w:t>
      </w:r>
      <w:r w:rsidR="00506C42">
        <w:t xml:space="preserve">the </w:t>
      </w:r>
      <w:r w:rsidR="00EB1C80">
        <w:t xml:space="preserve">PASN </w:t>
      </w:r>
      <w:proofErr w:type="spellStart"/>
      <w:r w:rsidR="00EB1C80">
        <w:t>Ecrypted</w:t>
      </w:r>
      <w:proofErr w:type="spellEnd"/>
      <w:r w:rsidR="00EB1C80">
        <w:t xml:space="preserve"> Data </w:t>
      </w:r>
      <w:r w:rsidR="00450AF3">
        <w:t>element</w:t>
      </w:r>
      <w:r w:rsidR="00EB1C80">
        <w:t xml:space="preserve">. </w:t>
      </w:r>
      <w:r w:rsidRPr="008A350F">
        <w:t xml:space="preserve"> </w:t>
      </w:r>
      <w:r w:rsidR="00160463">
        <w:rPr>
          <w:szCs w:val="22"/>
        </w:rPr>
        <w:t>T</w:t>
      </w:r>
      <w:r w:rsidR="00506C42">
        <w:rPr>
          <w:szCs w:val="22"/>
        </w:rPr>
        <w:t>he</w:t>
      </w:r>
      <w:r w:rsidR="00C53E32">
        <w:rPr>
          <w:szCs w:val="22"/>
        </w:rPr>
        <w:t xml:space="preserve"> non-AP STA</w:t>
      </w:r>
      <w:r w:rsidR="003E239D">
        <w:rPr>
          <w:szCs w:val="22"/>
        </w:rPr>
        <w:t>, AP</w:t>
      </w:r>
      <w:r w:rsidR="00160463">
        <w:rPr>
          <w:szCs w:val="22"/>
        </w:rPr>
        <w:t>-</w:t>
      </w:r>
      <w:r w:rsidR="003E239D">
        <w:rPr>
          <w:szCs w:val="22"/>
        </w:rPr>
        <w:t xml:space="preserve">1 </w:t>
      </w:r>
      <w:r w:rsidR="00C53E32">
        <w:rPr>
          <w:szCs w:val="22"/>
        </w:rPr>
        <w:t xml:space="preserve">and </w:t>
      </w:r>
      <w:r w:rsidR="003E239D">
        <w:rPr>
          <w:szCs w:val="22"/>
        </w:rPr>
        <w:t>AP</w:t>
      </w:r>
      <w:r w:rsidR="00160463">
        <w:rPr>
          <w:szCs w:val="22"/>
        </w:rPr>
        <w:t>-</w:t>
      </w:r>
      <w:r w:rsidR="003E239D">
        <w:rPr>
          <w:szCs w:val="22"/>
        </w:rPr>
        <w:t xml:space="preserve">2 </w:t>
      </w:r>
      <w:r w:rsidR="00C53E32">
        <w:rPr>
          <w:szCs w:val="22"/>
        </w:rPr>
        <w:t>store IRM1.</w:t>
      </w:r>
      <w:r w:rsidR="00160463">
        <w:rPr>
          <w:szCs w:val="22"/>
        </w:rPr>
        <w:t xml:space="preserve"> </w:t>
      </w:r>
      <w:r w:rsidRPr="008A350F">
        <w:t>The non-AP STA then continues to establish an FTM session with AP</w:t>
      </w:r>
      <w:r w:rsidR="00160463">
        <w:t>-</w:t>
      </w:r>
      <w:r w:rsidRPr="008A350F">
        <w:t xml:space="preserve">1. </w:t>
      </w:r>
      <w:r w:rsidR="001C385A" w:rsidRPr="008A350F">
        <w:t>When the non-AP STA performs PASN with AP</w:t>
      </w:r>
      <w:r w:rsidR="00160463">
        <w:t>-</w:t>
      </w:r>
      <w:r w:rsidR="001C385A" w:rsidRPr="008A350F">
        <w:t>2 to establish another FTM session,</w:t>
      </w:r>
      <w:r w:rsidR="001C385A">
        <w:t xml:space="preserve"> the </w:t>
      </w:r>
      <w:r w:rsidR="001C385A">
        <w:rPr>
          <w:szCs w:val="22"/>
        </w:rPr>
        <w:t>non-AP STA uses IRM1 as its MAC address</w:t>
      </w:r>
      <w:r w:rsidR="001C385A" w:rsidRPr="008A350F">
        <w:t>.</w:t>
      </w:r>
      <w:r w:rsidR="001C385A">
        <w:rPr>
          <w:szCs w:val="22"/>
        </w:rPr>
        <w:t xml:space="preserve"> </w:t>
      </w:r>
      <w:r w:rsidR="003E239D">
        <w:rPr>
          <w:szCs w:val="22"/>
        </w:rPr>
        <w:t xml:space="preserve"> </w:t>
      </w:r>
      <w:r w:rsidR="001C385A">
        <w:rPr>
          <w:szCs w:val="22"/>
        </w:rPr>
        <w:t>AP</w:t>
      </w:r>
      <w:r w:rsidR="00160463">
        <w:rPr>
          <w:szCs w:val="22"/>
        </w:rPr>
        <w:t>-</w:t>
      </w:r>
      <w:r w:rsidR="00C53E32">
        <w:rPr>
          <w:szCs w:val="22"/>
        </w:rPr>
        <w:t>2</w:t>
      </w:r>
      <w:r w:rsidR="001C385A">
        <w:rPr>
          <w:szCs w:val="22"/>
        </w:rPr>
        <w:t xml:space="preserve"> identifies the non-AP STA</w:t>
      </w:r>
      <w:r w:rsidR="003E239D">
        <w:rPr>
          <w:szCs w:val="22"/>
        </w:rPr>
        <w:t xml:space="preserve"> from the stored IRM1</w:t>
      </w:r>
      <w:r w:rsidR="001C385A">
        <w:rPr>
          <w:szCs w:val="22"/>
        </w:rPr>
        <w:t xml:space="preserve">. </w:t>
      </w:r>
      <w:r w:rsidR="001C385A" w:rsidRPr="008A350F">
        <w:t xml:space="preserve">Upon receiving </w:t>
      </w:r>
      <w:r w:rsidR="001C385A">
        <w:t>IRM</w:t>
      </w:r>
      <w:r w:rsidR="001C385A" w:rsidRPr="008A350F">
        <w:t>1 in first PASN frame,</w:t>
      </w:r>
      <w:r w:rsidR="001C385A">
        <w:t xml:space="preserve"> </w:t>
      </w:r>
      <w:r w:rsidR="001F01C1">
        <w:t>AP</w:t>
      </w:r>
      <w:r w:rsidR="00160463">
        <w:t>-</w:t>
      </w:r>
      <w:r w:rsidR="001F01C1">
        <w:t xml:space="preserve">2 </w:t>
      </w:r>
      <w:r w:rsidR="003E239D" w:rsidRPr="001C385A">
        <w:t xml:space="preserve">may </w:t>
      </w:r>
      <w:r w:rsidR="003E239D">
        <w:t xml:space="preserve">send an IRM </w:t>
      </w:r>
      <w:proofErr w:type="spellStart"/>
      <w:r w:rsidR="00870CFA">
        <w:t>sub</w:t>
      </w:r>
      <w:r w:rsidR="003E239D">
        <w:t>element</w:t>
      </w:r>
      <w:proofErr w:type="spellEnd"/>
      <w:r w:rsidR="003E239D">
        <w:t xml:space="preserve"> </w:t>
      </w:r>
      <w:r w:rsidR="003E239D" w:rsidRPr="001C385A">
        <w:t xml:space="preserve">in </w:t>
      </w:r>
      <w:r w:rsidR="003E239D">
        <w:t xml:space="preserve">the PASN </w:t>
      </w:r>
      <w:proofErr w:type="spellStart"/>
      <w:r w:rsidR="003E239D">
        <w:t>Ecrypted</w:t>
      </w:r>
      <w:proofErr w:type="spellEnd"/>
      <w:r w:rsidR="003E239D">
        <w:t xml:space="preserve"> Data element</w:t>
      </w:r>
      <w:r w:rsidR="003E239D" w:rsidRPr="001C385A">
        <w:t xml:space="preserve"> in </w:t>
      </w:r>
      <w:r w:rsidR="003E239D">
        <w:t>the second PASN frame with the IRM status field set to 0, indicating that the IRM has been recognized</w:t>
      </w:r>
      <w:r w:rsidR="001C385A">
        <w:t xml:space="preserve">. </w:t>
      </w:r>
      <w:r w:rsidR="003E239D">
        <w:t>The</w:t>
      </w:r>
      <w:r w:rsidR="001C385A">
        <w:t xml:space="preserve"> </w:t>
      </w:r>
      <w:r w:rsidR="001C385A" w:rsidRPr="001C385A">
        <w:t xml:space="preserve">non-AP STA </w:t>
      </w:r>
      <w:r w:rsidR="003E239D">
        <w:t>then</w:t>
      </w:r>
      <w:r w:rsidR="003E239D" w:rsidRPr="001C385A">
        <w:t xml:space="preserve"> </w:t>
      </w:r>
      <w:r w:rsidR="003E239D">
        <w:t>provides</w:t>
      </w:r>
      <w:r w:rsidR="003E239D" w:rsidRPr="001C385A">
        <w:t xml:space="preserve"> </w:t>
      </w:r>
      <w:r w:rsidR="001C385A" w:rsidRPr="001C385A">
        <w:t xml:space="preserve">another IRM (IRM2) to </w:t>
      </w:r>
      <w:r w:rsidR="003E239D">
        <w:t>AP</w:t>
      </w:r>
      <w:r w:rsidR="00160463">
        <w:t>-</w:t>
      </w:r>
      <w:r w:rsidR="003E239D">
        <w:t>2</w:t>
      </w:r>
      <w:r w:rsidR="003E239D" w:rsidRPr="001C385A">
        <w:t xml:space="preserve"> </w:t>
      </w:r>
      <w:r w:rsidR="00450AF3">
        <w:t xml:space="preserve">in </w:t>
      </w:r>
      <w:r w:rsidR="003E239D">
        <w:t xml:space="preserve">the </w:t>
      </w:r>
      <w:proofErr w:type="spellStart"/>
      <w:r w:rsidR="00450AF3">
        <w:t>IRM</w:t>
      </w:r>
      <w:r w:rsidR="003E239D">
        <w:t>field</w:t>
      </w:r>
      <w:proofErr w:type="spellEnd"/>
      <w:r w:rsidR="00450AF3">
        <w:t xml:space="preserve"> in</w:t>
      </w:r>
      <w:r w:rsidR="00EB1C80">
        <w:t xml:space="preserve"> </w:t>
      </w:r>
      <w:r w:rsidR="003E239D">
        <w:t xml:space="preserve">an </w:t>
      </w:r>
      <w:r w:rsidR="00EB1C80">
        <w:t xml:space="preserve">IRM </w:t>
      </w:r>
      <w:proofErr w:type="spellStart"/>
      <w:r w:rsidR="00870CFA">
        <w:t>sub</w:t>
      </w:r>
      <w:r w:rsidR="00EB1C80">
        <w:t>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w:t>
      </w:r>
      <w:r w:rsidR="003E239D">
        <w:t xml:space="preserve">in the </w:t>
      </w:r>
      <w:r w:rsidR="001C385A" w:rsidRPr="001C385A">
        <w:t xml:space="preserve"> </w:t>
      </w:r>
      <w:r w:rsidR="001C385A">
        <w:t>third PASN frame</w:t>
      </w:r>
      <w:r w:rsidR="001C385A" w:rsidRPr="001C385A">
        <w:t>.</w:t>
      </w:r>
      <w:r w:rsidR="001C385A">
        <w:t xml:space="preserve"> </w:t>
      </w:r>
      <w:r w:rsidR="001C385A" w:rsidRPr="008A350F">
        <w:t>Similarly, when the non-AP STA returns to AP</w:t>
      </w:r>
      <w:r w:rsidR="00160463">
        <w:t>-</w:t>
      </w:r>
      <w:r w:rsidR="001C385A" w:rsidRPr="008A350F">
        <w:t xml:space="preserve">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w:t>
      </w:r>
      <w:r w:rsidR="003E239D">
        <w:t>provides</w:t>
      </w:r>
      <w:r w:rsidR="001C385A" w:rsidRPr="008A350F">
        <w:t xml:space="preserve"> another </w:t>
      </w:r>
      <w:r w:rsidR="001C385A">
        <w:t>IRM</w:t>
      </w:r>
      <w:r w:rsidR="001C385A" w:rsidRPr="008A350F">
        <w:t xml:space="preserve"> (</w:t>
      </w:r>
      <w:r w:rsidR="001C385A">
        <w:t>IRM</w:t>
      </w:r>
      <w:r w:rsidR="001C385A" w:rsidRPr="008A350F">
        <w:t>3) that will be used in the subsequent PASN for another FTM session.</w:t>
      </w:r>
    </w:p>
    <w:p w14:paraId="11164DB3" w14:textId="77777777" w:rsidR="00160463" w:rsidRDefault="00160463" w:rsidP="00160463">
      <w:pPr>
        <w:jc w:val="both"/>
      </w:pPr>
    </w:p>
    <w:p w14:paraId="6426C066" w14:textId="3BCB11BE" w:rsidR="00572680" w:rsidRPr="00160463" w:rsidRDefault="000C7720" w:rsidP="00160463">
      <w:pPr>
        <w:jc w:val="both"/>
        <w:rPr>
          <w:rFonts w:eastAsia="Times New Roman"/>
          <w:sz w:val="24"/>
          <w:szCs w:val="24"/>
          <w:lang w:val="en-DE" w:eastAsia="zh-CN"/>
        </w:rPr>
      </w:pPr>
      <w:r w:rsidRPr="000C7720">
        <w:rPr>
          <w:rFonts w:eastAsia="Times New Roman"/>
          <w:noProof/>
          <w:sz w:val="24"/>
          <w:szCs w:val="24"/>
          <w:lang w:val="en-DE" w:eastAsia="zh-CN"/>
        </w:rPr>
        <w:lastRenderedPageBreak/>
        <w:drawing>
          <wp:inline distT="0" distB="0" distL="0" distR="0" wp14:anchorId="7BD6B6CE" wp14:editId="76A9AC40">
            <wp:extent cx="5779803" cy="7211786"/>
            <wp:effectExtent l="0" t="0" r="0" b="8255"/>
            <wp:docPr id="1738521008" name="Picture 7"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21008" name="Picture 7" descr="A black background with white circl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3583" cy="7216502"/>
                    </a:xfrm>
                    <a:prstGeom prst="rect">
                      <a:avLst/>
                    </a:prstGeom>
                    <a:noFill/>
                    <a:ln>
                      <a:noFill/>
                    </a:ln>
                  </pic:spPr>
                </pic:pic>
              </a:graphicData>
            </a:graphic>
          </wp:inline>
        </w:drawing>
      </w:r>
    </w:p>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Default="00572680" w:rsidP="00572680"/>
    <w:p w14:paraId="61FBFC3D" w14:textId="77777777" w:rsidR="00160463" w:rsidRPr="00FA708F" w:rsidRDefault="00160463" w:rsidP="00160463">
      <w:pPr>
        <w:pStyle w:val="Default"/>
        <w:jc w:val="both"/>
        <w:rPr>
          <w:b/>
          <w:bCs/>
          <w:color w:val="auto"/>
          <w:sz w:val="22"/>
          <w:szCs w:val="22"/>
        </w:rPr>
      </w:pPr>
      <w:r w:rsidRPr="00FA708F">
        <w:rPr>
          <w:b/>
          <w:bCs/>
          <w:color w:val="auto"/>
          <w:sz w:val="22"/>
          <w:szCs w:val="22"/>
        </w:rPr>
        <w:t>AX.3 – Example of device ID and IRM usage</w:t>
      </w:r>
    </w:p>
    <w:p w14:paraId="1B08A739" w14:textId="77777777" w:rsidR="00160463" w:rsidRDefault="00160463" w:rsidP="00160463">
      <w:pPr>
        <w:pStyle w:val="Default"/>
        <w:jc w:val="both"/>
        <w:rPr>
          <w:color w:val="auto"/>
          <w:sz w:val="22"/>
          <w:szCs w:val="22"/>
        </w:rPr>
      </w:pPr>
    </w:p>
    <w:p w14:paraId="2D010F08" w14:textId="77777777" w:rsidR="00FA708F" w:rsidRDefault="00F430B3" w:rsidP="00FA708F">
      <w:pPr>
        <w:pStyle w:val="Default"/>
        <w:jc w:val="both"/>
        <w:rPr>
          <w:color w:val="auto"/>
          <w:sz w:val="22"/>
          <w:szCs w:val="22"/>
        </w:rPr>
      </w:pPr>
      <w:r w:rsidRPr="008A350F">
        <w:t xml:space="preserve">Figure </w:t>
      </w:r>
      <w:r>
        <w:t>AX-7</w:t>
      </w:r>
      <w:r w:rsidRPr="008A350F">
        <w:t xml:space="preserve"> </w:t>
      </w:r>
      <w:r w:rsidR="00160463" w:rsidRPr="008A350F">
        <w:t>shows an example of a device ID exchange in</w:t>
      </w:r>
      <w:r w:rsidR="00160463">
        <w:t xml:space="preserve"> </w:t>
      </w:r>
      <w:r w:rsidR="00FA708F">
        <w:rPr>
          <w:color w:val="auto"/>
          <w:sz w:val="22"/>
          <w:szCs w:val="22"/>
        </w:rPr>
        <w:t xml:space="preserve">4-way Handshake </w:t>
      </w:r>
      <w:r w:rsidR="00FA708F">
        <w:rPr>
          <w:szCs w:val="22"/>
        </w:rPr>
        <w:t xml:space="preserve">and </w:t>
      </w:r>
      <w:r w:rsidR="00FA708F">
        <w:t>IRM</w:t>
      </w:r>
      <w:r w:rsidR="00FA708F" w:rsidRPr="008A350F">
        <w:t xml:space="preserve"> exchange in</w:t>
      </w:r>
      <w:r w:rsidR="00FA708F">
        <w:t xml:space="preserve"> </w:t>
      </w:r>
      <w:r w:rsidR="00FA708F" w:rsidRPr="008A350F">
        <w:t>PASN</w:t>
      </w:r>
      <w:r w:rsidR="00FA708F">
        <w:t xml:space="preserve"> for </w:t>
      </w:r>
      <w:r w:rsidR="00FA708F">
        <w:rPr>
          <w:color w:val="auto"/>
          <w:sz w:val="22"/>
          <w:szCs w:val="22"/>
        </w:rPr>
        <w:t>APs (AP-1 and AP-2 belonging to the same ESS)</w:t>
      </w:r>
      <w:r w:rsidR="00160463" w:rsidRPr="008A350F">
        <w:t xml:space="preserve">. </w:t>
      </w:r>
      <w:r w:rsidR="00FA708F">
        <w:rPr>
          <w:color w:val="auto"/>
          <w:sz w:val="22"/>
          <w:szCs w:val="22"/>
        </w:rPr>
        <w:t>The AP-1 and AP-2 advertise their support of device ID</w:t>
      </w:r>
      <w:r w:rsidR="00FA708F">
        <w:rPr>
          <w:szCs w:val="22"/>
        </w:rPr>
        <w:t xml:space="preserve"> and IRM</w:t>
      </w:r>
      <w:r w:rsidR="00FA708F">
        <w:rPr>
          <w:color w:val="auto"/>
          <w:sz w:val="22"/>
          <w:szCs w:val="22"/>
        </w:rPr>
        <w:t xml:space="preserve"> in the RSNXE in Beacons and Probe Responses. </w:t>
      </w:r>
      <w:r w:rsidR="00FA708F" w:rsidRPr="0079599B">
        <w:rPr>
          <w:color w:val="auto"/>
          <w:sz w:val="22"/>
          <w:szCs w:val="22"/>
        </w:rPr>
        <w:t xml:space="preserve">The non-AP STA with a MAC </w:t>
      </w:r>
      <w:r w:rsidR="00FA708F" w:rsidRPr="0079599B">
        <w:rPr>
          <w:color w:val="auto"/>
          <w:sz w:val="22"/>
          <w:szCs w:val="22"/>
        </w:rPr>
        <w:lastRenderedPageBreak/>
        <w:t xml:space="preserve">address of MAC1 </w:t>
      </w:r>
      <w:r w:rsidR="00FA708F">
        <w:rPr>
          <w:color w:val="auto"/>
          <w:sz w:val="22"/>
          <w:szCs w:val="22"/>
        </w:rPr>
        <w:t>initiates</w:t>
      </w:r>
      <w:r w:rsidR="00FA708F" w:rsidRPr="0079599B">
        <w:rPr>
          <w:color w:val="auto"/>
          <w:sz w:val="22"/>
          <w:szCs w:val="22"/>
        </w:rPr>
        <w:t xml:space="preserve"> </w:t>
      </w:r>
      <w:r w:rsidR="00FA708F">
        <w:rPr>
          <w:color w:val="auto"/>
          <w:sz w:val="22"/>
          <w:szCs w:val="22"/>
        </w:rPr>
        <w:t>the first</w:t>
      </w:r>
      <w:r w:rsidR="00FA708F" w:rsidRPr="0079599B">
        <w:rPr>
          <w:color w:val="auto"/>
          <w:sz w:val="22"/>
          <w:szCs w:val="22"/>
        </w:rPr>
        <w:t xml:space="preserve"> connection with AP</w:t>
      </w:r>
      <w:r w:rsidR="00FA708F">
        <w:rPr>
          <w:color w:val="auto"/>
          <w:sz w:val="22"/>
          <w:szCs w:val="22"/>
        </w:rPr>
        <w:t>-1, i.e., the non-AP STA does not have a device ID</w:t>
      </w:r>
      <w:r w:rsidR="00FA708F">
        <w:rPr>
          <w:szCs w:val="22"/>
        </w:rPr>
        <w:t xml:space="preserve"> and IRM</w:t>
      </w:r>
      <w:r w:rsidR="00FA708F">
        <w:rPr>
          <w:color w:val="auto"/>
          <w:sz w:val="22"/>
          <w:szCs w:val="22"/>
        </w:rPr>
        <w:t xml:space="preserve"> for that AP/ESS.</w:t>
      </w:r>
      <w:r w:rsidR="00FA708F">
        <w:rPr>
          <w:szCs w:val="22"/>
        </w:rPr>
        <w:t xml:space="preserve"> </w:t>
      </w:r>
      <w:r w:rsidR="00FA708F">
        <w:rPr>
          <w:color w:val="auto"/>
          <w:sz w:val="22"/>
          <w:szCs w:val="22"/>
        </w:rPr>
        <w:t>After the authentication frame exchange, the non-AP STA indicates its activation of device ID and IRM</w:t>
      </w:r>
      <w:r w:rsidR="00FA708F" w:rsidRPr="002D410B">
        <w:t xml:space="preserve"> </w:t>
      </w:r>
      <w:r w:rsidR="00FA708F">
        <w:t xml:space="preserve">by setting the </w:t>
      </w:r>
      <w:r w:rsidR="00FA708F" w:rsidRPr="002D410B">
        <w:rPr>
          <w:color w:val="auto"/>
          <w:sz w:val="22"/>
          <w:szCs w:val="22"/>
        </w:rPr>
        <w:t>Device ID Active field</w:t>
      </w:r>
      <w:r w:rsidR="00FA708F">
        <w:rPr>
          <w:color w:val="auto"/>
          <w:sz w:val="22"/>
          <w:szCs w:val="22"/>
        </w:rPr>
        <w:t xml:space="preserve"> and IRM</w:t>
      </w:r>
      <w:r w:rsidR="00FA708F" w:rsidRPr="002D410B">
        <w:rPr>
          <w:color w:val="auto"/>
          <w:sz w:val="22"/>
          <w:szCs w:val="22"/>
        </w:rPr>
        <w:t xml:space="preserve"> Active field in the RSNXE to 1</w:t>
      </w:r>
      <w:r w:rsidR="00FA708F">
        <w:rPr>
          <w:color w:val="auto"/>
          <w:sz w:val="22"/>
          <w:szCs w:val="22"/>
        </w:rPr>
        <w:t xml:space="preserve"> in the Association Request. Similarly, the AP-1 indicates its activation of device ID and IRM</w:t>
      </w:r>
      <w:r w:rsidR="00FA708F" w:rsidRPr="002D410B">
        <w:rPr>
          <w:color w:val="auto"/>
          <w:sz w:val="22"/>
          <w:szCs w:val="22"/>
        </w:rPr>
        <w:t xml:space="preserve"> </w:t>
      </w:r>
      <w:r w:rsidR="00FA708F">
        <w:t xml:space="preserve">by setting the </w:t>
      </w:r>
      <w:r w:rsidR="00FA708F" w:rsidRPr="002D410B">
        <w:rPr>
          <w:color w:val="auto"/>
          <w:sz w:val="22"/>
          <w:szCs w:val="22"/>
        </w:rPr>
        <w:t xml:space="preserve">Device ID Active field </w:t>
      </w:r>
      <w:r w:rsidR="00FA708F">
        <w:rPr>
          <w:color w:val="auto"/>
          <w:sz w:val="22"/>
          <w:szCs w:val="22"/>
        </w:rPr>
        <w:t xml:space="preserve">and </w:t>
      </w:r>
      <w:proofErr w:type="spellStart"/>
      <w:r w:rsidR="00FA708F">
        <w:rPr>
          <w:color w:val="auto"/>
          <w:sz w:val="22"/>
          <w:szCs w:val="22"/>
        </w:rPr>
        <w:t>and</w:t>
      </w:r>
      <w:proofErr w:type="spellEnd"/>
      <w:r w:rsidR="00FA708F">
        <w:rPr>
          <w:color w:val="auto"/>
          <w:sz w:val="22"/>
          <w:szCs w:val="22"/>
        </w:rPr>
        <w:t xml:space="preserve"> IRM</w:t>
      </w:r>
      <w:r w:rsidR="00FA708F" w:rsidRPr="002D410B">
        <w:rPr>
          <w:color w:val="auto"/>
          <w:sz w:val="22"/>
          <w:szCs w:val="22"/>
        </w:rPr>
        <w:t xml:space="preserve"> Active field in the RSNXE to </w:t>
      </w:r>
      <w:r w:rsidR="00FA708F">
        <w:rPr>
          <w:color w:val="auto"/>
          <w:sz w:val="22"/>
          <w:szCs w:val="22"/>
        </w:rPr>
        <w:t>1 in Association Response. In 4-way Handshake Message 3, the AP-1 includes a device ID KDE and assigns a device ID (devID1) to the non-AP STA. In 4-way Handshake Message 4, the non-AP STA includes an IRM KDE</w:t>
      </w:r>
      <w:r w:rsidR="00FA708F" w:rsidDel="00241044">
        <w:rPr>
          <w:color w:val="auto"/>
          <w:sz w:val="22"/>
          <w:szCs w:val="22"/>
        </w:rPr>
        <w:t xml:space="preserve"> </w:t>
      </w:r>
      <w:r w:rsidR="00FA708F">
        <w:rPr>
          <w:color w:val="auto"/>
          <w:sz w:val="22"/>
          <w:szCs w:val="22"/>
        </w:rPr>
        <w:t xml:space="preserve">and provides an IRM (IRM1) to the AP-1. The non-AP STA, AP-1, and AP-2 store devID1 and IRM1.  </w:t>
      </w:r>
    </w:p>
    <w:p w14:paraId="520AEA0B" w14:textId="77777777" w:rsidR="00FA708F" w:rsidRDefault="00FA708F" w:rsidP="00FA708F">
      <w:pPr>
        <w:pStyle w:val="Default"/>
        <w:jc w:val="both"/>
        <w:rPr>
          <w:color w:val="auto"/>
          <w:sz w:val="22"/>
          <w:szCs w:val="22"/>
        </w:rPr>
      </w:pPr>
    </w:p>
    <w:p w14:paraId="114A96E9" w14:textId="07548356" w:rsidR="00FA708F" w:rsidRPr="00AC5D13" w:rsidRDefault="00FA708F" w:rsidP="00AC5D13">
      <w:pPr>
        <w:jc w:val="both"/>
      </w:pPr>
      <w:r>
        <w:rPr>
          <w:szCs w:val="22"/>
        </w:rPr>
        <w:t>T</w:t>
      </w:r>
      <w:r w:rsidRPr="00FA708F">
        <w:rPr>
          <w:szCs w:val="22"/>
        </w:rPr>
        <w:t>he non-AP STA then continues to establish an FTM session with AP-</w:t>
      </w:r>
      <w:r>
        <w:rPr>
          <w:szCs w:val="22"/>
        </w:rPr>
        <w:t>2</w:t>
      </w:r>
      <w:r w:rsidRPr="00FA708F">
        <w:rPr>
          <w:szCs w:val="22"/>
        </w:rPr>
        <w:t>. When the non-AP STA performs PASN with AP-2 to establish a</w:t>
      </w:r>
      <w:r w:rsidR="00AC5D13">
        <w:rPr>
          <w:szCs w:val="22"/>
        </w:rPr>
        <w:t>n</w:t>
      </w:r>
      <w:r w:rsidRPr="00FA708F">
        <w:rPr>
          <w:szCs w:val="22"/>
        </w:rPr>
        <w:t xml:space="preserve"> FTM session, the non-AP STA uses IRM1 as its MAC address</w:t>
      </w:r>
      <w:r w:rsidR="00AC5D13">
        <w:rPr>
          <w:szCs w:val="22"/>
        </w:rPr>
        <w:t xml:space="preserve"> </w:t>
      </w:r>
      <w:r w:rsidR="00AC5D13" w:rsidRPr="008A350F">
        <w:t xml:space="preserve">with the </w:t>
      </w:r>
      <w:r w:rsidR="00AC5D13">
        <w:t>IRM</w:t>
      </w:r>
      <w:r w:rsidR="00AC5D13" w:rsidRPr="008A350F">
        <w:t xml:space="preserve"> Active field in the RSNXE set to 1</w:t>
      </w:r>
      <w:r w:rsidR="00AC5D13">
        <w:t xml:space="preserve"> in the first PASN frame</w:t>
      </w:r>
      <w:r w:rsidR="00AC5D13" w:rsidRPr="008A350F">
        <w:t>.</w:t>
      </w:r>
      <w:r w:rsidR="00AC5D13">
        <w:t xml:space="preserve"> </w:t>
      </w:r>
      <w:r w:rsidRPr="00FA708F">
        <w:rPr>
          <w:szCs w:val="22"/>
        </w:rPr>
        <w:t xml:space="preserve">AP-2 identifies the non-AP STA from the stored IRM1. Upon receiving IRM1 in first PASN frame, AP-2 may send an IRM </w:t>
      </w:r>
      <w:proofErr w:type="spellStart"/>
      <w:r w:rsidRPr="00FA708F">
        <w:rPr>
          <w:szCs w:val="22"/>
        </w:rPr>
        <w:t>subelement</w:t>
      </w:r>
      <w:proofErr w:type="spellEnd"/>
      <w:r w:rsidRPr="00FA708F">
        <w:rPr>
          <w:szCs w:val="22"/>
        </w:rPr>
        <w:t xml:space="preserve"> in the PASN </w:t>
      </w:r>
      <w:proofErr w:type="spellStart"/>
      <w:r w:rsidRPr="00FA708F">
        <w:rPr>
          <w:szCs w:val="22"/>
        </w:rPr>
        <w:t>Ecrypted</w:t>
      </w:r>
      <w:proofErr w:type="spellEnd"/>
      <w:r w:rsidRPr="00FA708F">
        <w:rPr>
          <w:szCs w:val="22"/>
        </w:rPr>
        <w:t xml:space="preserve"> Data element in the second PASN frame with the IRM status field set to 0, indicating that the IRM has been recognized. The non-AP STA then provides another IRM (IRM2) to AP-2 in the IRM</w:t>
      </w:r>
      <w:r w:rsidR="00AC5D13">
        <w:rPr>
          <w:szCs w:val="22"/>
        </w:rPr>
        <w:t xml:space="preserve"> </w:t>
      </w:r>
      <w:r w:rsidRPr="00FA708F">
        <w:rPr>
          <w:szCs w:val="22"/>
        </w:rPr>
        <w:t xml:space="preserve">field in an IRM </w:t>
      </w:r>
      <w:proofErr w:type="spellStart"/>
      <w:r w:rsidRPr="00FA708F">
        <w:rPr>
          <w:szCs w:val="22"/>
        </w:rPr>
        <w:t>subelement</w:t>
      </w:r>
      <w:proofErr w:type="spellEnd"/>
      <w:r w:rsidRPr="00FA708F">
        <w:rPr>
          <w:szCs w:val="22"/>
        </w:rPr>
        <w:t xml:space="preserve"> in PASN </w:t>
      </w:r>
      <w:proofErr w:type="spellStart"/>
      <w:r w:rsidRPr="00FA708F">
        <w:rPr>
          <w:szCs w:val="22"/>
        </w:rPr>
        <w:t>Ecrypted</w:t>
      </w:r>
      <w:proofErr w:type="spellEnd"/>
      <w:r w:rsidRPr="00FA708F">
        <w:rPr>
          <w:szCs w:val="22"/>
        </w:rPr>
        <w:t xml:space="preserve"> Data element in the third PASN frame.</w:t>
      </w:r>
    </w:p>
    <w:p w14:paraId="72D3FED9" w14:textId="503F2121" w:rsidR="00FA708F" w:rsidRPr="00AC5D13" w:rsidRDefault="00FA708F" w:rsidP="00FA708F">
      <w:pPr>
        <w:pStyle w:val="Default"/>
        <w:jc w:val="both"/>
        <w:rPr>
          <w:color w:val="auto"/>
          <w:sz w:val="22"/>
          <w:szCs w:val="22"/>
        </w:rPr>
      </w:pPr>
      <w:r>
        <w:rPr>
          <w:color w:val="auto"/>
          <w:sz w:val="22"/>
          <w:szCs w:val="22"/>
        </w:rPr>
        <w:t xml:space="preserve">  </w:t>
      </w:r>
    </w:p>
    <w:p w14:paraId="49E4B18F" w14:textId="6E29DF1C" w:rsidR="00FA708F" w:rsidRDefault="00FA708F" w:rsidP="00FA708F">
      <w:pPr>
        <w:pStyle w:val="Default"/>
        <w:jc w:val="both"/>
        <w:rPr>
          <w:color w:val="auto"/>
          <w:sz w:val="22"/>
          <w:szCs w:val="22"/>
        </w:rPr>
      </w:pPr>
      <w:r>
        <w:rPr>
          <w:color w:val="auto"/>
          <w:sz w:val="22"/>
          <w:szCs w:val="22"/>
        </w:rPr>
        <w:t xml:space="preserve">Later the non-AP STA terminates the </w:t>
      </w:r>
      <w:r w:rsidR="00AC5D13">
        <w:rPr>
          <w:color w:val="auto"/>
          <w:sz w:val="22"/>
          <w:szCs w:val="22"/>
        </w:rPr>
        <w:t xml:space="preserve">FTM session and AP-2 and terminates </w:t>
      </w:r>
      <w:r>
        <w:rPr>
          <w:color w:val="auto"/>
          <w:sz w:val="22"/>
          <w:szCs w:val="22"/>
        </w:rPr>
        <w:t>connection with the AP-1.</w:t>
      </w:r>
    </w:p>
    <w:p w14:paraId="657C95FC" w14:textId="77777777" w:rsidR="00FA708F" w:rsidRDefault="00FA708F" w:rsidP="00FA708F">
      <w:pPr>
        <w:pStyle w:val="Default"/>
        <w:jc w:val="both"/>
        <w:rPr>
          <w:color w:val="auto"/>
          <w:sz w:val="22"/>
          <w:szCs w:val="22"/>
        </w:rPr>
      </w:pPr>
    </w:p>
    <w:p w14:paraId="751CF6DD" w14:textId="5203C7F7" w:rsidR="00FA708F" w:rsidRDefault="00FA708F" w:rsidP="00FA708F">
      <w:pPr>
        <w:pStyle w:val="Default"/>
        <w:jc w:val="both"/>
        <w:rPr>
          <w:color w:val="auto"/>
          <w:sz w:val="22"/>
          <w:szCs w:val="22"/>
        </w:rPr>
      </w:pPr>
      <w:r>
        <w:rPr>
          <w:color w:val="auto"/>
          <w:sz w:val="22"/>
          <w:szCs w:val="22"/>
        </w:rPr>
        <w:t xml:space="preserve">The non-AP STA then returns to that same ESS using a different MAC address (MAC2), again indicating </w:t>
      </w:r>
      <w:r w:rsidR="00AC5D13">
        <w:rPr>
          <w:color w:val="auto"/>
          <w:sz w:val="22"/>
          <w:szCs w:val="22"/>
        </w:rPr>
        <w:t>activation</w:t>
      </w:r>
      <w:r>
        <w:rPr>
          <w:color w:val="auto"/>
          <w:sz w:val="22"/>
          <w:szCs w:val="22"/>
        </w:rPr>
        <w:t xml:space="preserve"> of device ID in the Association Request/Response frame exchange. The non-AP STA then provides the previously assigned device ID (devID1) to AP-</w:t>
      </w:r>
      <w:r w:rsidR="00AC5D13">
        <w:rPr>
          <w:color w:val="auto"/>
          <w:sz w:val="22"/>
          <w:szCs w:val="22"/>
        </w:rPr>
        <w:t>1</w:t>
      </w:r>
      <w:r>
        <w:rPr>
          <w:color w:val="auto"/>
          <w:sz w:val="22"/>
          <w:szCs w:val="22"/>
        </w:rPr>
        <w:t xml:space="preserve"> in a device ID KDE in 4-way Handshake Message 2. The AP-</w:t>
      </w:r>
      <w:r w:rsidR="00AC5D13">
        <w:rPr>
          <w:color w:val="auto"/>
          <w:sz w:val="22"/>
          <w:szCs w:val="22"/>
        </w:rPr>
        <w:t>1</w:t>
      </w:r>
      <w:r>
        <w:rPr>
          <w:color w:val="auto"/>
          <w:sz w:val="22"/>
          <w:szCs w:val="22"/>
        </w:rPr>
        <w:t xml:space="preserve"> identifies the non-AP STA from the device ID (devID1) despite the non-AP STA using a randomized MAC address (MAC2). The AP-</w:t>
      </w:r>
      <w:r w:rsidR="00AC5D13">
        <w:rPr>
          <w:color w:val="auto"/>
          <w:sz w:val="22"/>
          <w:szCs w:val="22"/>
        </w:rPr>
        <w:t>1</w:t>
      </w:r>
      <w:r>
        <w:rPr>
          <w:color w:val="auto"/>
          <w:sz w:val="22"/>
          <w:szCs w:val="22"/>
        </w:rPr>
        <w:t xml:space="preserve"> then sends a device ID KDE in 4-way Handshake Message 3 with the Status field set to 0 indicating that the device ID has been recognized.  The AP-</w:t>
      </w:r>
      <w:r w:rsidR="00AC5D13">
        <w:rPr>
          <w:color w:val="auto"/>
          <w:sz w:val="22"/>
          <w:szCs w:val="22"/>
        </w:rPr>
        <w:t>1</w:t>
      </w:r>
      <w:r>
        <w:rPr>
          <w:color w:val="auto"/>
          <w:sz w:val="22"/>
          <w:szCs w:val="22"/>
        </w:rPr>
        <w:t xml:space="preserve"> may allocate a new device ID (devID2) in the device ID KDE sent in 4-way Handshake Message 3.  </w:t>
      </w:r>
    </w:p>
    <w:p w14:paraId="4A7B01CC" w14:textId="77777777" w:rsidR="00FA708F" w:rsidRPr="00FA708F" w:rsidRDefault="00FA708F" w:rsidP="00160463">
      <w:pPr>
        <w:jc w:val="both"/>
        <w:rPr>
          <w:lang w:val="en-US"/>
        </w:rPr>
      </w:pPr>
    </w:p>
    <w:p w14:paraId="1CC3319B" w14:textId="77777777" w:rsidR="00FA708F" w:rsidRDefault="00FA708F" w:rsidP="00160463">
      <w:pPr>
        <w:jc w:val="both"/>
      </w:pPr>
    </w:p>
    <w:p w14:paraId="61C8FB3E" w14:textId="77FBE0BE" w:rsidR="00AC5D13" w:rsidRPr="00AC5D13" w:rsidRDefault="00AC5D13" w:rsidP="00AC5D13">
      <w:pPr>
        <w:rPr>
          <w:rFonts w:eastAsia="Times New Roman"/>
          <w:sz w:val="24"/>
          <w:szCs w:val="24"/>
          <w:lang w:val="en-DE" w:eastAsia="zh-CN"/>
        </w:rPr>
      </w:pPr>
      <w:r w:rsidRPr="00AC5D13">
        <w:rPr>
          <w:rFonts w:eastAsia="Times New Roman"/>
          <w:noProof/>
          <w:sz w:val="24"/>
          <w:szCs w:val="24"/>
          <w:lang w:val="en-DE" w:eastAsia="zh-CN"/>
        </w:rPr>
        <w:lastRenderedPageBreak/>
        <w:drawing>
          <wp:inline distT="0" distB="0" distL="0" distR="0" wp14:anchorId="04162D00" wp14:editId="3528C434">
            <wp:extent cx="5943600" cy="8330565"/>
            <wp:effectExtent l="0" t="0" r="0" b="0"/>
            <wp:docPr id="1651049764" name="Picture 10" descr="A black screen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49764" name="Picture 10" descr="A black screen with white circl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330565"/>
                    </a:xfrm>
                    <a:prstGeom prst="rect">
                      <a:avLst/>
                    </a:prstGeom>
                    <a:noFill/>
                    <a:ln>
                      <a:noFill/>
                    </a:ln>
                  </pic:spPr>
                </pic:pic>
              </a:graphicData>
            </a:graphic>
          </wp:inline>
        </w:drawing>
      </w:r>
    </w:p>
    <w:p w14:paraId="1EC3011A" w14:textId="4352C359" w:rsidR="00AC5D13" w:rsidRPr="00AC5D13" w:rsidRDefault="00AC5D13" w:rsidP="00AC5D13">
      <w:pPr>
        <w:rPr>
          <w:rFonts w:eastAsia="Times New Roman"/>
          <w:sz w:val="24"/>
          <w:szCs w:val="24"/>
          <w:lang w:val="en-DE" w:eastAsia="zh-CN"/>
        </w:rPr>
      </w:pPr>
    </w:p>
    <w:p w14:paraId="6FD624E3" w14:textId="32832A25" w:rsidR="00F430B3" w:rsidRPr="00F430B3" w:rsidRDefault="00F430B3" w:rsidP="00F430B3">
      <w:pPr>
        <w:rPr>
          <w:rFonts w:eastAsia="Times New Roman"/>
          <w:sz w:val="24"/>
          <w:szCs w:val="24"/>
          <w:lang w:val="en-DE" w:eastAsia="zh-CN"/>
        </w:rPr>
      </w:pPr>
    </w:p>
    <w:p w14:paraId="2C45D135" w14:textId="336871BE" w:rsidR="00F430B3" w:rsidRDefault="00F430B3" w:rsidP="00F430B3">
      <w:pPr>
        <w:pStyle w:val="Default"/>
        <w:jc w:val="center"/>
        <w:rPr>
          <w:color w:val="auto"/>
          <w:sz w:val="22"/>
          <w:szCs w:val="22"/>
        </w:rPr>
      </w:pPr>
      <w:r w:rsidRPr="00906814">
        <w:rPr>
          <w:rFonts w:hint="eastAsia"/>
          <w:color w:val="auto"/>
          <w:sz w:val="22"/>
          <w:szCs w:val="22"/>
        </w:rPr>
        <w:lastRenderedPageBreak/>
        <w:t>F</w:t>
      </w:r>
      <w:r w:rsidRPr="00906814">
        <w:rPr>
          <w:color w:val="auto"/>
          <w:sz w:val="22"/>
          <w:szCs w:val="22"/>
        </w:rPr>
        <w:t>igure AX-</w:t>
      </w:r>
      <w:r>
        <w:rPr>
          <w:color w:val="auto"/>
          <w:sz w:val="22"/>
          <w:szCs w:val="22"/>
        </w:rPr>
        <w:t>7 – Example of device ID exchange in  4-way Handshake and IRM exchange in PASN</w:t>
      </w:r>
    </w:p>
    <w:p w14:paraId="62DF5885" w14:textId="77777777" w:rsidR="00F430B3" w:rsidRPr="00F430B3" w:rsidRDefault="00F430B3" w:rsidP="00572680">
      <w:pPr>
        <w:rPr>
          <w:lang w:val="en-US"/>
        </w:rPr>
      </w:pPr>
    </w:p>
    <w:sectPr w:rsidR="00F430B3" w:rsidRPr="00F430B3" w:rsidSect="00240FF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0834" w14:textId="77777777" w:rsidR="00D1226E" w:rsidRDefault="00D1226E">
      <w:r>
        <w:separator/>
      </w:r>
    </w:p>
  </w:endnote>
  <w:endnote w:type="continuationSeparator" w:id="0">
    <w:p w14:paraId="30E8BCCF" w14:textId="77777777" w:rsidR="00D1226E" w:rsidRDefault="00D1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F73E" w14:textId="77777777" w:rsidR="00D1226E" w:rsidRDefault="00D1226E">
      <w:r>
        <w:separator/>
      </w:r>
    </w:p>
  </w:footnote>
  <w:footnote w:type="continuationSeparator" w:id="0">
    <w:p w14:paraId="12D4106B" w14:textId="77777777" w:rsidR="00D1226E" w:rsidRDefault="00D1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0AC2C251"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7A7FDF">
      <w:rPr>
        <w:color w:val="000000"/>
        <w:sz w:val="27"/>
        <w:szCs w:val="27"/>
      </w:rPr>
      <w:t>0898</w:t>
    </w:r>
    <w:r w:rsidR="009F10F8">
      <w:rPr>
        <w:color w:val="000000"/>
        <w:sz w:val="27"/>
        <w:szCs w:val="27"/>
      </w:rPr>
      <w:t>r</w:t>
    </w:r>
    <w:r w:rsidR="00246461">
      <w:rPr>
        <w:color w:val="000000"/>
        <w:sz w:val="27"/>
        <w:szCs w:val="27"/>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71A4974"/>
    <w:multiLevelType w:val="hybridMultilevel"/>
    <w:tmpl w:val="E1ECB2D4"/>
    <w:lvl w:ilvl="0" w:tplc="CCE04A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 w:numId="6" w16cid:durableId="1181355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37D5"/>
    <w:rsid w:val="000314EE"/>
    <w:rsid w:val="000340A9"/>
    <w:rsid w:val="0005727F"/>
    <w:rsid w:val="0006221B"/>
    <w:rsid w:val="000632CB"/>
    <w:rsid w:val="0007668D"/>
    <w:rsid w:val="000812B0"/>
    <w:rsid w:val="000823D5"/>
    <w:rsid w:val="00091646"/>
    <w:rsid w:val="000935B6"/>
    <w:rsid w:val="00094AE7"/>
    <w:rsid w:val="000C7720"/>
    <w:rsid w:val="000D30FF"/>
    <w:rsid w:val="000D4AF6"/>
    <w:rsid w:val="000E05ED"/>
    <w:rsid w:val="000E3B3B"/>
    <w:rsid w:val="000F127E"/>
    <w:rsid w:val="000F12E6"/>
    <w:rsid w:val="000F66D0"/>
    <w:rsid w:val="001014CB"/>
    <w:rsid w:val="00115076"/>
    <w:rsid w:val="001235CE"/>
    <w:rsid w:val="00133664"/>
    <w:rsid w:val="00133A20"/>
    <w:rsid w:val="00147A04"/>
    <w:rsid w:val="00153FAA"/>
    <w:rsid w:val="00160463"/>
    <w:rsid w:val="001676F0"/>
    <w:rsid w:val="00171B4E"/>
    <w:rsid w:val="00171F14"/>
    <w:rsid w:val="001904EF"/>
    <w:rsid w:val="001A0DF6"/>
    <w:rsid w:val="001B158D"/>
    <w:rsid w:val="001C385A"/>
    <w:rsid w:val="001C7683"/>
    <w:rsid w:val="001D0080"/>
    <w:rsid w:val="001D723B"/>
    <w:rsid w:val="001D7817"/>
    <w:rsid w:val="001F01C1"/>
    <w:rsid w:val="001F02EC"/>
    <w:rsid w:val="001F19C2"/>
    <w:rsid w:val="001F6869"/>
    <w:rsid w:val="00216EB3"/>
    <w:rsid w:val="00216FF0"/>
    <w:rsid w:val="00240FF2"/>
    <w:rsid w:val="00241044"/>
    <w:rsid w:val="00246461"/>
    <w:rsid w:val="00257D2C"/>
    <w:rsid w:val="00263667"/>
    <w:rsid w:val="00280BB2"/>
    <w:rsid w:val="00280F56"/>
    <w:rsid w:val="00285B17"/>
    <w:rsid w:val="0029020B"/>
    <w:rsid w:val="002C1638"/>
    <w:rsid w:val="002C7257"/>
    <w:rsid w:val="002D2A6D"/>
    <w:rsid w:val="002D410B"/>
    <w:rsid w:val="002D44BE"/>
    <w:rsid w:val="002E6F95"/>
    <w:rsid w:val="002F0294"/>
    <w:rsid w:val="00305585"/>
    <w:rsid w:val="00317843"/>
    <w:rsid w:val="00342989"/>
    <w:rsid w:val="00351488"/>
    <w:rsid w:val="00353FF8"/>
    <w:rsid w:val="003554BC"/>
    <w:rsid w:val="0037298F"/>
    <w:rsid w:val="003760BD"/>
    <w:rsid w:val="00395225"/>
    <w:rsid w:val="003A682C"/>
    <w:rsid w:val="003D6F1F"/>
    <w:rsid w:val="003E239D"/>
    <w:rsid w:val="003E334C"/>
    <w:rsid w:val="003F7900"/>
    <w:rsid w:val="00402B57"/>
    <w:rsid w:val="00404035"/>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35792"/>
    <w:rsid w:val="00540FD6"/>
    <w:rsid w:val="005472D8"/>
    <w:rsid w:val="00562C8A"/>
    <w:rsid w:val="00564274"/>
    <w:rsid w:val="00570847"/>
    <w:rsid w:val="00572680"/>
    <w:rsid w:val="00576B22"/>
    <w:rsid w:val="00593127"/>
    <w:rsid w:val="00597D11"/>
    <w:rsid w:val="005B64EF"/>
    <w:rsid w:val="005C310B"/>
    <w:rsid w:val="005C513D"/>
    <w:rsid w:val="005D51F0"/>
    <w:rsid w:val="005E5AE3"/>
    <w:rsid w:val="00611FF2"/>
    <w:rsid w:val="0062440B"/>
    <w:rsid w:val="00642416"/>
    <w:rsid w:val="00645614"/>
    <w:rsid w:val="00647236"/>
    <w:rsid w:val="006668C2"/>
    <w:rsid w:val="00680281"/>
    <w:rsid w:val="006C0727"/>
    <w:rsid w:val="006E145F"/>
    <w:rsid w:val="00705B4B"/>
    <w:rsid w:val="00714BDE"/>
    <w:rsid w:val="00745DFA"/>
    <w:rsid w:val="0074797A"/>
    <w:rsid w:val="007554E1"/>
    <w:rsid w:val="00770572"/>
    <w:rsid w:val="00773924"/>
    <w:rsid w:val="0079599B"/>
    <w:rsid w:val="007A20CB"/>
    <w:rsid w:val="007A7FDF"/>
    <w:rsid w:val="007B7C26"/>
    <w:rsid w:val="007C4309"/>
    <w:rsid w:val="00807824"/>
    <w:rsid w:val="00820226"/>
    <w:rsid w:val="00841C78"/>
    <w:rsid w:val="00857472"/>
    <w:rsid w:val="00857CC2"/>
    <w:rsid w:val="00864FE8"/>
    <w:rsid w:val="00870CFA"/>
    <w:rsid w:val="0088144D"/>
    <w:rsid w:val="0089764C"/>
    <w:rsid w:val="008A350F"/>
    <w:rsid w:val="008A6265"/>
    <w:rsid w:val="008A6528"/>
    <w:rsid w:val="008D4664"/>
    <w:rsid w:val="008E7B62"/>
    <w:rsid w:val="00906814"/>
    <w:rsid w:val="00923A3C"/>
    <w:rsid w:val="00943A81"/>
    <w:rsid w:val="00945C7C"/>
    <w:rsid w:val="00960BF1"/>
    <w:rsid w:val="00975448"/>
    <w:rsid w:val="009859E9"/>
    <w:rsid w:val="009864CE"/>
    <w:rsid w:val="009A174E"/>
    <w:rsid w:val="009B6B38"/>
    <w:rsid w:val="009C5E1E"/>
    <w:rsid w:val="009D542E"/>
    <w:rsid w:val="009D7322"/>
    <w:rsid w:val="009F10F8"/>
    <w:rsid w:val="009F2FBC"/>
    <w:rsid w:val="00A11639"/>
    <w:rsid w:val="00A14F74"/>
    <w:rsid w:val="00A35A05"/>
    <w:rsid w:val="00A4008F"/>
    <w:rsid w:val="00A438F6"/>
    <w:rsid w:val="00A47893"/>
    <w:rsid w:val="00A73526"/>
    <w:rsid w:val="00A83090"/>
    <w:rsid w:val="00A87FBB"/>
    <w:rsid w:val="00AA427C"/>
    <w:rsid w:val="00AB32DD"/>
    <w:rsid w:val="00AB3B56"/>
    <w:rsid w:val="00AC5D13"/>
    <w:rsid w:val="00B15756"/>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75E99"/>
    <w:rsid w:val="00C85084"/>
    <w:rsid w:val="00C86FCE"/>
    <w:rsid w:val="00C93C34"/>
    <w:rsid w:val="00C967A5"/>
    <w:rsid w:val="00CA09B2"/>
    <w:rsid w:val="00CA33D9"/>
    <w:rsid w:val="00CD0F95"/>
    <w:rsid w:val="00CE079D"/>
    <w:rsid w:val="00CE47F4"/>
    <w:rsid w:val="00CF0468"/>
    <w:rsid w:val="00CF6595"/>
    <w:rsid w:val="00D11FF1"/>
    <w:rsid w:val="00D1226E"/>
    <w:rsid w:val="00D20B40"/>
    <w:rsid w:val="00D30BAB"/>
    <w:rsid w:val="00D453AF"/>
    <w:rsid w:val="00D7229C"/>
    <w:rsid w:val="00D770BF"/>
    <w:rsid w:val="00D83675"/>
    <w:rsid w:val="00D9425C"/>
    <w:rsid w:val="00D964E3"/>
    <w:rsid w:val="00DA7882"/>
    <w:rsid w:val="00DB6F78"/>
    <w:rsid w:val="00DC33E1"/>
    <w:rsid w:val="00DC5A7B"/>
    <w:rsid w:val="00DD67A4"/>
    <w:rsid w:val="00DE6AC6"/>
    <w:rsid w:val="00E069FB"/>
    <w:rsid w:val="00E15A94"/>
    <w:rsid w:val="00E25F12"/>
    <w:rsid w:val="00E4778D"/>
    <w:rsid w:val="00E72764"/>
    <w:rsid w:val="00E755DE"/>
    <w:rsid w:val="00E80B99"/>
    <w:rsid w:val="00E96983"/>
    <w:rsid w:val="00EB04AC"/>
    <w:rsid w:val="00EB1C80"/>
    <w:rsid w:val="00ED738C"/>
    <w:rsid w:val="00EE27A1"/>
    <w:rsid w:val="00F03D81"/>
    <w:rsid w:val="00F1398E"/>
    <w:rsid w:val="00F20B52"/>
    <w:rsid w:val="00F248BD"/>
    <w:rsid w:val="00F3409C"/>
    <w:rsid w:val="00F34990"/>
    <w:rsid w:val="00F430B3"/>
    <w:rsid w:val="00F85C59"/>
    <w:rsid w:val="00F97A22"/>
    <w:rsid w:val="00FA1299"/>
    <w:rsid w:val="00FA3B57"/>
    <w:rsid w:val="00FA708F"/>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5987">
      <w:bodyDiv w:val="1"/>
      <w:marLeft w:val="0"/>
      <w:marRight w:val="0"/>
      <w:marTop w:val="0"/>
      <w:marBottom w:val="0"/>
      <w:divBdr>
        <w:top w:val="none" w:sz="0" w:space="0" w:color="auto"/>
        <w:left w:val="none" w:sz="0" w:space="0" w:color="auto"/>
        <w:bottom w:val="none" w:sz="0" w:space="0" w:color="auto"/>
        <w:right w:val="none" w:sz="0" w:space="0" w:color="auto"/>
      </w:divBdr>
      <w:divsChild>
        <w:div w:id="778253589">
          <w:marLeft w:val="0"/>
          <w:marRight w:val="0"/>
          <w:marTop w:val="0"/>
          <w:marBottom w:val="0"/>
          <w:divBdr>
            <w:top w:val="none" w:sz="0" w:space="0" w:color="auto"/>
            <w:left w:val="none" w:sz="0" w:space="0" w:color="auto"/>
            <w:bottom w:val="none" w:sz="0" w:space="0" w:color="auto"/>
            <w:right w:val="none" w:sz="0" w:space="0" w:color="auto"/>
          </w:divBdr>
        </w:div>
      </w:divsChild>
    </w:div>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381641226">
      <w:bodyDiv w:val="1"/>
      <w:marLeft w:val="0"/>
      <w:marRight w:val="0"/>
      <w:marTop w:val="0"/>
      <w:marBottom w:val="0"/>
      <w:divBdr>
        <w:top w:val="none" w:sz="0" w:space="0" w:color="auto"/>
        <w:left w:val="none" w:sz="0" w:space="0" w:color="auto"/>
        <w:bottom w:val="none" w:sz="0" w:space="0" w:color="auto"/>
        <w:right w:val="none" w:sz="0" w:space="0" w:color="auto"/>
      </w:divBdr>
      <w:divsChild>
        <w:div w:id="1688680112">
          <w:marLeft w:val="0"/>
          <w:marRight w:val="0"/>
          <w:marTop w:val="0"/>
          <w:marBottom w:val="0"/>
          <w:divBdr>
            <w:top w:val="none" w:sz="0" w:space="0" w:color="auto"/>
            <w:left w:val="none" w:sz="0" w:space="0" w:color="auto"/>
            <w:bottom w:val="none" w:sz="0" w:space="0" w:color="auto"/>
            <w:right w:val="none" w:sz="0" w:space="0" w:color="auto"/>
          </w:divBdr>
        </w:div>
      </w:divsChild>
    </w:div>
    <w:div w:id="475728813">
      <w:bodyDiv w:val="1"/>
      <w:marLeft w:val="0"/>
      <w:marRight w:val="0"/>
      <w:marTop w:val="0"/>
      <w:marBottom w:val="0"/>
      <w:divBdr>
        <w:top w:val="none" w:sz="0" w:space="0" w:color="auto"/>
        <w:left w:val="none" w:sz="0" w:space="0" w:color="auto"/>
        <w:bottom w:val="none" w:sz="0" w:space="0" w:color="auto"/>
        <w:right w:val="none" w:sz="0" w:space="0" w:color="auto"/>
      </w:divBdr>
      <w:divsChild>
        <w:div w:id="990602605">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40065175">
      <w:bodyDiv w:val="1"/>
      <w:marLeft w:val="0"/>
      <w:marRight w:val="0"/>
      <w:marTop w:val="0"/>
      <w:marBottom w:val="0"/>
      <w:divBdr>
        <w:top w:val="none" w:sz="0" w:space="0" w:color="auto"/>
        <w:left w:val="none" w:sz="0" w:space="0" w:color="auto"/>
        <w:bottom w:val="none" w:sz="0" w:space="0" w:color="auto"/>
        <w:right w:val="none" w:sz="0" w:space="0" w:color="auto"/>
      </w:divBdr>
      <w:divsChild>
        <w:div w:id="325405212">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6527855">
      <w:bodyDiv w:val="1"/>
      <w:marLeft w:val="0"/>
      <w:marRight w:val="0"/>
      <w:marTop w:val="0"/>
      <w:marBottom w:val="0"/>
      <w:divBdr>
        <w:top w:val="none" w:sz="0" w:space="0" w:color="auto"/>
        <w:left w:val="none" w:sz="0" w:space="0" w:color="auto"/>
        <w:bottom w:val="none" w:sz="0" w:space="0" w:color="auto"/>
        <w:right w:val="none" w:sz="0" w:space="0" w:color="auto"/>
      </w:divBdr>
      <w:divsChild>
        <w:div w:id="1375274253">
          <w:marLeft w:val="0"/>
          <w:marRight w:val="0"/>
          <w:marTop w:val="0"/>
          <w:marBottom w:val="0"/>
          <w:divBdr>
            <w:top w:val="none" w:sz="0" w:space="0" w:color="auto"/>
            <w:left w:val="none" w:sz="0" w:space="0" w:color="auto"/>
            <w:bottom w:val="none" w:sz="0" w:space="0" w:color="auto"/>
            <w:right w:val="none" w:sz="0" w:space="0" w:color="auto"/>
          </w:divBdr>
        </w:div>
      </w:divsChild>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222210239">
      <w:bodyDiv w:val="1"/>
      <w:marLeft w:val="0"/>
      <w:marRight w:val="0"/>
      <w:marTop w:val="0"/>
      <w:marBottom w:val="0"/>
      <w:divBdr>
        <w:top w:val="none" w:sz="0" w:space="0" w:color="auto"/>
        <w:left w:val="none" w:sz="0" w:space="0" w:color="auto"/>
        <w:bottom w:val="none" w:sz="0" w:space="0" w:color="auto"/>
        <w:right w:val="none" w:sz="0" w:space="0" w:color="auto"/>
      </w:divBdr>
      <w:divsChild>
        <w:div w:id="339817207">
          <w:marLeft w:val="0"/>
          <w:marRight w:val="0"/>
          <w:marTop w:val="0"/>
          <w:marBottom w:val="0"/>
          <w:divBdr>
            <w:top w:val="none" w:sz="0" w:space="0" w:color="auto"/>
            <w:left w:val="none" w:sz="0" w:space="0" w:color="auto"/>
            <w:bottom w:val="none" w:sz="0" w:space="0" w:color="auto"/>
            <w:right w:val="none" w:sz="0" w:space="0" w:color="auto"/>
          </w:divBdr>
        </w:div>
      </w:divsChild>
    </w:div>
    <w:div w:id="1227960029">
      <w:bodyDiv w:val="1"/>
      <w:marLeft w:val="0"/>
      <w:marRight w:val="0"/>
      <w:marTop w:val="0"/>
      <w:marBottom w:val="0"/>
      <w:divBdr>
        <w:top w:val="none" w:sz="0" w:space="0" w:color="auto"/>
        <w:left w:val="none" w:sz="0" w:space="0" w:color="auto"/>
        <w:bottom w:val="none" w:sz="0" w:space="0" w:color="auto"/>
        <w:right w:val="none" w:sz="0" w:space="0" w:color="auto"/>
      </w:divBdr>
      <w:divsChild>
        <w:div w:id="1406338464">
          <w:marLeft w:val="0"/>
          <w:marRight w:val="0"/>
          <w:marTop w:val="0"/>
          <w:marBottom w:val="0"/>
          <w:divBdr>
            <w:top w:val="none" w:sz="0" w:space="0" w:color="auto"/>
            <w:left w:val="none" w:sz="0" w:space="0" w:color="auto"/>
            <w:bottom w:val="none" w:sz="0" w:space="0" w:color="auto"/>
            <w:right w:val="none" w:sz="0" w:space="0" w:color="auto"/>
          </w:divBdr>
        </w:div>
      </w:divsChild>
    </w:div>
    <w:div w:id="1349991623">
      <w:bodyDiv w:val="1"/>
      <w:marLeft w:val="0"/>
      <w:marRight w:val="0"/>
      <w:marTop w:val="0"/>
      <w:marBottom w:val="0"/>
      <w:divBdr>
        <w:top w:val="none" w:sz="0" w:space="0" w:color="auto"/>
        <w:left w:val="none" w:sz="0" w:space="0" w:color="auto"/>
        <w:bottom w:val="none" w:sz="0" w:space="0" w:color="auto"/>
        <w:right w:val="none" w:sz="0" w:space="0" w:color="auto"/>
      </w:divBdr>
      <w:divsChild>
        <w:div w:id="63645817">
          <w:marLeft w:val="0"/>
          <w:marRight w:val="0"/>
          <w:marTop w:val="0"/>
          <w:marBottom w:val="0"/>
          <w:divBdr>
            <w:top w:val="none" w:sz="0" w:space="0" w:color="auto"/>
            <w:left w:val="none" w:sz="0" w:space="0" w:color="auto"/>
            <w:bottom w:val="none" w:sz="0" w:space="0" w:color="auto"/>
            <w:right w:val="none" w:sz="0" w:space="0" w:color="auto"/>
          </w:divBdr>
        </w:div>
      </w:divsChild>
    </w:div>
    <w:div w:id="1467043700">
      <w:bodyDiv w:val="1"/>
      <w:marLeft w:val="0"/>
      <w:marRight w:val="0"/>
      <w:marTop w:val="0"/>
      <w:marBottom w:val="0"/>
      <w:divBdr>
        <w:top w:val="none" w:sz="0" w:space="0" w:color="auto"/>
        <w:left w:val="none" w:sz="0" w:space="0" w:color="auto"/>
        <w:bottom w:val="none" w:sz="0" w:space="0" w:color="auto"/>
        <w:right w:val="none" w:sz="0" w:space="0" w:color="auto"/>
      </w:divBdr>
      <w:divsChild>
        <w:div w:id="46577929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638681052">
      <w:bodyDiv w:val="1"/>
      <w:marLeft w:val="0"/>
      <w:marRight w:val="0"/>
      <w:marTop w:val="0"/>
      <w:marBottom w:val="0"/>
      <w:divBdr>
        <w:top w:val="none" w:sz="0" w:space="0" w:color="auto"/>
        <w:left w:val="none" w:sz="0" w:space="0" w:color="auto"/>
        <w:bottom w:val="none" w:sz="0" w:space="0" w:color="auto"/>
        <w:right w:val="none" w:sz="0" w:space="0" w:color="auto"/>
      </w:divBdr>
      <w:divsChild>
        <w:div w:id="975647473">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1942103827">
      <w:bodyDiv w:val="1"/>
      <w:marLeft w:val="0"/>
      <w:marRight w:val="0"/>
      <w:marTop w:val="0"/>
      <w:marBottom w:val="0"/>
      <w:divBdr>
        <w:top w:val="none" w:sz="0" w:space="0" w:color="auto"/>
        <w:left w:val="none" w:sz="0" w:space="0" w:color="auto"/>
        <w:bottom w:val="none" w:sz="0" w:space="0" w:color="auto"/>
        <w:right w:val="none" w:sz="0" w:space="0" w:color="auto"/>
      </w:divBdr>
      <w:divsChild>
        <w:div w:id="1816677958">
          <w:marLeft w:val="0"/>
          <w:marRight w:val="0"/>
          <w:marTop w:val="0"/>
          <w:marBottom w:val="0"/>
          <w:divBdr>
            <w:top w:val="none" w:sz="0" w:space="0" w:color="auto"/>
            <w:left w:val="none" w:sz="0" w:space="0" w:color="auto"/>
            <w:bottom w:val="none" w:sz="0" w:space="0" w:color="auto"/>
            <w:right w:val="none" w:sz="0" w:space="0" w:color="auto"/>
          </w:divBdr>
        </w:div>
      </w:divsChild>
    </w:div>
    <w:div w:id="1971007525">
      <w:bodyDiv w:val="1"/>
      <w:marLeft w:val="0"/>
      <w:marRight w:val="0"/>
      <w:marTop w:val="0"/>
      <w:marBottom w:val="0"/>
      <w:divBdr>
        <w:top w:val="none" w:sz="0" w:space="0" w:color="auto"/>
        <w:left w:val="none" w:sz="0" w:space="0" w:color="auto"/>
        <w:bottom w:val="none" w:sz="0" w:space="0" w:color="auto"/>
        <w:right w:val="none" w:sz="0" w:space="0" w:color="auto"/>
      </w:divBdr>
      <w:divsChild>
        <w:div w:id="1955403070">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112</TotalTime>
  <Pages>15</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802.11-24/0898r1</vt:lpstr>
    </vt:vector>
  </TitlesOfParts>
  <Company>Some Company</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802.11-24/0898r2</dc:title>
  <dc:subject>DRAFT Liaison</dc:subject>
  <dc:creator>okan.mutgan@nokia-sbell.com</dc:creator>
  <cp:keywords>May 2024</cp:keywords>
  <dc:description>Okan Mutgan, Nokia</dc:description>
  <cp:lastModifiedBy>Okan Mutgan (Nokia)</cp:lastModifiedBy>
  <cp:revision>9</cp:revision>
  <cp:lastPrinted>1900-01-01T10:00:00Z</cp:lastPrinted>
  <dcterms:created xsi:type="dcterms:W3CDTF">2024-05-14T12:18:00Z</dcterms:created>
  <dcterms:modified xsi:type="dcterms:W3CDTF">2024-06-19T13:09:00Z</dcterms:modified>
</cp:coreProperties>
</file>