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BE13B5" w:rsidRDefault="00CA09B2" w:rsidP="001E0AC0">
      <w:pPr>
        <w:pStyle w:val="T1"/>
        <w:pBdr>
          <w:bottom w:val="single" w:sz="6" w:space="31" w:color="auto"/>
        </w:pBdr>
        <w:spacing w:after="240"/>
        <w:rPr>
          <w:szCs w:val="28"/>
        </w:rPr>
      </w:pPr>
      <w:r w:rsidRPr="00BE13B5">
        <w:rPr>
          <w:szCs w:val="28"/>
        </w:rPr>
        <w:t>IEEE P802.11</w:t>
      </w:r>
      <w:r w:rsidRPr="00BE13B5">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57"/>
        <w:gridCol w:w="2340"/>
        <w:gridCol w:w="1800"/>
        <w:gridCol w:w="1661"/>
      </w:tblGrid>
      <w:tr w:rsidR="00CA09B2" w:rsidRPr="00EC3A70" w14:paraId="0571FED7" w14:textId="77777777" w:rsidTr="00C957FC">
        <w:trPr>
          <w:trHeight w:val="485"/>
          <w:jc w:val="center"/>
        </w:trPr>
        <w:tc>
          <w:tcPr>
            <w:tcW w:w="9576" w:type="dxa"/>
            <w:gridSpan w:val="5"/>
            <w:vAlign w:val="center"/>
          </w:tcPr>
          <w:p w14:paraId="3DFA7B84" w14:textId="30412537" w:rsidR="00CA09B2" w:rsidRDefault="00BE13B5" w:rsidP="00BE13B5">
            <w:pPr>
              <w:pStyle w:val="T2"/>
              <w:rPr>
                <w:szCs w:val="28"/>
              </w:rPr>
            </w:pPr>
            <w:r w:rsidRPr="00BE13B5">
              <w:rPr>
                <w:szCs w:val="28"/>
              </w:rPr>
              <w:t xml:space="preserve">REVme CIDs </w:t>
            </w:r>
            <w:r w:rsidR="006525AA">
              <w:rPr>
                <w:szCs w:val="28"/>
              </w:rPr>
              <w:t xml:space="preserve">assigned to </w:t>
            </w:r>
            <w:proofErr w:type="gramStart"/>
            <w:r w:rsidR="006525AA">
              <w:rPr>
                <w:szCs w:val="28"/>
              </w:rPr>
              <w:t>Hamilton</w:t>
            </w:r>
            <w:proofErr w:type="gramEnd"/>
          </w:p>
          <w:p w14:paraId="76932150" w14:textId="33EA3E9A" w:rsidR="006525AA" w:rsidRPr="00BE13B5" w:rsidRDefault="006525AA" w:rsidP="00BE13B5">
            <w:pPr>
              <w:pStyle w:val="T2"/>
              <w:rPr>
                <w:szCs w:val="28"/>
              </w:rPr>
            </w:pPr>
          </w:p>
        </w:tc>
      </w:tr>
      <w:tr w:rsidR="00CA09B2" w:rsidRPr="00EC3A70" w14:paraId="15997B99" w14:textId="77777777" w:rsidTr="00C957FC">
        <w:trPr>
          <w:trHeight w:val="359"/>
          <w:jc w:val="center"/>
        </w:trPr>
        <w:tc>
          <w:tcPr>
            <w:tcW w:w="9576" w:type="dxa"/>
            <w:gridSpan w:val="5"/>
            <w:vAlign w:val="center"/>
          </w:tcPr>
          <w:p w14:paraId="014A2C7E" w14:textId="2CD43144" w:rsidR="00CA09B2" w:rsidRPr="00EC3A70" w:rsidRDefault="00CA09B2" w:rsidP="00BE13B5">
            <w:pPr>
              <w:pStyle w:val="T2"/>
              <w:ind w:left="0"/>
              <w:rPr>
                <w:sz w:val="20"/>
                <w:szCs w:val="20"/>
              </w:rPr>
            </w:pPr>
            <w:r w:rsidRPr="00EC3A70">
              <w:rPr>
                <w:sz w:val="20"/>
                <w:szCs w:val="20"/>
              </w:rPr>
              <w:t>Date:</w:t>
            </w:r>
            <w:r w:rsidR="00193D21" w:rsidRPr="00EC3A70">
              <w:rPr>
                <w:b w:val="0"/>
                <w:sz w:val="20"/>
                <w:szCs w:val="20"/>
              </w:rPr>
              <w:t xml:space="preserve"> </w:t>
            </w:r>
            <w:r w:rsidR="00BE13B5">
              <w:rPr>
                <w:b w:val="0"/>
                <w:sz w:val="20"/>
                <w:szCs w:val="20"/>
              </w:rPr>
              <w:t>202</w:t>
            </w:r>
            <w:r w:rsidR="008E3FB1">
              <w:rPr>
                <w:b w:val="0"/>
                <w:sz w:val="20"/>
                <w:szCs w:val="20"/>
              </w:rPr>
              <w:t>4</w:t>
            </w:r>
            <w:r w:rsidR="00BE13B5">
              <w:rPr>
                <w:b w:val="0"/>
                <w:sz w:val="20"/>
                <w:szCs w:val="20"/>
              </w:rPr>
              <w:t>-</w:t>
            </w:r>
            <w:r w:rsidR="00140F56">
              <w:rPr>
                <w:b w:val="0"/>
                <w:sz w:val="20"/>
                <w:szCs w:val="20"/>
              </w:rPr>
              <w:t>0</w:t>
            </w:r>
            <w:r w:rsidR="00243AB2">
              <w:rPr>
                <w:b w:val="0"/>
                <w:sz w:val="20"/>
                <w:szCs w:val="20"/>
              </w:rPr>
              <w:t>5-13</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BE13B5">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957"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340"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800"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1661" w:type="dxa"/>
            <w:vAlign w:val="center"/>
          </w:tcPr>
          <w:p w14:paraId="0CAA5356" w14:textId="47893F36" w:rsidR="00CA09B2" w:rsidRPr="00EC3A70" w:rsidRDefault="00BE13B5">
            <w:pPr>
              <w:pStyle w:val="T2"/>
              <w:spacing w:after="0"/>
              <w:ind w:left="0" w:right="0"/>
              <w:jc w:val="left"/>
              <w:rPr>
                <w:sz w:val="20"/>
                <w:szCs w:val="20"/>
              </w:rPr>
            </w:pPr>
            <w:r w:rsidRPr="00EC3A70">
              <w:rPr>
                <w:sz w:val="20"/>
                <w:szCs w:val="20"/>
              </w:rPr>
              <w:t>E</w:t>
            </w:r>
            <w:r w:rsidR="00CA09B2" w:rsidRPr="00EC3A70">
              <w:rPr>
                <w:sz w:val="20"/>
                <w:szCs w:val="20"/>
              </w:rPr>
              <w:t>mail</w:t>
            </w:r>
          </w:p>
        </w:tc>
      </w:tr>
      <w:tr w:rsidR="00813B60" w:rsidRPr="00EC3A70" w14:paraId="18C8F59E" w14:textId="77777777" w:rsidTr="00BE13B5">
        <w:trPr>
          <w:jc w:val="center"/>
        </w:trPr>
        <w:tc>
          <w:tcPr>
            <w:tcW w:w="1818" w:type="dxa"/>
            <w:vAlign w:val="center"/>
          </w:tcPr>
          <w:p w14:paraId="59F09116" w14:textId="6E20E2CD" w:rsidR="00813B60" w:rsidRPr="00EC3A70" w:rsidRDefault="00BE13B5">
            <w:pPr>
              <w:pStyle w:val="T2"/>
              <w:spacing w:after="0"/>
              <w:ind w:left="0" w:right="0"/>
              <w:rPr>
                <w:b w:val="0"/>
                <w:sz w:val="20"/>
                <w:szCs w:val="20"/>
              </w:rPr>
            </w:pPr>
            <w:r>
              <w:rPr>
                <w:b w:val="0"/>
                <w:sz w:val="20"/>
                <w:szCs w:val="20"/>
              </w:rPr>
              <w:t>Mark Hamilton</w:t>
            </w:r>
          </w:p>
        </w:tc>
        <w:tc>
          <w:tcPr>
            <w:tcW w:w="1957" w:type="dxa"/>
            <w:vAlign w:val="center"/>
          </w:tcPr>
          <w:p w14:paraId="7CFADDC4" w14:textId="46DC4BDD" w:rsidR="00813B60" w:rsidRPr="00EC3A70" w:rsidRDefault="00BE13B5">
            <w:pPr>
              <w:pStyle w:val="T2"/>
              <w:spacing w:after="0"/>
              <w:ind w:left="0" w:right="0"/>
              <w:rPr>
                <w:b w:val="0"/>
                <w:sz w:val="20"/>
                <w:szCs w:val="20"/>
              </w:rPr>
            </w:pPr>
            <w:r>
              <w:rPr>
                <w:b w:val="0"/>
                <w:sz w:val="20"/>
                <w:szCs w:val="20"/>
              </w:rPr>
              <w:t>Ruckus/CommScope</w:t>
            </w:r>
          </w:p>
        </w:tc>
        <w:tc>
          <w:tcPr>
            <w:tcW w:w="2340" w:type="dxa"/>
            <w:vAlign w:val="center"/>
          </w:tcPr>
          <w:p w14:paraId="0BC592E0" w14:textId="77777777" w:rsidR="00813B60" w:rsidRDefault="00BE13B5">
            <w:pPr>
              <w:pStyle w:val="T2"/>
              <w:spacing w:after="0"/>
              <w:ind w:left="0" w:right="0"/>
              <w:rPr>
                <w:b w:val="0"/>
                <w:sz w:val="20"/>
                <w:szCs w:val="20"/>
              </w:rPr>
            </w:pPr>
            <w:r>
              <w:rPr>
                <w:b w:val="0"/>
                <w:sz w:val="20"/>
                <w:szCs w:val="20"/>
              </w:rPr>
              <w:t>350 W Java Dr</w:t>
            </w:r>
          </w:p>
          <w:p w14:paraId="3F1AB42B" w14:textId="326A362F" w:rsidR="00BE13B5" w:rsidRPr="00EC3A70" w:rsidRDefault="00BE13B5">
            <w:pPr>
              <w:pStyle w:val="T2"/>
              <w:spacing w:after="0"/>
              <w:ind w:left="0" w:right="0"/>
              <w:rPr>
                <w:b w:val="0"/>
                <w:sz w:val="20"/>
                <w:szCs w:val="20"/>
              </w:rPr>
            </w:pPr>
            <w:r>
              <w:rPr>
                <w:b w:val="0"/>
                <w:sz w:val="20"/>
                <w:szCs w:val="20"/>
              </w:rPr>
              <w:t>Sunnyvale, CA, 94089</w:t>
            </w:r>
          </w:p>
        </w:tc>
        <w:tc>
          <w:tcPr>
            <w:tcW w:w="1800" w:type="dxa"/>
            <w:vAlign w:val="center"/>
          </w:tcPr>
          <w:p w14:paraId="7E7EBB25" w14:textId="0712270C" w:rsidR="00813B60" w:rsidRPr="00EC3A70" w:rsidRDefault="00D32A1F">
            <w:pPr>
              <w:pStyle w:val="T2"/>
              <w:spacing w:after="0"/>
              <w:ind w:left="0" w:right="0"/>
              <w:rPr>
                <w:b w:val="0"/>
                <w:sz w:val="20"/>
                <w:szCs w:val="20"/>
              </w:rPr>
            </w:pPr>
            <w:r w:rsidRPr="00EC3A70">
              <w:rPr>
                <w:b w:val="0"/>
                <w:sz w:val="20"/>
                <w:szCs w:val="20"/>
              </w:rPr>
              <w:t xml:space="preserve">+1 </w:t>
            </w:r>
            <w:r w:rsidR="00BE13B5">
              <w:rPr>
                <w:b w:val="0"/>
                <w:sz w:val="20"/>
                <w:szCs w:val="20"/>
              </w:rPr>
              <w:t>303 818 8472</w:t>
            </w:r>
          </w:p>
        </w:tc>
        <w:tc>
          <w:tcPr>
            <w:tcW w:w="1661" w:type="dxa"/>
            <w:vAlign w:val="center"/>
          </w:tcPr>
          <w:p w14:paraId="5EDE7F5D" w14:textId="2C6EAFEB" w:rsidR="00813B60" w:rsidRPr="00EC3A70" w:rsidRDefault="00000000">
            <w:pPr>
              <w:pStyle w:val="T2"/>
              <w:spacing w:after="0"/>
              <w:ind w:left="0" w:right="0"/>
              <w:rPr>
                <w:b w:val="0"/>
                <w:sz w:val="20"/>
                <w:szCs w:val="20"/>
              </w:rPr>
            </w:pPr>
            <w:hyperlink r:id="rId8" w:history="1">
              <w:r w:rsidR="00BE13B5" w:rsidRPr="005E6227">
                <w:rPr>
                  <w:rStyle w:val="Hyperlink"/>
                  <w:b w:val="0"/>
                  <w:sz w:val="20"/>
                  <w:szCs w:val="20"/>
                </w:rPr>
                <w:t>Mark.hamilton@commscope.com</w:t>
              </w:r>
            </w:hyperlink>
            <w:r w:rsidR="00BE13B5">
              <w:rPr>
                <w:b w:val="0"/>
                <w:sz w:val="20"/>
                <w:szCs w:val="20"/>
              </w:rPr>
              <w:t xml:space="preserve"> </w:t>
            </w:r>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72AE53FD" w:rsidR="00F86050" w:rsidRPr="00522CB9" w:rsidRDefault="007D7F7D" w:rsidP="00A72F6F">
      <w:pPr>
        <w:shd w:val="clear" w:color="auto" w:fill="FFFFFF"/>
      </w:pPr>
      <w:r w:rsidRPr="00522CB9">
        <w:t xml:space="preserve">This document </w:t>
      </w:r>
      <w:r w:rsidR="00F86050" w:rsidRPr="00522CB9">
        <w:t>contains discussion</w:t>
      </w:r>
      <w:r w:rsidRPr="00522CB9">
        <w:t xml:space="preserve"> and proposed resolutions for the following </w:t>
      </w:r>
      <w:r w:rsidR="00F86050" w:rsidRPr="00522CB9">
        <w:t xml:space="preserve">comments from </w:t>
      </w:r>
      <w:proofErr w:type="spellStart"/>
      <w:r w:rsidR="00F86050" w:rsidRPr="00522CB9">
        <w:t>TGme</w:t>
      </w:r>
      <w:proofErr w:type="spellEnd"/>
      <w:r w:rsidR="00F86050" w:rsidRPr="00522CB9">
        <w:t xml:space="preserve"> </w:t>
      </w:r>
      <w:r w:rsidR="008E3FB1">
        <w:t>2</w:t>
      </w:r>
      <w:r w:rsidR="008E3FB1" w:rsidRPr="008E3FB1">
        <w:rPr>
          <w:vertAlign w:val="superscript"/>
        </w:rPr>
        <w:t>nd</w:t>
      </w:r>
      <w:r w:rsidR="008E3FB1">
        <w:t xml:space="preserve"> SA ballot, </w:t>
      </w:r>
      <w:r w:rsidR="00F86050" w:rsidRPr="00522CB9">
        <w:t>on IEEE P802.11-REVme/D</w:t>
      </w:r>
      <w:r w:rsidR="008E3FB1">
        <w:t>5</w:t>
      </w:r>
      <w:r w:rsidR="00F86050" w:rsidRPr="00522CB9">
        <w:t>.0</w:t>
      </w:r>
      <w:r w:rsidRPr="00522CB9">
        <w:t>:</w:t>
      </w:r>
    </w:p>
    <w:p w14:paraId="69BEF270" w14:textId="77777777" w:rsidR="00F86050" w:rsidRPr="00522CB9" w:rsidRDefault="00F86050" w:rsidP="00A72F6F">
      <w:pPr>
        <w:shd w:val="clear" w:color="auto" w:fill="FFFFFF"/>
      </w:pPr>
    </w:p>
    <w:p w14:paraId="2B1E5238" w14:textId="52FF0B49" w:rsidR="001C2748" w:rsidRDefault="006525AA" w:rsidP="00F86050">
      <w:pPr>
        <w:shd w:val="clear" w:color="auto" w:fill="FFFFFF"/>
        <w:rPr>
          <w:szCs w:val="28"/>
        </w:rPr>
      </w:pPr>
      <w:r>
        <w:rPr>
          <w:szCs w:val="28"/>
        </w:rPr>
        <w:t>7188, 7105, 7106, 7108, 7113, 7114, 7107, 7115, 7103, 7116</w:t>
      </w:r>
      <w:r w:rsidR="00216EE6">
        <w:rPr>
          <w:szCs w:val="28"/>
        </w:rPr>
        <w:t>, 7187</w:t>
      </w:r>
      <w:r w:rsidR="00D95BA6">
        <w:rPr>
          <w:szCs w:val="28"/>
        </w:rPr>
        <w:t>, 7067 (partial)</w:t>
      </w:r>
    </w:p>
    <w:p w14:paraId="775121C0" w14:textId="77777777" w:rsidR="006525AA" w:rsidRPr="00522CB9" w:rsidRDefault="006525AA" w:rsidP="00F86050">
      <w:pPr>
        <w:shd w:val="clear" w:color="auto" w:fill="FFFFFF"/>
      </w:pPr>
    </w:p>
    <w:p w14:paraId="0E2B13A5" w14:textId="5EB78774" w:rsidR="00522CB9" w:rsidRPr="00522CB9" w:rsidRDefault="00522CB9" w:rsidP="00F86050">
      <w:pPr>
        <w:shd w:val="clear" w:color="auto" w:fill="FFFFFF"/>
      </w:pPr>
      <w:r w:rsidRPr="00522CB9">
        <w:t>A</w:t>
      </w:r>
      <w:r w:rsidR="00755349">
        <w:t>ll</w:t>
      </w:r>
      <w:r w:rsidRPr="00522CB9">
        <w:t xml:space="preserve"> references are to D</w:t>
      </w:r>
      <w:r w:rsidR="006525AA">
        <w:t>5</w:t>
      </w:r>
      <w:r w:rsidRPr="00522CB9">
        <w:t>.0 numbering.</w:t>
      </w:r>
    </w:p>
    <w:p w14:paraId="3DA49BDE" w14:textId="77777777" w:rsidR="00522CB9" w:rsidRPr="00522CB9" w:rsidRDefault="00522CB9" w:rsidP="00F86050">
      <w:pPr>
        <w:shd w:val="clear" w:color="auto" w:fill="FFFFFF"/>
      </w:pPr>
    </w:p>
    <w:p w14:paraId="378E24A6" w14:textId="433050D5" w:rsidR="00F86050" w:rsidRPr="00522CB9" w:rsidRDefault="00F86050"/>
    <w:p w14:paraId="489AAFC3" w14:textId="111A73ED" w:rsidR="003C51E9" w:rsidRDefault="003C51E9" w:rsidP="00A37A33">
      <w:pPr>
        <w:shd w:val="clear" w:color="auto" w:fill="FFFFFF"/>
        <w:rPr>
          <w:b/>
          <w:bCs/>
          <w:color w:val="222222"/>
        </w:rPr>
      </w:pPr>
      <w:r>
        <w:rPr>
          <w:b/>
          <w:bCs/>
          <w:color w:val="222222"/>
        </w:rPr>
        <w:t>Revision Notes</w:t>
      </w:r>
    </w:p>
    <w:p w14:paraId="3EDE0E62" w14:textId="67DAA3C9" w:rsidR="003C51E9" w:rsidRDefault="003C51E9" w:rsidP="00A37A33">
      <w:pPr>
        <w:shd w:val="clear" w:color="auto" w:fill="FFFFFF"/>
        <w:rPr>
          <w:b/>
          <w:bCs/>
          <w:color w:val="222222"/>
        </w:rPr>
      </w:pPr>
    </w:p>
    <w:p w14:paraId="49CA3C39" w14:textId="42292C59" w:rsidR="003C51E9" w:rsidRDefault="003C51E9" w:rsidP="00A37A33">
      <w:pPr>
        <w:shd w:val="clear" w:color="auto" w:fill="FFFFFF"/>
        <w:rPr>
          <w:color w:val="222222"/>
        </w:rPr>
      </w:pPr>
      <w:r w:rsidRPr="00522CB9">
        <w:rPr>
          <w:color w:val="222222"/>
        </w:rPr>
        <w:t>R0 – initial version</w:t>
      </w:r>
      <w:r w:rsidR="005A784B">
        <w:rPr>
          <w:color w:val="222222"/>
        </w:rPr>
        <w:t xml:space="preserve">, with proposed resolutions for CIDs 7188, </w:t>
      </w:r>
      <w:r w:rsidR="00B070C6">
        <w:rPr>
          <w:color w:val="222222"/>
        </w:rPr>
        <w:t>7113 (and 7202?), 7114 and 7107.</w:t>
      </w:r>
    </w:p>
    <w:p w14:paraId="116EE373" w14:textId="4DCC57EA" w:rsidR="00140F56" w:rsidRDefault="00140F56" w:rsidP="00A37A33">
      <w:pPr>
        <w:shd w:val="clear" w:color="auto" w:fill="FFFFFF"/>
        <w:rPr>
          <w:color w:val="222222"/>
        </w:rPr>
      </w:pPr>
      <w:r>
        <w:rPr>
          <w:color w:val="222222"/>
        </w:rPr>
        <w:t xml:space="preserve">R1 – </w:t>
      </w:r>
      <w:r w:rsidR="00216EE6">
        <w:rPr>
          <w:color w:val="222222"/>
        </w:rPr>
        <w:t>Added CID 7187, with same resolution as CID 7188</w:t>
      </w:r>
    </w:p>
    <w:p w14:paraId="67FAEF40" w14:textId="16C511BD" w:rsidR="004920C5" w:rsidRDefault="004920C5" w:rsidP="00A37A33">
      <w:pPr>
        <w:shd w:val="clear" w:color="auto" w:fill="FFFFFF"/>
        <w:rPr>
          <w:color w:val="222222"/>
        </w:rPr>
      </w:pPr>
      <w:r>
        <w:rPr>
          <w:color w:val="222222"/>
        </w:rPr>
        <w:t>R2 – Reviewed CIDs that were ready, at San Diego CRC F2F</w:t>
      </w:r>
    </w:p>
    <w:p w14:paraId="27CCDBE1" w14:textId="161E38A9" w:rsidR="00590F5A" w:rsidRDefault="00590F5A" w:rsidP="00A37A33">
      <w:pPr>
        <w:shd w:val="clear" w:color="auto" w:fill="FFFFFF"/>
        <w:rPr>
          <w:color w:val="222222"/>
        </w:rPr>
      </w:pPr>
      <w:r>
        <w:rPr>
          <w:color w:val="222222"/>
        </w:rPr>
        <w:t>R3 – Added CID 7067 (partially, only one 11az aspect).  Moved some CIDs to “Completed”: 7188, 7187, 7113, 7114, 7107</w:t>
      </w:r>
      <w:r w:rsidR="00687D0F">
        <w:rPr>
          <w:color w:val="222222"/>
        </w:rPr>
        <w:t xml:space="preserve">, </w:t>
      </w:r>
      <w:proofErr w:type="gramStart"/>
      <w:r w:rsidR="00687D0F">
        <w:rPr>
          <w:color w:val="222222"/>
        </w:rPr>
        <w:t>7106</w:t>
      </w:r>
      <w:proofErr w:type="gramEnd"/>
    </w:p>
    <w:p w14:paraId="1F6EFD02" w14:textId="77777777" w:rsidR="004920C5" w:rsidRPr="00522CB9" w:rsidRDefault="004920C5" w:rsidP="00A37A33">
      <w:pPr>
        <w:shd w:val="clear" w:color="auto" w:fill="FFFFFF"/>
        <w:rPr>
          <w:color w:val="222222"/>
        </w:rPr>
      </w:pPr>
    </w:p>
    <w:p w14:paraId="0DF21771" w14:textId="77777777" w:rsidR="0080746B" w:rsidRDefault="0080746B" w:rsidP="00A37A33">
      <w:pPr>
        <w:shd w:val="clear" w:color="auto" w:fill="FFFFFF"/>
        <w:rPr>
          <w:color w:val="222222"/>
          <w:sz w:val="20"/>
          <w:szCs w:val="20"/>
        </w:rPr>
      </w:pPr>
    </w:p>
    <w:p w14:paraId="4C59ED14" w14:textId="2F99DDD6" w:rsidR="00755349" w:rsidRDefault="00755349">
      <w:pPr>
        <w:rPr>
          <w:i/>
          <w:iCs/>
          <w:color w:val="222222"/>
          <w:sz w:val="20"/>
          <w:szCs w:val="20"/>
        </w:rPr>
      </w:pPr>
      <w:r>
        <w:rPr>
          <w:i/>
          <w:iCs/>
          <w:color w:val="222222"/>
          <w:sz w:val="20"/>
          <w:szCs w:val="20"/>
        </w:rPr>
        <w:br w:type="page"/>
      </w:r>
    </w:p>
    <w:p w14:paraId="3C1A8F75" w14:textId="6D59DA1E" w:rsidR="00FC6B31" w:rsidRDefault="00FC6B31">
      <w:pPr>
        <w:rPr>
          <w:b/>
          <w:bCs/>
          <w:sz w:val="32"/>
          <w:szCs w:val="32"/>
        </w:rPr>
      </w:pPr>
      <w:r w:rsidRPr="00FC6B31">
        <w:rPr>
          <w:b/>
          <w:bCs/>
          <w:sz w:val="32"/>
          <w:szCs w:val="32"/>
        </w:rPr>
        <w:lastRenderedPageBreak/>
        <w:t>Ready for Review:</w:t>
      </w:r>
    </w:p>
    <w:p w14:paraId="36E6A6C5" w14:textId="77777777" w:rsidR="00FC6B31" w:rsidRDefault="00FC6B31"/>
    <w:p w14:paraId="57FBCE29" w14:textId="6EE001F1" w:rsidR="00FC6B31" w:rsidRPr="00FC6B31" w:rsidRDefault="00FC6B31">
      <w:pPr>
        <w:rPr>
          <w:b/>
          <w:bCs/>
        </w:rPr>
      </w:pPr>
      <w:r w:rsidRPr="00FC6B31">
        <w:rPr>
          <w:b/>
          <w:bCs/>
        </w:rPr>
        <w:t>CID 7</w:t>
      </w:r>
      <w:r>
        <w:rPr>
          <w:b/>
          <w:bCs/>
        </w:rPr>
        <w:t>108</w:t>
      </w:r>
      <w:r w:rsidRPr="00FC6B31">
        <w:rPr>
          <w:b/>
          <w:bCs/>
        </w:rPr>
        <w:t>:</w:t>
      </w:r>
    </w:p>
    <w:p w14:paraId="5598DE0F" w14:textId="77777777" w:rsidR="00FC6B31" w:rsidRDefault="00FC6B31"/>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FC6B31" w:rsidRPr="00B173D7" w14:paraId="2ABCA65F" w14:textId="77777777" w:rsidTr="0010047B">
        <w:trPr>
          <w:trHeight w:val="373"/>
          <w:jc w:val="center"/>
        </w:trPr>
        <w:tc>
          <w:tcPr>
            <w:tcW w:w="805" w:type="dxa"/>
          </w:tcPr>
          <w:p w14:paraId="15C128B0" w14:textId="77777777" w:rsidR="00FC6B31" w:rsidRPr="00B173D7" w:rsidRDefault="00FC6B31"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2E42AC80" w14:textId="77777777" w:rsidR="00FC6B31" w:rsidRPr="00B173D7" w:rsidRDefault="00FC6B31"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4EE065B1" w14:textId="77777777" w:rsidR="00FC6B31" w:rsidRPr="00B173D7" w:rsidRDefault="00FC6B31"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11AA242D" w14:textId="77777777" w:rsidR="00FC6B31" w:rsidRPr="00B173D7" w:rsidRDefault="00FC6B31"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473A82E7" w14:textId="77777777" w:rsidR="00FC6B31" w:rsidRPr="00B173D7" w:rsidRDefault="00FC6B31"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FC6B31" w:rsidRPr="00FF04B3" w14:paraId="61B53E86" w14:textId="77777777" w:rsidTr="0010047B">
        <w:trPr>
          <w:trHeight w:val="1002"/>
          <w:jc w:val="center"/>
        </w:trPr>
        <w:tc>
          <w:tcPr>
            <w:tcW w:w="805" w:type="dxa"/>
          </w:tcPr>
          <w:p w14:paraId="2030B9C1" w14:textId="3D0A7012" w:rsidR="00FC6B31" w:rsidRDefault="00FC6B31" w:rsidP="00FC6B31">
            <w:pPr>
              <w:rPr>
                <w:bCs/>
                <w:color w:val="000000" w:themeColor="text1"/>
              </w:rPr>
            </w:pPr>
            <w:r>
              <w:rPr>
                <w:bCs/>
                <w:color w:val="000000" w:themeColor="text1"/>
              </w:rPr>
              <w:t>7108</w:t>
            </w:r>
          </w:p>
        </w:tc>
        <w:tc>
          <w:tcPr>
            <w:tcW w:w="1080" w:type="dxa"/>
            <w:shd w:val="clear" w:color="auto" w:fill="FFFFFF"/>
          </w:tcPr>
          <w:p w14:paraId="0852E1EE" w14:textId="4C8F72B1" w:rsidR="00FC6B31" w:rsidRPr="00FF04B3" w:rsidRDefault="00FC6B31" w:rsidP="00FC6B31">
            <w:pPr>
              <w:rPr>
                <w:bCs/>
                <w:color w:val="000000" w:themeColor="text1"/>
              </w:rPr>
            </w:pPr>
            <w:r>
              <w:rPr>
                <w:rFonts w:ascii="Arial" w:hAnsi="Arial" w:cs="Arial"/>
                <w:color w:val="000000"/>
                <w:sz w:val="20"/>
                <w:szCs w:val="20"/>
              </w:rPr>
              <w:t>9.4.2.35</w:t>
            </w:r>
          </w:p>
        </w:tc>
        <w:tc>
          <w:tcPr>
            <w:tcW w:w="990" w:type="dxa"/>
            <w:shd w:val="clear" w:color="auto" w:fill="FFFFFF"/>
          </w:tcPr>
          <w:p w14:paraId="6EB21F81" w14:textId="362FE138" w:rsidR="00FC6B31" w:rsidRPr="00FF04B3" w:rsidRDefault="00FC6B31" w:rsidP="00FC6B31">
            <w:pPr>
              <w:rPr>
                <w:bCs/>
                <w:color w:val="000000" w:themeColor="text1"/>
              </w:rPr>
            </w:pPr>
            <w:r>
              <w:rPr>
                <w:rFonts w:ascii="Arial" w:hAnsi="Arial" w:cs="Arial"/>
                <w:color w:val="000000"/>
                <w:sz w:val="20"/>
                <w:szCs w:val="20"/>
              </w:rPr>
              <w:t>1067.64</w:t>
            </w:r>
          </w:p>
        </w:tc>
        <w:tc>
          <w:tcPr>
            <w:tcW w:w="3420" w:type="dxa"/>
            <w:shd w:val="clear" w:color="auto" w:fill="FFFFFF"/>
          </w:tcPr>
          <w:p w14:paraId="426F92F8" w14:textId="65DFF0EA" w:rsidR="00FC6B31" w:rsidRPr="00D95BA6" w:rsidRDefault="00FC6B31" w:rsidP="00FC6B31">
            <w:pPr>
              <w:rPr>
                <w:rFonts w:ascii="Arial" w:hAnsi="Arial" w:cs="Arial"/>
                <w:color w:val="000000"/>
                <w:sz w:val="20"/>
                <w:szCs w:val="20"/>
              </w:rPr>
            </w:pPr>
            <w:r>
              <w:rPr>
                <w:rFonts w:ascii="Arial" w:hAnsi="Arial" w:cs="Arial"/>
                <w:color w:val="000000"/>
                <w:sz w:val="20"/>
                <w:szCs w:val="20"/>
              </w:rPr>
              <w:t>What exactly is the meaning of "DMG positioning". This should be a defined term or better description of when to set this bit.</w:t>
            </w:r>
          </w:p>
        </w:tc>
        <w:tc>
          <w:tcPr>
            <w:tcW w:w="3870" w:type="dxa"/>
            <w:shd w:val="clear" w:color="auto" w:fill="FFFFFF"/>
          </w:tcPr>
          <w:p w14:paraId="4D661EB7" w14:textId="0FC76527" w:rsidR="00FC6B31" w:rsidRPr="00D95BA6" w:rsidRDefault="00FC6B31" w:rsidP="00FC6B31">
            <w:pPr>
              <w:rPr>
                <w:rFonts w:ascii="Arial" w:hAnsi="Arial" w:cs="Arial"/>
                <w:color w:val="000000"/>
                <w:sz w:val="20"/>
                <w:szCs w:val="20"/>
              </w:rPr>
            </w:pPr>
            <w:r>
              <w:rPr>
                <w:rFonts w:ascii="Arial" w:hAnsi="Arial" w:cs="Arial"/>
                <w:color w:val="000000"/>
                <w:sz w:val="20"/>
                <w:szCs w:val="20"/>
              </w:rPr>
              <w:t>Define "DMG positioning" term.</w:t>
            </w:r>
          </w:p>
        </w:tc>
      </w:tr>
    </w:tbl>
    <w:p w14:paraId="5CF58FF5" w14:textId="2DB72246" w:rsidR="00FC6B31" w:rsidRDefault="00FC6B31"/>
    <w:p w14:paraId="5E880AF2" w14:textId="09C698A1" w:rsidR="00FC6B31" w:rsidRPr="00FC6B31" w:rsidRDefault="00FC6B31">
      <w:pPr>
        <w:rPr>
          <w:b/>
          <w:bCs/>
          <w:u w:val="single"/>
        </w:rPr>
      </w:pPr>
      <w:r w:rsidRPr="00FC6B31">
        <w:rPr>
          <w:b/>
          <w:bCs/>
          <w:u w:val="single"/>
        </w:rPr>
        <w:t>Discussion:</w:t>
      </w:r>
    </w:p>
    <w:p w14:paraId="1FAB4FB1" w14:textId="77777777" w:rsidR="00FC6B31" w:rsidRDefault="00FC6B31">
      <w:pPr>
        <w:rPr>
          <w:u w:val="single"/>
        </w:rPr>
      </w:pPr>
    </w:p>
    <w:p w14:paraId="5AF527DE" w14:textId="024A524E" w:rsidR="00FC6B31" w:rsidRPr="00FC6B31" w:rsidRDefault="00FC6B31">
      <w:pPr>
        <w:rPr>
          <w:b/>
          <w:bCs/>
        </w:rPr>
      </w:pPr>
      <w:r w:rsidRPr="00FC6B31">
        <w:rPr>
          <w:b/>
          <w:bCs/>
        </w:rPr>
        <w:t>Context</w:t>
      </w:r>
      <w:r>
        <w:rPr>
          <w:b/>
          <w:bCs/>
        </w:rPr>
        <w:t>,</w:t>
      </w:r>
      <w:r w:rsidRPr="00FC6B31">
        <w:t xml:space="preserve"> from 9.4.2.35</w:t>
      </w:r>
      <w:r w:rsidRPr="00FC6B31">
        <w:rPr>
          <w:b/>
          <w:bCs/>
        </w:rPr>
        <w:t>:</w:t>
      </w:r>
    </w:p>
    <w:p w14:paraId="73F2EC52" w14:textId="77777777" w:rsidR="00FC6B31" w:rsidRPr="00FC6B31" w:rsidRDefault="00FC6B31"/>
    <w:p w14:paraId="25BD663C" w14:textId="60C31539" w:rsidR="00FC6B31" w:rsidRPr="00FC6B31" w:rsidRDefault="00FC6B31" w:rsidP="00FC6B31">
      <w:pPr>
        <w:pBdr>
          <w:top w:val="single" w:sz="4" w:space="1" w:color="auto"/>
          <w:left w:val="single" w:sz="4" w:space="4" w:color="auto"/>
          <w:bottom w:val="single" w:sz="4" w:space="1" w:color="auto"/>
          <w:right w:val="single" w:sz="4" w:space="4" w:color="auto"/>
        </w:pBdr>
      </w:pPr>
      <w:r w:rsidRPr="00FC6B31">
        <w:rPr>
          <w:noProof/>
        </w:rPr>
        <w:drawing>
          <wp:inline distT="0" distB="0" distL="0" distR="0" wp14:anchorId="16A079D4" wp14:editId="1B748946">
            <wp:extent cx="5900420" cy="3773170"/>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0420" cy="3773170"/>
                    </a:xfrm>
                    <a:prstGeom prst="rect">
                      <a:avLst/>
                    </a:prstGeom>
                    <a:noFill/>
                    <a:ln>
                      <a:noFill/>
                    </a:ln>
                  </pic:spPr>
                </pic:pic>
              </a:graphicData>
            </a:graphic>
          </wp:inline>
        </w:drawing>
      </w:r>
    </w:p>
    <w:p w14:paraId="4D84CE54" w14:textId="77777777" w:rsidR="00FC6B31" w:rsidRPr="00FC6B31" w:rsidRDefault="00FC6B31"/>
    <w:p w14:paraId="055378BD" w14:textId="6E4BB117" w:rsidR="00FC6B31" w:rsidRPr="00FC6B31" w:rsidRDefault="00FC6B31" w:rsidP="00FC6B31">
      <w:pPr>
        <w:pBdr>
          <w:top w:val="single" w:sz="4" w:space="1" w:color="auto"/>
          <w:left w:val="single" w:sz="4" w:space="4" w:color="auto"/>
          <w:bottom w:val="single" w:sz="4" w:space="1" w:color="auto"/>
          <w:right w:val="single" w:sz="4" w:space="4" w:color="auto"/>
        </w:pBdr>
      </w:pPr>
      <w:r w:rsidRPr="00FC6B31">
        <w:rPr>
          <w:noProof/>
        </w:rPr>
        <w:drawing>
          <wp:inline distT="0" distB="0" distL="0" distR="0" wp14:anchorId="3BDBCDDD" wp14:editId="5DFA6BED">
            <wp:extent cx="5900420" cy="4521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0420" cy="452120"/>
                    </a:xfrm>
                    <a:prstGeom prst="rect">
                      <a:avLst/>
                    </a:prstGeom>
                    <a:noFill/>
                    <a:ln>
                      <a:noFill/>
                    </a:ln>
                  </pic:spPr>
                </pic:pic>
              </a:graphicData>
            </a:graphic>
          </wp:inline>
        </w:drawing>
      </w:r>
    </w:p>
    <w:p w14:paraId="167754A5" w14:textId="77777777" w:rsidR="00FC6B31" w:rsidRPr="00FC6B31" w:rsidRDefault="00FC6B31"/>
    <w:p w14:paraId="5805E929" w14:textId="516F519B" w:rsidR="00FC6B31" w:rsidRDefault="00FC6B31">
      <w:r>
        <w:t>The issue is that “the AP supports DMG positioning” is not clear, as this term is never used except in this sentence.</w:t>
      </w:r>
    </w:p>
    <w:p w14:paraId="60E07A66" w14:textId="77777777" w:rsidR="00FC6B31" w:rsidRDefault="00FC6B31"/>
    <w:p w14:paraId="716C2ADF" w14:textId="71E617AF" w:rsidR="00FC6B31" w:rsidRDefault="00FC6B31">
      <w:r>
        <w:t>Consulting with 11az SMEs, it seems that what is meant is “</w:t>
      </w:r>
      <w:r w:rsidRPr="00FC6B31">
        <w:t>the AP is a DMG AP and supports FTM measurement</w:t>
      </w:r>
      <w:r>
        <w:t>.</w:t>
      </w:r>
      <w:r w:rsidRPr="00FC6B31">
        <w:t>”</w:t>
      </w:r>
      <w:r>
        <w:t xml:space="preserve"> and that this is explained in the </w:t>
      </w:r>
      <w:r w:rsidR="006875C2">
        <w:t>appropriate subclause(s) of 11.21.6.4, Measurement exchange</w:t>
      </w:r>
      <w:r>
        <w:t xml:space="preserve">.  Also, “the AP” is ambiguous, as this is a Neighbor Report, so is it the </w:t>
      </w:r>
      <w:r>
        <w:lastRenderedPageBreak/>
        <w:t xml:space="preserve">reporting AP, or the AP that is being reported?  Other paragraphs in this subclause are clear to </w:t>
      </w:r>
      <w:proofErr w:type="gramStart"/>
      <w:r>
        <w:t>say</w:t>
      </w:r>
      <w:proofErr w:type="gramEnd"/>
      <w:r>
        <w:t xml:space="preserve"> “the </w:t>
      </w:r>
      <w:r w:rsidR="006875C2">
        <w:t>reported AP”, or “the AP represented by this BSSID”.</w:t>
      </w:r>
    </w:p>
    <w:p w14:paraId="6901D393" w14:textId="77777777" w:rsidR="00FC6B31" w:rsidRDefault="00FC6B31"/>
    <w:p w14:paraId="60401772" w14:textId="719D61DA" w:rsidR="00FC6B31" w:rsidRDefault="00FC6B31">
      <w:r>
        <w:rPr>
          <w:b/>
          <w:bCs/>
          <w:u w:val="single"/>
        </w:rPr>
        <w:t>Proposed Resolution:</w:t>
      </w:r>
    </w:p>
    <w:p w14:paraId="064C027E" w14:textId="77777777" w:rsidR="00FC6B31" w:rsidRDefault="00FC6B31"/>
    <w:p w14:paraId="330039FC" w14:textId="737DA629" w:rsidR="00FC6B31" w:rsidRPr="00FC6B31" w:rsidRDefault="00FC6B31">
      <w:r>
        <w:t>Replace “the AP supports DMG positioning” with “</w:t>
      </w:r>
      <w:r w:rsidR="0059757E">
        <w:t>t</w:t>
      </w:r>
      <w:r>
        <w:t xml:space="preserve">he </w:t>
      </w:r>
      <w:r w:rsidR="0059757E">
        <w:t xml:space="preserve">reported </w:t>
      </w:r>
      <w:r>
        <w:t>AP is a DMG AP and supports FTM measurement (see 11.21.6.4.2.2 (</w:t>
      </w:r>
      <w:r w:rsidR="006875C2" w:rsidRPr="006875C2">
        <w:t>DMG general measurement exchange</w:t>
      </w:r>
      <w:r>
        <w:t>)).”</w:t>
      </w:r>
    </w:p>
    <w:p w14:paraId="0CAE12FA" w14:textId="77777777" w:rsidR="00FC6B31" w:rsidRPr="00FC6B31" w:rsidRDefault="00FC6B31"/>
    <w:p w14:paraId="40CE02B4" w14:textId="77777777" w:rsidR="00FC6B31" w:rsidRPr="00FC6B31" w:rsidRDefault="00FC6B31">
      <w:pPr>
        <w:rPr>
          <w:b/>
          <w:bCs/>
        </w:rPr>
      </w:pPr>
      <w:r w:rsidRPr="00FC6B31">
        <w:rPr>
          <w:b/>
          <w:bCs/>
        </w:rPr>
        <w:br w:type="page"/>
      </w:r>
    </w:p>
    <w:p w14:paraId="068CDBCC" w14:textId="18138B27" w:rsidR="0097539D" w:rsidRDefault="00687D0F">
      <w:pPr>
        <w:rPr>
          <w:b/>
          <w:bCs/>
          <w:u w:val="single"/>
        </w:rPr>
      </w:pPr>
      <w:r>
        <w:rPr>
          <w:b/>
          <w:bCs/>
          <w:u w:val="single"/>
        </w:rPr>
        <w:lastRenderedPageBreak/>
        <w:t>Under CID 7067</w:t>
      </w:r>
      <w:r w:rsidR="003C63CC">
        <w:rPr>
          <w:b/>
          <w:bCs/>
          <w:u w:val="single"/>
        </w:rPr>
        <w:t xml:space="preserve">, </w:t>
      </w:r>
      <w:r>
        <w:rPr>
          <w:b/>
          <w:bCs/>
          <w:u w:val="single"/>
        </w:rPr>
        <w:t xml:space="preserve">the issue involving </w:t>
      </w:r>
      <w:r w:rsidR="003C63CC">
        <w:rPr>
          <w:b/>
          <w:bCs/>
          <w:u w:val="single"/>
        </w:rPr>
        <w:t xml:space="preserve">802.11az subclause 6.3.56 merge into </w:t>
      </w:r>
      <w:proofErr w:type="spellStart"/>
      <w:r w:rsidR="003C63CC">
        <w:rPr>
          <w:b/>
          <w:bCs/>
          <w:u w:val="single"/>
        </w:rPr>
        <w:t>REVme’s</w:t>
      </w:r>
      <w:proofErr w:type="spellEnd"/>
      <w:r w:rsidR="003C63CC">
        <w:rPr>
          <w:b/>
          <w:bCs/>
          <w:u w:val="single"/>
        </w:rPr>
        <w:t xml:space="preserve"> clause 6 (or clause 11) structure</w:t>
      </w:r>
      <w:r w:rsidR="0097539D">
        <w:rPr>
          <w:b/>
          <w:bCs/>
          <w:u w:val="single"/>
        </w:rPr>
        <w:t>:</w:t>
      </w:r>
    </w:p>
    <w:p w14:paraId="0E4DCE5B" w14:textId="77777777" w:rsidR="00D92ED2" w:rsidRDefault="00D92ED2"/>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D92ED2" w:rsidRPr="00B173D7" w14:paraId="69A329F1" w14:textId="77777777" w:rsidTr="00BF39E4">
        <w:trPr>
          <w:trHeight w:val="373"/>
          <w:jc w:val="center"/>
        </w:trPr>
        <w:tc>
          <w:tcPr>
            <w:tcW w:w="805" w:type="dxa"/>
          </w:tcPr>
          <w:p w14:paraId="22C5D997"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1B394595"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7F2F22CB" w14:textId="77777777" w:rsidR="00D92ED2" w:rsidRPr="00B173D7" w:rsidRDefault="00D92ED2"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4E56B264"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6F068EDA"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D92ED2" w:rsidRPr="00FF04B3" w14:paraId="1E82184E" w14:textId="77777777" w:rsidTr="00BF39E4">
        <w:trPr>
          <w:trHeight w:val="1002"/>
          <w:jc w:val="center"/>
        </w:trPr>
        <w:tc>
          <w:tcPr>
            <w:tcW w:w="805" w:type="dxa"/>
          </w:tcPr>
          <w:p w14:paraId="338D005B" w14:textId="13009130" w:rsidR="00D92ED2" w:rsidRPr="00FF04B3" w:rsidRDefault="00D95BA6" w:rsidP="00BF39E4">
            <w:pPr>
              <w:rPr>
                <w:bCs/>
                <w:color w:val="000000" w:themeColor="text1"/>
              </w:rPr>
            </w:pPr>
            <w:r>
              <w:rPr>
                <w:bCs/>
                <w:color w:val="000000" w:themeColor="text1"/>
              </w:rPr>
              <w:t>7067</w:t>
            </w:r>
          </w:p>
        </w:tc>
        <w:tc>
          <w:tcPr>
            <w:tcW w:w="1080" w:type="dxa"/>
            <w:shd w:val="clear" w:color="auto" w:fill="FFFFFF"/>
          </w:tcPr>
          <w:p w14:paraId="43537BEC" w14:textId="17CEA40C" w:rsidR="00D92ED2" w:rsidRPr="00FF04B3" w:rsidRDefault="00D92ED2" w:rsidP="00BF39E4">
            <w:pPr>
              <w:rPr>
                <w:bCs/>
                <w:color w:val="000000" w:themeColor="text1"/>
              </w:rPr>
            </w:pPr>
          </w:p>
        </w:tc>
        <w:tc>
          <w:tcPr>
            <w:tcW w:w="990" w:type="dxa"/>
            <w:shd w:val="clear" w:color="auto" w:fill="FFFFFF"/>
          </w:tcPr>
          <w:p w14:paraId="699E0AE1" w14:textId="77777777" w:rsidR="00D92ED2" w:rsidRPr="00FF04B3" w:rsidRDefault="00D92ED2" w:rsidP="00D95BA6">
            <w:pPr>
              <w:rPr>
                <w:bCs/>
                <w:color w:val="000000" w:themeColor="text1"/>
              </w:rPr>
            </w:pPr>
          </w:p>
        </w:tc>
        <w:tc>
          <w:tcPr>
            <w:tcW w:w="3420" w:type="dxa"/>
            <w:shd w:val="clear" w:color="auto" w:fill="FFFFFF"/>
          </w:tcPr>
          <w:p w14:paraId="6F144974" w14:textId="12FD0BE8" w:rsidR="00D92ED2" w:rsidRPr="00FF04B3" w:rsidRDefault="00D95BA6" w:rsidP="00BF39E4">
            <w:pPr>
              <w:rPr>
                <w:bCs/>
                <w:color w:val="000000" w:themeColor="text1"/>
              </w:rPr>
            </w:pPr>
            <w:r w:rsidRPr="00D95BA6">
              <w:rPr>
                <w:rFonts w:ascii="Arial" w:hAnsi="Arial" w:cs="Arial"/>
                <w:color w:val="000000"/>
                <w:sz w:val="20"/>
                <w:szCs w:val="20"/>
              </w:rPr>
              <w:t>Contents in Clause 6 of 11az, 11bd and 11bc cannot be rolled-in due to the Clause 6 structure changes in REVme. This can be resolved by a submission.</w:t>
            </w:r>
          </w:p>
        </w:tc>
        <w:tc>
          <w:tcPr>
            <w:tcW w:w="3870" w:type="dxa"/>
            <w:shd w:val="clear" w:color="auto" w:fill="FFFFFF"/>
          </w:tcPr>
          <w:p w14:paraId="7852E0AC" w14:textId="12A376A6" w:rsidR="00D92ED2" w:rsidRPr="00FF04B3" w:rsidRDefault="00D95BA6" w:rsidP="00BF39E4">
            <w:pPr>
              <w:rPr>
                <w:bCs/>
              </w:rPr>
            </w:pPr>
            <w:r w:rsidRPr="00D95BA6">
              <w:rPr>
                <w:rFonts w:ascii="Arial" w:hAnsi="Arial" w:cs="Arial"/>
                <w:color w:val="000000"/>
                <w:sz w:val="20"/>
                <w:szCs w:val="20"/>
              </w:rPr>
              <w:t>as in comment.</w:t>
            </w:r>
          </w:p>
        </w:tc>
      </w:tr>
    </w:tbl>
    <w:p w14:paraId="390847F0" w14:textId="77777777" w:rsidR="00D92ED2" w:rsidRDefault="00D92ED2"/>
    <w:p w14:paraId="16B8C4F9" w14:textId="77777777" w:rsidR="00D92ED2" w:rsidRDefault="00D92ED2"/>
    <w:p w14:paraId="5E6E15FB" w14:textId="617D2F3F" w:rsidR="00BE13B5" w:rsidRPr="00522CB9" w:rsidRDefault="00BE13B5">
      <w:pPr>
        <w:rPr>
          <w:b/>
          <w:bCs/>
          <w:u w:val="single"/>
        </w:rPr>
      </w:pPr>
      <w:r w:rsidRPr="00522CB9">
        <w:rPr>
          <w:b/>
          <w:bCs/>
          <w:u w:val="single"/>
        </w:rPr>
        <w:t>Discussion:</w:t>
      </w:r>
    </w:p>
    <w:p w14:paraId="1A8A752E" w14:textId="5DB164EF" w:rsidR="00BE13B5" w:rsidRDefault="00BE13B5"/>
    <w:p w14:paraId="65B15BFB" w14:textId="63317846" w:rsidR="00D95BA6" w:rsidRPr="00D95BA6" w:rsidRDefault="00D95BA6">
      <w:pPr>
        <w:rPr>
          <w:b/>
          <w:bCs/>
        </w:rPr>
      </w:pPr>
      <w:r w:rsidRPr="00D95BA6">
        <w:rPr>
          <w:b/>
          <w:bCs/>
        </w:rPr>
        <w:t>This document only addresses one (the last remaining?) item for 11az, which is rolling in subclause 6.3.56.</w:t>
      </w:r>
    </w:p>
    <w:p w14:paraId="5CAB108B" w14:textId="77777777" w:rsidR="00D95BA6" w:rsidRDefault="00D95BA6"/>
    <w:p w14:paraId="73EA73AB" w14:textId="4957AB8B" w:rsidR="00D95BA6" w:rsidRDefault="00FC1CC3">
      <w:r>
        <w:t xml:space="preserve">Subclause 6.3.35 </w:t>
      </w:r>
      <w:r w:rsidR="000C7F1B">
        <w:t>was removed as part of the clause 6 restructuring.  It was felt at that time</w:t>
      </w:r>
      <w:r>
        <w:t xml:space="preserve"> (prior to 802.11az-2022)</w:t>
      </w:r>
      <w:r w:rsidR="000C7F1B">
        <w:t xml:space="preserve"> that the details in subclause 6.3.56 were not needed, and FINETIMINGMSMTRQ and FINETIMINGMSMT primitives were changed to entries in Table 6-1 with no further discussion in clause 6.</w:t>
      </w:r>
    </w:p>
    <w:p w14:paraId="3F197037" w14:textId="77777777" w:rsidR="000C7F1B" w:rsidRDefault="000C7F1B"/>
    <w:p w14:paraId="74928459" w14:textId="53DD2F5E" w:rsidR="000C7F1B" w:rsidRDefault="00C72BAC">
      <w:r>
        <w:t xml:space="preserve">However, </w:t>
      </w:r>
      <w:r w:rsidR="00FC1CC3">
        <w:t xml:space="preserve">802.11az-2022 includes changes to this subclause, and </w:t>
      </w:r>
      <w:r>
        <w:t>upon further review, inspired by looking at the changes to Figure 6-17 in 802.11az-2022, it seems that this figure includes information not represented anywhere else in the draft, in particular the very careful location of where the timestamps t1, t2, t3 and t4 are captured, which is to say, at the antenna connector.</w:t>
      </w:r>
      <w:r w:rsidR="007A7EFE">
        <w:t xml:space="preserve">  Thus, it seems that Figure 6-17 is still useful/necessary, to fully understand how to implement the procedures of 11.21.6.</w:t>
      </w:r>
    </w:p>
    <w:p w14:paraId="3C0EC643" w14:textId="77777777" w:rsidR="007A7EFE" w:rsidRDefault="007A7EFE"/>
    <w:p w14:paraId="2237C985" w14:textId="55940B6A" w:rsidR="007A7EFE" w:rsidRDefault="007A7EFE">
      <w:r>
        <w:t>The definitions of t1 – t4 are in 11.21.6, in the paragraph at the top of P2719 (REVme D5.0):</w:t>
      </w:r>
    </w:p>
    <w:p w14:paraId="696C86E9" w14:textId="1602FAF8" w:rsidR="007A7EFE" w:rsidRDefault="007A7EFE" w:rsidP="007A7EFE">
      <w:pPr>
        <w:pBdr>
          <w:top w:val="single" w:sz="4" w:space="1" w:color="auto"/>
          <w:left w:val="single" w:sz="4" w:space="4" w:color="auto"/>
          <w:bottom w:val="single" w:sz="4" w:space="1" w:color="auto"/>
          <w:right w:val="single" w:sz="4" w:space="4" w:color="auto"/>
        </w:pBdr>
      </w:pPr>
      <w:r>
        <w:rPr>
          <w:noProof/>
        </w:rPr>
        <w:drawing>
          <wp:inline distT="0" distB="0" distL="0" distR="0" wp14:anchorId="55760C7E" wp14:editId="7C3B9D00">
            <wp:extent cx="5898515" cy="716915"/>
            <wp:effectExtent l="0" t="0" r="698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8515" cy="716915"/>
                    </a:xfrm>
                    <a:prstGeom prst="rect">
                      <a:avLst/>
                    </a:prstGeom>
                    <a:noFill/>
                    <a:ln>
                      <a:noFill/>
                    </a:ln>
                  </pic:spPr>
                </pic:pic>
              </a:graphicData>
            </a:graphic>
          </wp:inline>
        </w:drawing>
      </w:r>
    </w:p>
    <w:p w14:paraId="72DCE365" w14:textId="77777777" w:rsidR="007A7EFE" w:rsidRDefault="007A7EFE"/>
    <w:p w14:paraId="783989DB" w14:textId="26BF6C2A" w:rsidR="00BA5893" w:rsidRDefault="007A7EFE">
      <w:r>
        <w:t>Thus, it is proposed to add Figure 6-17 (as modified by 802.11az-2022) into this paragraph</w:t>
      </w:r>
      <w:r w:rsidR="0051333A">
        <w:t>.</w:t>
      </w:r>
    </w:p>
    <w:p w14:paraId="2A0607BF" w14:textId="77777777" w:rsidR="00FC1CC3" w:rsidRDefault="00FC1CC3"/>
    <w:p w14:paraId="491A783D" w14:textId="69609350" w:rsidR="00FC1CC3" w:rsidRDefault="00FC1CC3">
      <w:r>
        <w:t xml:space="preserve">Also, 802.11az-2022 added new figures in 6.3.35 which helps understand the MLME’s responsibilities and the relationship between the MLME primitives (to/from the SME) and the frame exchanges.  These relationships are not obvious, this author claim, and would be good to keep in the 802.11 Draft.  It seems that other subclauses of </w:t>
      </w:r>
      <w:r w:rsidRPr="00FC1CC3">
        <w:t>11.21.6.4</w:t>
      </w:r>
      <w:r>
        <w:t xml:space="preserve"> are a good place to put this material.</w:t>
      </w:r>
    </w:p>
    <w:p w14:paraId="5B944647" w14:textId="77777777" w:rsidR="00BA5893" w:rsidRDefault="00BA5893"/>
    <w:p w14:paraId="3C1156CC" w14:textId="77777777" w:rsidR="00BA5893" w:rsidRPr="00522CB9" w:rsidRDefault="00BA5893" w:rsidP="00BA5893">
      <w:pPr>
        <w:rPr>
          <w:b/>
          <w:bCs/>
          <w:u w:val="single"/>
        </w:rPr>
      </w:pPr>
      <w:r w:rsidRPr="00522CB9">
        <w:rPr>
          <w:b/>
          <w:bCs/>
          <w:u w:val="single"/>
        </w:rPr>
        <w:t>Proposed Resolution:</w:t>
      </w:r>
    </w:p>
    <w:p w14:paraId="003BAF7F" w14:textId="77777777" w:rsidR="00BA5893" w:rsidRDefault="00BA5893" w:rsidP="00BA5893"/>
    <w:p w14:paraId="09E4F249" w14:textId="74D6C8AC" w:rsidR="00947E85" w:rsidRDefault="00947E85" w:rsidP="00BA5893">
      <w:r>
        <w:t>Revised.</w:t>
      </w:r>
    </w:p>
    <w:p w14:paraId="3E4B5A83" w14:textId="77777777" w:rsidR="00947E85" w:rsidRDefault="00947E85" w:rsidP="00BA5893"/>
    <w:p w14:paraId="3A99EE32" w14:textId="77621E54" w:rsidR="007A7EFE" w:rsidRPr="0005746C" w:rsidRDefault="00BA5893">
      <w:pPr>
        <w:rPr>
          <w:b/>
          <w:bCs/>
          <w:i/>
          <w:iCs/>
        </w:rPr>
      </w:pPr>
      <w:r w:rsidRPr="0005746C">
        <w:rPr>
          <w:b/>
          <w:bCs/>
          <w:i/>
          <w:iCs/>
        </w:rPr>
        <w:t>On P271</w:t>
      </w:r>
      <w:r w:rsidR="00947E85" w:rsidRPr="0005746C">
        <w:rPr>
          <w:b/>
          <w:bCs/>
          <w:i/>
          <w:iCs/>
        </w:rPr>
        <w:t>8</w:t>
      </w:r>
      <w:r w:rsidR="0051333A" w:rsidRPr="0005746C">
        <w:rPr>
          <w:b/>
          <w:bCs/>
          <w:i/>
          <w:iCs/>
        </w:rPr>
        <w:t xml:space="preserve">.60 (and on to page </w:t>
      </w:r>
      <w:r w:rsidR="00947E85" w:rsidRPr="0005746C">
        <w:rPr>
          <w:b/>
          <w:bCs/>
          <w:i/>
          <w:iCs/>
        </w:rPr>
        <w:t>2719</w:t>
      </w:r>
      <w:r w:rsidR="0051333A" w:rsidRPr="0005746C">
        <w:rPr>
          <w:b/>
          <w:bCs/>
          <w:i/>
          <w:iCs/>
        </w:rPr>
        <w:t>)</w:t>
      </w:r>
      <w:r w:rsidRPr="0005746C">
        <w:rPr>
          <w:b/>
          <w:bCs/>
          <w:i/>
          <w:iCs/>
        </w:rPr>
        <w:t>,</w:t>
      </w:r>
      <w:r w:rsidR="00947E85" w:rsidRPr="0005746C">
        <w:rPr>
          <w:b/>
          <w:bCs/>
          <w:i/>
          <w:iCs/>
        </w:rPr>
        <w:t xml:space="preserve"> split the paragraph, move Note 2, and</w:t>
      </w:r>
      <w:r w:rsidRPr="0005746C">
        <w:rPr>
          <w:b/>
          <w:bCs/>
          <w:i/>
          <w:iCs/>
        </w:rPr>
        <w:t xml:space="preserve"> insert text and Figure 6-17 </w:t>
      </w:r>
      <w:r w:rsidR="00947E85" w:rsidRPr="0005746C">
        <w:rPr>
          <w:b/>
          <w:bCs/>
          <w:i/>
          <w:iCs/>
        </w:rPr>
        <w:t>(</w:t>
      </w:r>
      <w:r w:rsidRPr="0005746C">
        <w:rPr>
          <w:b/>
          <w:bCs/>
          <w:i/>
          <w:iCs/>
        </w:rPr>
        <w:t>as modified by 802.11az-2022</w:t>
      </w:r>
      <w:r w:rsidR="00947E85" w:rsidRPr="0005746C">
        <w:rPr>
          <w:b/>
          <w:bCs/>
          <w:i/>
          <w:iCs/>
        </w:rPr>
        <w:t xml:space="preserve"> and renumbered as Figure 11-xx)</w:t>
      </w:r>
      <w:r w:rsidRPr="0005746C">
        <w:rPr>
          <w:b/>
          <w:bCs/>
          <w:i/>
          <w:iCs/>
        </w:rPr>
        <w:t>, as shown:</w:t>
      </w:r>
    </w:p>
    <w:p w14:paraId="0A545BB2" w14:textId="77777777" w:rsidR="00BA5893" w:rsidRDefault="00BA5893"/>
    <w:p w14:paraId="6F7DF537" w14:textId="232577D7" w:rsidR="00947E85" w:rsidRPr="00947E85" w:rsidRDefault="00947E85" w:rsidP="00947E85">
      <w:pPr>
        <w:autoSpaceDE w:val="0"/>
        <w:autoSpaceDN w:val="0"/>
        <w:adjustRightInd w:val="0"/>
        <w:ind w:left="720"/>
        <w:rPr>
          <w:rFonts w:eastAsia="TimesNewRoman"/>
          <w:b/>
          <w:bCs/>
          <w:i/>
          <w:iCs/>
          <w:color w:val="000000"/>
          <w:u w:val="single"/>
        </w:rPr>
      </w:pPr>
      <w:r w:rsidRPr="00947E85">
        <w:rPr>
          <w:rFonts w:eastAsia="TimesNewRoman"/>
          <w:color w:val="000000"/>
        </w:rPr>
        <w:t xml:space="preserve">A </w:t>
      </w:r>
      <w:r w:rsidRPr="00947E85">
        <w:rPr>
          <w:rFonts w:eastAsia="TimesNewRoman"/>
          <w:color w:val="218A21"/>
        </w:rPr>
        <w:t>(11</w:t>
      </w:r>
      <w:proofErr w:type="gramStart"/>
      <w:r w:rsidRPr="00947E85">
        <w:rPr>
          <w:rFonts w:eastAsia="TimesNewRoman"/>
          <w:color w:val="218A21"/>
        </w:rPr>
        <w:t>az)</w:t>
      </w:r>
      <w:r w:rsidRPr="00947E85">
        <w:rPr>
          <w:rFonts w:eastAsia="TimesNewRoman"/>
          <w:color w:val="000000"/>
        </w:rPr>
        <w:t>RSTA</w:t>
      </w:r>
      <w:proofErr w:type="gramEnd"/>
      <w:r w:rsidRPr="00947E85">
        <w:rPr>
          <w:rFonts w:eastAsia="TimesNewRoman"/>
          <w:color w:val="000000"/>
        </w:rPr>
        <w:t xml:space="preserve"> transmits FTM frames in overlapping pairs of consecutive frames. For example, in Figure 11-45 (Example negotiation and measurement frame exchange, ASAP=1, and FTMs Per Burst = 2(#</w:t>
      </w:r>
      <w:proofErr w:type="gramStart"/>
      <w:r w:rsidRPr="00947E85">
        <w:rPr>
          <w:rFonts w:eastAsia="TimesNewRoman"/>
          <w:color w:val="000000"/>
        </w:rPr>
        <w:t>109)(</w:t>
      </w:r>
      <w:proofErr w:type="gramEnd"/>
      <w:r w:rsidRPr="00947E85">
        <w:rPr>
          <w:rFonts w:eastAsia="TimesNewRoman"/>
          <w:color w:val="000000"/>
        </w:rPr>
        <w:t>11az)),</w:t>
      </w:r>
      <w:r w:rsidRPr="00947E85">
        <w:rPr>
          <w:rFonts w:eastAsia="TimesNewRoman"/>
          <w:color w:val="000000"/>
        </w:rPr>
        <w:t xml:space="preserve"> </w:t>
      </w:r>
      <w:r w:rsidRPr="00947E85">
        <w:rPr>
          <w:rFonts w:eastAsia="TimesNewRoman"/>
          <w:color w:val="000000"/>
        </w:rPr>
        <w:t>FTM_1 and FTM_2, FTM_2 and FTM_3, and FTM_3 and FTM_4 are overlapping pairs of consecutive</w:t>
      </w:r>
      <w:r w:rsidRPr="00947E85">
        <w:rPr>
          <w:rFonts w:eastAsia="TimesNewRoman"/>
          <w:color w:val="000000"/>
        </w:rPr>
        <w:t xml:space="preserve"> </w:t>
      </w:r>
      <w:r w:rsidRPr="00947E85">
        <w:rPr>
          <w:rFonts w:eastAsia="TimesNewRoman"/>
          <w:color w:val="000000"/>
        </w:rPr>
        <w:t>frames. The first FTM frame of a pair of consecutive FTM frames contains a nonzero value in the Dialog</w:t>
      </w:r>
      <w:r w:rsidRPr="00947E85">
        <w:rPr>
          <w:rFonts w:eastAsia="TimesNewRoman"/>
          <w:color w:val="000000"/>
        </w:rPr>
        <w:t xml:space="preserve"> </w:t>
      </w:r>
      <w:r w:rsidRPr="00947E85">
        <w:rPr>
          <w:rFonts w:eastAsia="TimesNewRoman"/>
          <w:color w:val="000000"/>
        </w:rPr>
        <w:t>Token field. The follow up FTM frame contains a Follow Up Dialog Token field set to the value of the Dialog</w:t>
      </w:r>
      <w:r w:rsidRPr="00947E85">
        <w:rPr>
          <w:rFonts w:eastAsia="TimesNewRoman"/>
          <w:color w:val="000000"/>
        </w:rPr>
        <w:t xml:space="preserve"> </w:t>
      </w:r>
      <w:r w:rsidRPr="00947E85">
        <w:rPr>
          <w:rFonts w:eastAsia="TimesNewRoman"/>
          <w:color w:val="000000"/>
        </w:rPr>
        <w:t>Token field in the first frame of the consecutive pair. Dialog Token field values of consecutive FTM frames</w:t>
      </w:r>
      <w:r w:rsidRPr="00947E85">
        <w:rPr>
          <w:rFonts w:eastAsia="TimesNewRoman"/>
          <w:color w:val="000000"/>
        </w:rPr>
        <w:t xml:space="preserve"> </w:t>
      </w:r>
      <w:r w:rsidRPr="00947E85">
        <w:rPr>
          <w:rFonts w:eastAsia="TimesNewRoman"/>
          <w:color w:val="000000"/>
        </w:rPr>
        <w:t>shall increment in steps of 1</w:t>
      </w:r>
      <w:r w:rsidRPr="00947E85">
        <w:rPr>
          <w:rFonts w:eastAsia="TimesNewRoman"/>
          <w:color w:val="218A21"/>
        </w:rPr>
        <w:t>(#3089)</w:t>
      </w:r>
      <w:r w:rsidRPr="00947E85">
        <w:rPr>
          <w:rFonts w:eastAsia="TimesNewRoman"/>
          <w:color w:val="000000"/>
        </w:rPr>
        <w:t>, except when the value wraps around to 1 or in the last FTM frame in an</w:t>
      </w:r>
      <w:r w:rsidRPr="00947E85">
        <w:rPr>
          <w:rFonts w:eastAsia="TimesNewRoman"/>
          <w:color w:val="000000"/>
        </w:rPr>
        <w:t xml:space="preserve"> </w:t>
      </w:r>
      <w:r w:rsidRPr="00947E85">
        <w:rPr>
          <w:rFonts w:eastAsia="TimesNewRoman"/>
          <w:color w:val="000000"/>
        </w:rPr>
        <w:t>FTM session.</w:t>
      </w:r>
      <w:r>
        <w:rPr>
          <w:rFonts w:eastAsia="TimesNewRoman"/>
          <w:color w:val="000000"/>
        </w:rPr>
        <w:t xml:space="preserve"> </w:t>
      </w:r>
      <w:r w:rsidRPr="00947E85">
        <w:rPr>
          <w:rFonts w:eastAsia="TimesNewRoman"/>
          <w:b/>
          <w:bCs/>
          <w:i/>
          <w:iCs/>
          <w:color w:val="000000"/>
          <w:u w:val="single"/>
        </w:rPr>
        <w:t>&lt;insert para break here, and move NOTE 2 to follow this paragraph, as shown:&gt;</w:t>
      </w:r>
    </w:p>
    <w:p w14:paraId="42D31753" w14:textId="77777777" w:rsidR="00947E85" w:rsidRDefault="00947E85" w:rsidP="00947E85">
      <w:pPr>
        <w:autoSpaceDE w:val="0"/>
        <w:autoSpaceDN w:val="0"/>
        <w:adjustRightInd w:val="0"/>
        <w:ind w:left="720"/>
        <w:rPr>
          <w:rFonts w:eastAsia="TimesNewRoman"/>
          <w:color w:val="000000"/>
          <w:u w:val="single"/>
        </w:rPr>
      </w:pPr>
    </w:p>
    <w:p w14:paraId="2D693084" w14:textId="4F03950B" w:rsidR="00947E85" w:rsidRPr="00947E85" w:rsidRDefault="00947E85" w:rsidP="00947E85">
      <w:pPr>
        <w:autoSpaceDE w:val="0"/>
        <w:autoSpaceDN w:val="0"/>
        <w:adjustRightInd w:val="0"/>
        <w:ind w:left="720"/>
        <w:rPr>
          <w:rFonts w:eastAsia="TimesNewRoman"/>
          <w:color w:val="000000"/>
          <w:sz w:val="20"/>
          <w:szCs w:val="20"/>
          <w:u w:val="single"/>
        </w:rPr>
      </w:pPr>
      <w:r w:rsidRPr="00947E85">
        <w:rPr>
          <w:rFonts w:eastAsia="TimesNewRoman"/>
          <w:color w:val="000000"/>
          <w:sz w:val="20"/>
          <w:szCs w:val="20"/>
          <w:u w:val="single"/>
        </w:rPr>
        <w:t>NOTE 2—</w:t>
      </w:r>
      <w:r w:rsidRPr="00947E85">
        <w:rPr>
          <w:rFonts w:eastAsia="TimesNewRoman"/>
          <w:color w:val="218A21"/>
          <w:sz w:val="20"/>
          <w:szCs w:val="20"/>
          <w:u w:val="single"/>
        </w:rPr>
        <w:t>(11</w:t>
      </w:r>
      <w:proofErr w:type="gramStart"/>
      <w:r w:rsidRPr="00947E85">
        <w:rPr>
          <w:rFonts w:eastAsia="TimesNewRoman"/>
          <w:color w:val="218A21"/>
          <w:sz w:val="20"/>
          <w:szCs w:val="20"/>
          <w:u w:val="single"/>
        </w:rPr>
        <w:t>az)</w:t>
      </w:r>
      <w:r w:rsidRPr="00947E85">
        <w:rPr>
          <w:rFonts w:eastAsia="TimesNewRoman"/>
          <w:color w:val="000000"/>
          <w:sz w:val="20"/>
          <w:szCs w:val="20"/>
          <w:u w:val="single"/>
        </w:rPr>
        <w:t>An</w:t>
      </w:r>
      <w:proofErr w:type="gramEnd"/>
      <w:r w:rsidRPr="00947E85">
        <w:rPr>
          <w:rFonts w:eastAsia="TimesNewRoman"/>
          <w:color w:val="000000"/>
          <w:sz w:val="20"/>
          <w:szCs w:val="20"/>
          <w:u w:val="single"/>
        </w:rPr>
        <w:t xml:space="preserve"> FTM frame can contain nonzero values in both the Dialog Token and Follow Up Dialog Token</w:t>
      </w:r>
      <w:r w:rsidRPr="00947E85">
        <w:rPr>
          <w:rFonts w:eastAsia="TimesNewRoman"/>
          <w:color w:val="000000"/>
          <w:sz w:val="20"/>
          <w:szCs w:val="20"/>
          <w:u w:val="single"/>
        </w:rPr>
        <w:t xml:space="preserve"> </w:t>
      </w:r>
      <w:r w:rsidRPr="00947E85">
        <w:rPr>
          <w:rFonts w:eastAsia="TimesNewRoman"/>
          <w:color w:val="000000"/>
          <w:sz w:val="20"/>
          <w:szCs w:val="20"/>
          <w:u w:val="single"/>
        </w:rPr>
        <w:t>fields, meaning that the Action frame contains follow up information from a previous measurement, and new Timestamp</w:t>
      </w:r>
      <w:r w:rsidRPr="00947E85">
        <w:rPr>
          <w:rFonts w:eastAsia="TimesNewRoman"/>
          <w:color w:val="000000"/>
          <w:sz w:val="20"/>
          <w:szCs w:val="20"/>
          <w:u w:val="single"/>
        </w:rPr>
        <w:t xml:space="preserve"> </w:t>
      </w:r>
      <w:r w:rsidRPr="00947E85">
        <w:rPr>
          <w:rFonts w:eastAsia="TimesNewRoman"/>
          <w:color w:val="000000"/>
          <w:sz w:val="20"/>
          <w:szCs w:val="20"/>
          <w:u w:val="single"/>
        </w:rPr>
        <w:t>values are captured to be sent in a future follow up FTM frame.</w:t>
      </w:r>
    </w:p>
    <w:p w14:paraId="13404ADC" w14:textId="77777777" w:rsidR="00947E85" w:rsidRDefault="00947E85" w:rsidP="00947E85">
      <w:pPr>
        <w:autoSpaceDE w:val="0"/>
        <w:autoSpaceDN w:val="0"/>
        <w:adjustRightInd w:val="0"/>
        <w:ind w:left="720"/>
        <w:rPr>
          <w:rFonts w:ascii="TimesNewRoman" w:eastAsia="TimesNewRoman" w:cs="TimesNewRoman"/>
          <w:color w:val="000000"/>
          <w:sz w:val="20"/>
          <w:szCs w:val="20"/>
        </w:rPr>
      </w:pPr>
    </w:p>
    <w:p w14:paraId="7DEEF3BC" w14:textId="18E7E4C6" w:rsidR="007A7EFE" w:rsidRPr="00BA5893" w:rsidRDefault="007A7EFE" w:rsidP="00947E85">
      <w:pPr>
        <w:autoSpaceDE w:val="0"/>
        <w:autoSpaceDN w:val="0"/>
        <w:adjustRightInd w:val="0"/>
        <w:ind w:left="720"/>
        <w:rPr>
          <w:rFonts w:eastAsia="TimesNewRoman"/>
          <w:color w:val="218A21"/>
        </w:rPr>
      </w:pPr>
      <w:r w:rsidRPr="00BA5893">
        <w:rPr>
          <w:rFonts w:eastAsia="TimesNewRoman"/>
          <w:color w:val="000000"/>
        </w:rPr>
        <w:t>With the first FTM frame, both STAs capture timestamps. The RSTA captures the time at which</w:t>
      </w:r>
      <w:r w:rsidRPr="00BA5893">
        <w:rPr>
          <w:rFonts w:eastAsia="TimesNewRoman"/>
          <w:color w:val="000000"/>
        </w:rPr>
        <w:t xml:space="preserve"> </w:t>
      </w:r>
      <w:r w:rsidRPr="00BA5893">
        <w:rPr>
          <w:rFonts w:eastAsia="TimesNewRoman"/>
          <w:color w:val="000000"/>
        </w:rPr>
        <w:t>the FTM frame is transmitted (</w:t>
      </w:r>
      <w:r w:rsidRPr="00BA5893">
        <w:rPr>
          <w:rFonts w:eastAsia="TimesNewRoman,Italic"/>
          <w:i/>
          <w:iCs/>
          <w:color w:val="000000"/>
        </w:rPr>
        <w:t>t1</w:t>
      </w:r>
      <w:r w:rsidRPr="00BA5893">
        <w:rPr>
          <w:rFonts w:eastAsia="TimesNewRoman"/>
          <w:color w:val="000000"/>
        </w:rPr>
        <w:t>). The ISTA captures the time at which the FTM frame arrives (</w:t>
      </w:r>
      <w:r w:rsidRPr="00BA5893">
        <w:rPr>
          <w:rFonts w:eastAsia="TimesNewRoman,Italic"/>
          <w:i/>
          <w:iCs/>
          <w:color w:val="000000"/>
        </w:rPr>
        <w:t>t2</w:t>
      </w:r>
      <w:r w:rsidRPr="00BA5893">
        <w:rPr>
          <w:rFonts w:eastAsia="TimesNewRoman"/>
          <w:color w:val="000000"/>
        </w:rPr>
        <w:t>) and the</w:t>
      </w:r>
      <w:r w:rsidRPr="00BA5893">
        <w:rPr>
          <w:rFonts w:eastAsia="TimesNewRoman"/>
          <w:color w:val="000000"/>
        </w:rPr>
        <w:t xml:space="preserve"> </w:t>
      </w:r>
      <w:r w:rsidRPr="00BA5893">
        <w:rPr>
          <w:rFonts w:eastAsia="TimesNewRoman"/>
          <w:color w:val="000000"/>
        </w:rPr>
        <w:t>time at which the Ack response is transmitted (</w:t>
      </w:r>
      <w:r w:rsidRPr="00BA5893">
        <w:rPr>
          <w:rFonts w:eastAsia="TimesNewRoman,Italic"/>
          <w:i/>
          <w:iCs/>
          <w:color w:val="000000"/>
        </w:rPr>
        <w:t>t3</w:t>
      </w:r>
      <w:r w:rsidRPr="00BA5893">
        <w:rPr>
          <w:rFonts w:eastAsia="TimesNewRoman"/>
          <w:color w:val="000000"/>
        </w:rPr>
        <w:t>). The RSTA captures the time at which the Ack frame arrives</w:t>
      </w:r>
      <w:r w:rsidRPr="00BA5893">
        <w:rPr>
          <w:rFonts w:eastAsia="TimesNewRoman"/>
          <w:color w:val="000000"/>
        </w:rPr>
        <w:t xml:space="preserve"> </w:t>
      </w:r>
      <w:r w:rsidRPr="00BA5893">
        <w:rPr>
          <w:rFonts w:eastAsia="TimesNewRoman"/>
          <w:color w:val="000000"/>
        </w:rPr>
        <w:t>(</w:t>
      </w:r>
      <w:r w:rsidRPr="00BA5893">
        <w:rPr>
          <w:rFonts w:eastAsia="TimesNewRoman,Italic"/>
          <w:i/>
          <w:iCs/>
          <w:color w:val="000000"/>
        </w:rPr>
        <w:t>t4</w:t>
      </w:r>
      <w:proofErr w:type="gramStart"/>
      <w:r w:rsidRPr="00BA5893">
        <w:rPr>
          <w:rFonts w:eastAsia="TimesNewRoman"/>
          <w:color w:val="000000"/>
        </w:rPr>
        <w:t>).</w:t>
      </w:r>
      <w:r w:rsidRPr="00BA5893">
        <w:rPr>
          <w:rFonts w:eastAsia="TimesNewRoman"/>
          <w:color w:val="218A21"/>
        </w:rPr>
        <w:t>(</w:t>
      </w:r>
      <w:proofErr w:type="gramEnd"/>
      <w:r w:rsidRPr="00BA5893">
        <w:rPr>
          <w:rFonts w:eastAsia="TimesNewRoman"/>
          <w:color w:val="218A21"/>
        </w:rPr>
        <w:t>#1114-Ed1)</w:t>
      </w:r>
      <w:r w:rsidRPr="00BA5893">
        <w:rPr>
          <w:rFonts w:eastAsia="TimesNewRoman"/>
          <w:color w:val="218A21"/>
        </w:rPr>
        <w:t xml:space="preserve">  </w:t>
      </w:r>
      <w:r w:rsidRPr="00BA5893">
        <w:rPr>
          <w:rFonts w:eastAsia="TimesNewRoman"/>
        </w:rPr>
        <w:t>In the follow up FTM frame, in the same or the subsequent burst, the RSTA transfers the</w:t>
      </w:r>
      <w:r w:rsidRPr="00BA5893">
        <w:rPr>
          <w:rFonts w:eastAsia="TimesNewRoman"/>
        </w:rPr>
        <w:t xml:space="preserve"> </w:t>
      </w:r>
      <w:r w:rsidRPr="00BA5893">
        <w:rPr>
          <w:rFonts w:eastAsia="TimesNewRoman"/>
        </w:rPr>
        <w:t>timestamp values it captured (</w:t>
      </w:r>
      <w:r w:rsidRPr="00BA5893">
        <w:rPr>
          <w:rFonts w:eastAsia="TimesNewRoman,Italic"/>
          <w:i/>
          <w:iCs/>
        </w:rPr>
        <w:t xml:space="preserve">t1 </w:t>
      </w:r>
      <w:r w:rsidRPr="00BA5893">
        <w:rPr>
          <w:rFonts w:eastAsia="TimesNewRoman"/>
        </w:rPr>
        <w:t xml:space="preserve">and </w:t>
      </w:r>
      <w:r w:rsidRPr="00BA5893">
        <w:rPr>
          <w:rFonts w:eastAsia="TimesNewRoman,Italic"/>
          <w:i/>
          <w:iCs/>
        </w:rPr>
        <w:t>t4</w:t>
      </w:r>
      <w:r w:rsidRPr="00BA5893">
        <w:rPr>
          <w:rFonts w:eastAsia="TimesNewRoman"/>
        </w:rPr>
        <w:t>) to the ISTA. In this follow up FTM frame, the timestamp values (</w:t>
      </w:r>
      <w:r w:rsidRPr="00BA5893">
        <w:rPr>
          <w:rFonts w:eastAsia="TimesNewRoman,Italic"/>
          <w:i/>
          <w:iCs/>
        </w:rPr>
        <w:t>t1</w:t>
      </w:r>
      <w:r w:rsidRPr="00BA5893">
        <w:rPr>
          <w:rFonts w:eastAsia="TimesNewRoman,Italic"/>
          <w:i/>
          <w:iCs/>
        </w:rPr>
        <w:t xml:space="preserve"> </w:t>
      </w:r>
      <w:r w:rsidRPr="00BA5893">
        <w:rPr>
          <w:rFonts w:eastAsia="TimesNewRoman"/>
        </w:rPr>
        <w:t xml:space="preserve">and </w:t>
      </w:r>
      <w:r w:rsidRPr="00BA5893">
        <w:rPr>
          <w:rFonts w:eastAsia="TimesNewRoman,Italic"/>
          <w:i/>
          <w:iCs/>
        </w:rPr>
        <w:t>t4</w:t>
      </w:r>
      <w:r w:rsidRPr="00BA5893">
        <w:rPr>
          <w:rFonts w:eastAsia="TimesNewRoman"/>
        </w:rPr>
        <w:t>) shall be the measurement according to the RSTA’s clock (i.e., without applying any frequency offset</w:t>
      </w:r>
      <w:r w:rsidRPr="00BA5893">
        <w:rPr>
          <w:rFonts w:eastAsia="TimesNewRoman"/>
        </w:rPr>
        <w:t xml:space="preserve"> </w:t>
      </w:r>
      <w:r w:rsidRPr="00BA5893">
        <w:rPr>
          <w:rFonts w:eastAsia="TimesNewRoman"/>
        </w:rPr>
        <w:t>correction to the time bases).</w:t>
      </w:r>
    </w:p>
    <w:p w14:paraId="2BACBB0B" w14:textId="77777777" w:rsidR="007A7EFE" w:rsidRPr="00BA5893" w:rsidRDefault="007A7EFE" w:rsidP="00BA5893">
      <w:pPr>
        <w:ind w:left="720"/>
        <w:rPr>
          <w:rFonts w:eastAsia="TimesNewRoman"/>
          <w:color w:val="218A21"/>
        </w:rPr>
      </w:pPr>
    </w:p>
    <w:p w14:paraId="179849E2" w14:textId="12E3D107" w:rsidR="00EB34F6" w:rsidRDefault="007A7EFE" w:rsidP="0051333A">
      <w:pPr>
        <w:ind w:left="720"/>
        <w:rPr>
          <w:rFonts w:eastAsia="TimesNewRoman"/>
          <w:color w:val="218A21"/>
          <w:u w:val="single"/>
        </w:rPr>
      </w:pPr>
      <w:r w:rsidRPr="00BA5893">
        <w:rPr>
          <w:rFonts w:eastAsia="TimesNewRoman"/>
          <w:color w:val="218A21"/>
          <w:u w:val="single"/>
        </w:rPr>
        <w:t>For the above timestamp captures, t</w:t>
      </w:r>
      <w:r w:rsidR="00BA5893" w:rsidRPr="00BA5893">
        <w:rPr>
          <w:rFonts w:eastAsia="TimesNewRoman"/>
          <w:color w:val="218A21"/>
          <w:u w:val="single"/>
        </w:rPr>
        <w:t xml:space="preserve">1 </w:t>
      </w:r>
      <w:r w:rsidR="00450D17">
        <w:rPr>
          <w:rFonts w:eastAsia="TimesNewRoman"/>
          <w:color w:val="218A21"/>
          <w:u w:val="single"/>
        </w:rPr>
        <w:t>and t3</w:t>
      </w:r>
      <w:r w:rsidR="00BA5893" w:rsidRPr="00BA5893">
        <w:rPr>
          <w:rFonts w:eastAsia="TimesNewRoman"/>
          <w:color w:val="218A21"/>
          <w:u w:val="single"/>
        </w:rPr>
        <w:t xml:space="preserve"> </w:t>
      </w:r>
      <w:r w:rsidR="00450D17">
        <w:rPr>
          <w:rFonts w:eastAsia="TimesNewRoman"/>
          <w:color w:val="218A21"/>
          <w:u w:val="single"/>
        </w:rPr>
        <w:t xml:space="preserve">correspond to the point in </w:t>
      </w:r>
      <w:r w:rsidR="00BA5893" w:rsidRPr="00BA5893">
        <w:rPr>
          <w:rFonts w:eastAsia="TimesNewRoman"/>
          <w:color w:val="218A21"/>
          <w:u w:val="single"/>
        </w:rPr>
        <w:t xml:space="preserve">time at which the </w:t>
      </w:r>
      <w:r w:rsidR="00450D17">
        <w:rPr>
          <w:rFonts w:eastAsia="TimesNewRoman"/>
          <w:color w:val="218A21"/>
          <w:u w:val="single"/>
        </w:rPr>
        <w:t xml:space="preserve">start of the preamble for the transmitted </w:t>
      </w:r>
      <w:r w:rsidR="00BA5893" w:rsidRPr="00BA5893">
        <w:rPr>
          <w:rFonts w:eastAsia="TimesNewRoman"/>
          <w:color w:val="218A21"/>
          <w:u w:val="single"/>
        </w:rPr>
        <w:t xml:space="preserve">FTM frame </w:t>
      </w:r>
      <w:r w:rsidR="00450D17">
        <w:rPr>
          <w:rFonts w:eastAsia="TimesNewRoman"/>
          <w:color w:val="218A21"/>
          <w:u w:val="single"/>
        </w:rPr>
        <w:t>appears at</w:t>
      </w:r>
      <w:r w:rsidR="00BA5893" w:rsidRPr="00BA5893">
        <w:rPr>
          <w:rFonts w:eastAsia="TimesNewRoman"/>
          <w:color w:val="218A21"/>
          <w:u w:val="single"/>
        </w:rPr>
        <w:t xml:space="preserve"> the antenna connector</w:t>
      </w:r>
      <w:r w:rsidR="00450D17">
        <w:rPr>
          <w:rFonts w:eastAsia="TimesNewRoman"/>
          <w:color w:val="218A21"/>
          <w:u w:val="single"/>
        </w:rPr>
        <w:t xml:space="preserve"> </w:t>
      </w:r>
      <w:r w:rsidR="00BA5893" w:rsidRPr="00BA5893">
        <w:rPr>
          <w:rFonts w:eastAsia="TimesNewRoman"/>
          <w:color w:val="218A21"/>
          <w:u w:val="single"/>
        </w:rPr>
        <w:t>during transmit</w:t>
      </w:r>
      <w:r w:rsidR="00252072">
        <w:rPr>
          <w:rFonts w:eastAsia="TimesNewRoman"/>
          <w:color w:val="218A21"/>
          <w:u w:val="single"/>
        </w:rPr>
        <w:t xml:space="preserve"> (see Figure 11-xx)</w:t>
      </w:r>
      <w:r w:rsidR="00EB34F6">
        <w:rPr>
          <w:rFonts w:eastAsia="TimesNewRoman"/>
          <w:color w:val="218A21"/>
          <w:u w:val="single"/>
        </w:rPr>
        <w:t xml:space="preserve">. </w:t>
      </w:r>
      <w:r w:rsidR="0051333A">
        <w:rPr>
          <w:rFonts w:eastAsia="TimesNewRoman"/>
          <w:color w:val="218A21"/>
          <w:u w:val="single"/>
        </w:rPr>
        <w:t xml:space="preserve"> </w:t>
      </w:r>
      <w:r w:rsidR="0051333A" w:rsidRPr="0051333A">
        <w:rPr>
          <w:rFonts w:eastAsia="TimesNewRoman"/>
          <w:color w:val="218A21"/>
          <w:u w:val="single"/>
        </w:rPr>
        <w:t>An implementation may capture a timestamp during the transmit processing earlier</w:t>
      </w:r>
      <w:r w:rsidR="0051333A">
        <w:rPr>
          <w:rFonts w:eastAsia="TimesNewRoman"/>
          <w:color w:val="218A21"/>
          <w:u w:val="single"/>
        </w:rPr>
        <w:t xml:space="preserve"> </w:t>
      </w:r>
      <w:r w:rsidR="0051333A" w:rsidRPr="0051333A">
        <w:rPr>
          <w:rFonts w:eastAsia="TimesNewRoman"/>
          <w:color w:val="218A21"/>
          <w:u w:val="single"/>
        </w:rPr>
        <w:t xml:space="preserve">or later than the point at which it </w:t>
      </w:r>
      <w:proofErr w:type="gramStart"/>
      <w:r w:rsidR="0051333A" w:rsidRPr="0051333A">
        <w:rPr>
          <w:rFonts w:eastAsia="TimesNewRoman"/>
          <w:color w:val="218A21"/>
          <w:u w:val="single"/>
        </w:rPr>
        <w:t>actually occurs</w:t>
      </w:r>
      <w:proofErr w:type="gramEnd"/>
      <w:r w:rsidR="0051333A" w:rsidRPr="0051333A">
        <w:rPr>
          <w:rFonts w:eastAsia="TimesNewRoman"/>
          <w:color w:val="218A21"/>
          <w:u w:val="single"/>
        </w:rPr>
        <w:t xml:space="preserve"> and offset the value to compensate for the time difference.</w:t>
      </w:r>
    </w:p>
    <w:p w14:paraId="530C5AC7" w14:textId="77777777" w:rsidR="00EB34F6" w:rsidRDefault="00EB34F6" w:rsidP="00BA5893">
      <w:pPr>
        <w:ind w:left="720"/>
        <w:rPr>
          <w:rFonts w:eastAsia="TimesNewRoman"/>
          <w:color w:val="218A21"/>
          <w:u w:val="single"/>
        </w:rPr>
      </w:pPr>
    </w:p>
    <w:p w14:paraId="07EDC58C" w14:textId="58BEB1FF" w:rsidR="00BA5893" w:rsidRDefault="00252072" w:rsidP="0051333A">
      <w:pPr>
        <w:ind w:left="720"/>
        <w:rPr>
          <w:rFonts w:eastAsia="TimesNewRoman"/>
          <w:color w:val="218A21"/>
          <w:u w:val="single"/>
        </w:rPr>
      </w:pPr>
      <w:r>
        <w:rPr>
          <w:rFonts w:eastAsia="TimesNewRoman"/>
          <w:color w:val="218A21"/>
          <w:u w:val="single"/>
        </w:rPr>
        <w:t xml:space="preserve">Timestamp captures t2 and t4 correspond to the point in time at which </w:t>
      </w:r>
      <w:r w:rsidR="00450D17">
        <w:rPr>
          <w:rFonts w:eastAsia="TimesNewRoman"/>
          <w:color w:val="218A21"/>
          <w:u w:val="single"/>
        </w:rPr>
        <w:t>the start of the preamble for the incoming FTM frame arrives at the receive antenna connector</w:t>
      </w:r>
      <w:r>
        <w:rPr>
          <w:rFonts w:eastAsia="TimesNewRoman"/>
          <w:color w:val="218A21"/>
          <w:u w:val="single"/>
        </w:rPr>
        <w:t xml:space="preserve"> </w:t>
      </w:r>
      <w:r w:rsidR="00450D17">
        <w:rPr>
          <w:rFonts w:eastAsia="TimesNewRoman"/>
          <w:color w:val="218A21"/>
          <w:u w:val="single"/>
        </w:rPr>
        <w:t>(see Figure</w:t>
      </w:r>
      <w:r w:rsidR="00BA5893" w:rsidRPr="00BA5893">
        <w:rPr>
          <w:rFonts w:eastAsia="TimesNewRoman"/>
          <w:color w:val="218A21"/>
          <w:u w:val="single"/>
        </w:rPr>
        <w:t xml:space="preserve"> 11-xx). </w:t>
      </w:r>
      <w:r w:rsidR="0051333A">
        <w:rPr>
          <w:rFonts w:eastAsia="TimesNewRoman"/>
          <w:color w:val="218A21"/>
          <w:u w:val="single"/>
        </w:rPr>
        <w:t xml:space="preserve"> </w:t>
      </w:r>
      <w:r w:rsidR="0051333A" w:rsidRPr="0051333A">
        <w:rPr>
          <w:rFonts w:eastAsia="TimesNewRoman"/>
          <w:color w:val="218A21"/>
          <w:u w:val="single"/>
        </w:rPr>
        <w:t>Because time is needed to detect the frame or the relevant LTF in the preamble and synchronize with its</w:t>
      </w:r>
      <w:r w:rsidR="0051333A">
        <w:rPr>
          <w:rFonts w:eastAsia="TimesNewRoman"/>
          <w:color w:val="218A21"/>
          <w:u w:val="single"/>
        </w:rPr>
        <w:t xml:space="preserve"> </w:t>
      </w:r>
      <w:r w:rsidR="0051333A" w:rsidRPr="0051333A">
        <w:rPr>
          <w:rFonts w:eastAsia="TimesNewRoman"/>
          <w:color w:val="218A21"/>
          <w:u w:val="single"/>
        </w:rPr>
        <w:t>logical structure, an implementation determines when the start of the preamble or the relevant LTF in the preamble for</w:t>
      </w:r>
      <w:r w:rsidR="0051333A">
        <w:rPr>
          <w:rFonts w:eastAsia="TimesNewRoman"/>
          <w:color w:val="218A21"/>
          <w:u w:val="single"/>
        </w:rPr>
        <w:t xml:space="preserve"> </w:t>
      </w:r>
      <w:r w:rsidR="0051333A" w:rsidRPr="0051333A">
        <w:rPr>
          <w:rFonts w:eastAsia="TimesNewRoman"/>
          <w:color w:val="218A21"/>
          <w:u w:val="single"/>
        </w:rPr>
        <w:t xml:space="preserve">the incoming frame arrived at the receive antenna connector by capturing a timestamp </w:t>
      </w:r>
      <w:proofErr w:type="spellStart"/>
      <w:r w:rsidR="0051333A" w:rsidRPr="0051333A">
        <w:rPr>
          <w:rFonts w:eastAsia="TimesNewRoman"/>
          <w:color w:val="218A21"/>
          <w:u w:val="single"/>
        </w:rPr>
        <w:t>some time</w:t>
      </w:r>
      <w:proofErr w:type="spellEnd"/>
      <w:r w:rsidR="0051333A" w:rsidRPr="0051333A">
        <w:rPr>
          <w:rFonts w:eastAsia="TimesNewRoman"/>
          <w:color w:val="218A21"/>
          <w:u w:val="single"/>
        </w:rPr>
        <w:t xml:space="preserve"> after it occurred and</w:t>
      </w:r>
      <w:r w:rsidR="0051333A">
        <w:rPr>
          <w:rFonts w:eastAsia="TimesNewRoman"/>
          <w:color w:val="218A21"/>
          <w:u w:val="single"/>
        </w:rPr>
        <w:t xml:space="preserve"> </w:t>
      </w:r>
      <w:r w:rsidR="0051333A" w:rsidRPr="0051333A">
        <w:rPr>
          <w:rFonts w:eastAsia="TimesNewRoman"/>
          <w:color w:val="218A21"/>
          <w:u w:val="single"/>
        </w:rPr>
        <w:t>compensating for the delay by subtracting an offset from the captured value.</w:t>
      </w:r>
    </w:p>
    <w:p w14:paraId="7E378DA3" w14:textId="77777777" w:rsidR="00947E85" w:rsidRDefault="00947E85" w:rsidP="00BA5893">
      <w:pPr>
        <w:ind w:left="720"/>
        <w:rPr>
          <w:rFonts w:eastAsia="TimesNewRoman"/>
          <w:color w:val="218A21"/>
          <w:u w:val="single"/>
        </w:rPr>
      </w:pPr>
    </w:p>
    <w:p w14:paraId="5338C409" w14:textId="3F8EEC00" w:rsidR="00947E85" w:rsidRPr="00BA5893" w:rsidRDefault="00947E85" w:rsidP="00BA5893">
      <w:pPr>
        <w:ind w:left="720"/>
        <w:rPr>
          <w:rFonts w:eastAsia="TimesNewRoman"/>
          <w:color w:val="218A21"/>
          <w:u w:val="single"/>
        </w:rPr>
      </w:pPr>
      <w:r>
        <w:rPr>
          <w:rFonts w:eastAsia="TimesNewRoman"/>
          <w:noProof/>
          <w:color w:val="218A21"/>
          <w:u w:val="single"/>
        </w:rPr>
        <w:lastRenderedPageBreak/>
        <w:drawing>
          <wp:inline distT="0" distB="0" distL="0" distR="0" wp14:anchorId="55491424" wp14:editId="20E3004A">
            <wp:extent cx="5898515" cy="249618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8515" cy="2496185"/>
                    </a:xfrm>
                    <a:prstGeom prst="rect">
                      <a:avLst/>
                    </a:prstGeom>
                    <a:noFill/>
                    <a:ln>
                      <a:noFill/>
                    </a:ln>
                  </pic:spPr>
                </pic:pic>
              </a:graphicData>
            </a:graphic>
          </wp:inline>
        </w:drawing>
      </w:r>
    </w:p>
    <w:p w14:paraId="69133AC7" w14:textId="77777777" w:rsidR="007A7EFE" w:rsidRDefault="007A7EFE" w:rsidP="007A7EFE"/>
    <w:p w14:paraId="2FBF71C9" w14:textId="3785BFA3" w:rsidR="007A7EFE" w:rsidRPr="0005746C" w:rsidRDefault="00B22214">
      <w:pPr>
        <w:rPr>
          <w:b/>
          <w:bCs/>
          <w:i/>
          <w:iCs/>
        </w:rPr>
      </w:pPr>
      <w:r w:rsidRPr="0005746C">
        <w:rPr>
          <w:b/>
          <w:bCs/>
          <w:i/>
          <w:iCs/>
        </w:rPr>
        <w:t>At P2727.50, add</w:t>
      </w:r>
      <w:r w:rsidR="000C6ABC">
        <w:rPr>
          <w:b/>
          <w:bCs/>
          <w:i/>
          <w:iCs/>
        </w:rPr>
        <w:t xml:space="preserve"> a paragraph, and </w:t>
      </w:r>
      <w:r w:rsidR="000C6ABC" w:rsidRPr="0005746C">
        <w:rPr>
          <w:b/>
          <w:bCs/>
          <w:i/>
          <w:iCs/>
        </w:rPr>
        <w:t>Figure 6-17</w:t>
      </w:r>
      <w:r w:rsidR="000C6ABC">
        <w:rPr>
          <w:b/>
          <w:bCs/>
          <w:i/>
          <w:iCs/>
        </w:rPr>
        <w:t>b</w:t>
      </w:r>
      <w:r w:rsidR="000C6ABC" w:rsidRPr="0005746C">
        <w:rPr>
          <w:b/>
          <w:bCs/>
          <w:i/>
          <w:iCs/>
        </w:rPr>
        <w:t xml:space="preserve"> </w:t>
      </w:r>
      <w:r w:rsidR="000C6ABC">
        <w:rPr>
          <w:b/>
          <w:bCs/>
          <w:i/>
          <w:iCs/>
        </w:rPr>
        <w:t>from 802.11az-</w:t>
      </w:r>
      <w:r w:rsidR="000C6ABC" w:rsidRPr="0005746C">
        <w:rPr>
          <w:b/>
          <w:bCs/>
          <w:i/>
          <w:iCs/>
        </w:rPr>
        <w:t>2022 and renumbered as Figure 11-</w:t>
      </w:r>
      <w:r w:rsidR="000C6ABC">
        <w:rPr>
          <w:b/>
          <w:bCs/>
          <w:i/>
          <w:iCs/>
        </w:rPr>
        <w:t>yy</w:t>
      </w:r>
      <w:r w:rsidR="000C6ABC" w:rsidRPr="0005746C">
        <w:rPr>
          <w:b/>
          <w:bCs/>
          <w:i/>
          <w:iCs/>
        </w:rPr>
        <w:t>,</w:t>
      </w:r>
      <w:r w:rsidRPr="0005746C">
        <w:rPr>
          <w:b/>
          <w:bCs/>
          <w:i/>
          <w:iCs/>
        </w:rPr>
        <w:t xml:space="preserve"> to the end of subclause </w:t>
      </w:r>
      <w:bookmarkStart w:id="0" w:name="_Hlk166161759"/>
      <w:r w:rsidRPr="0005746C">
        <w:rPr>
          <w:b/>
          <w:bCs/>
          <w:i/>
          <w:iCs/>
        </w:rPr>
        <w:t>11.21.6.4</w:t>
      </w:r>
      <w:bookmarkEnd w:id="0"/>
      <w:r w:rsidRPr="0005746C">
        <w:rPr>
          <w:b/>
          <w:bCs/>
          <w:i/>
          <w:iCs/>
        </w:rPr>
        <w:t>.3.1:</w:t>
      </w:r>
    </w:p>
    <w:p w14:paraId="0C18C102" w14:textId="77777777" w:rsidR="00B22214" w:rsidRDefault="00B22214"/>
    <w:p w14:paraId="3A47CF71" w14:textId="54591876" w:rsidR="0005746C" w:rsidRPr="000C6ABC" w:rsidRDefault="000C6ABC" w:rsidP="0005746C">
      <w:pPr>
        <w:ind w:left="720"/>
        <w:rPr>
          <w:rFonts w:eastAsia="TimesNewRoman"/>
          <w:color w:val="218A21"/>
          <w:u w:val="single"/>
        </w:rPr>
      </w:pPr>
      <w:r w:rsidRPr="000C6ABC">
        <w:rPr>
          <w:rFonts w:eastAsia="TimesNewRoman"/>
          <w:color w:val="218A21"/>
          <w:u w:val="single"/>
        </w:rPr>
        <w:t xml:space="preserve">The structure of the FTM protocol </w:t>
      </w:r>
      <w:r>
        <w:rPr>
          <w:rFonts w:eastAsia="TimesNewRoman"/>
          <w:color w:val="218A21"/>
          <w:u w:val="single"/>
        </w:rPr>
        <w:t xml:space="preserve">for a TB ranging measurement exchange </w:t>
      </w:r>
      <w:r w:rsidRPr="000C6ABC">
        <w:rPr>
          <w:rFonts w:eastAsia="TimesNewRoman"/>
          <w:color w:val="218A21"/>
          <w:u w:val="single"/>
        </w:rPr>
        <w:t>and its relationship with the SME and MLME interface is shown in</w:t>
      </w:r>
      <w:r>
        <w:rPr>
          <w:rFonts w:eastAsia="TimesNewRoman"/>
          <w:color w:val="218A21"/>
          <w:u w:val="single"/>
        </w:rPr>
        <w:t xml:space="preserve"> Figure 11-yy.</w:t>
      </w:r>
    </w:p>
    <w:p w14:paraId="761D1662" w14:textId="77777777" w:rsidR="0005746C" w:rsidRDefault="0005746C" w:rsidP="0005746C">
      <w:pPr>
        <w:ind w:left="720"/>
      </w:pPr>
    </w:p>
    <w:p w14:paraId="6626B0E8" w14:textId="1DD5C318" w:rsidR="000C6ABC" w:rsidRDefault="000C6ABC" w:rsidP="0005746C">
      <w:pPr>
        <w:ind w:left="720"/>
      </w:pPr>
      <w:r>
        <w:rPr>
          <w:noProof/>
        </w:rPr>
        <w:drawing>
          <wp:inline distT="0" distB="0" distL="0" distR="0" wp14:anchorId="7B33CF27" wp14:editId="62381DA2">
            <wp:extent cx="5900420" cy="2752725"/>
            <wp:effectExtent l="0" t="0" r="508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0420" cy="2752725"/>
                    </a:xfrm>
                    <a:prstGeom prst="rect">
                      <a:avLst/>
                    </a:prstGeom>
                    <a:noFill/>
                    <a:ln>
                      <a:noFill/>
                    </a:ln>
                  </pic:spPr>
                </pic:pic>
              </a:graphicData>
            </a:graphic>
          </wp:inline>
        </w:drawing>
      </w:r>
    </w:p>
    <w:p w14:paraId="182BAEC9" w14:textId="77777777" w:rsidR="000C6ABC" w:rsidRDefault="000C6ABC" w:rsidP="0005746C">
      <w:pPr>
        <w:ind w:left="720"/>
      </w:pPr>
    </w:p>
    <w:p w14:paraId="115DD4BD" w14:textId="58372C2F" w:rsidR="000C6ABC" w:rsidRPr="0005746C" w:rsidRDefault="000C6ABC" w:rsidP="000C6ABC">
      <w:pPr>
        <w:rPr>
          <w:b/>
          <w:bCs/>
          <w:i/>
          <w:iCs/>
        </w:rPr>
      </w:pPr>
      <w:r w:rsidRPr="0005746C">
        <w:rPr>
          <w:b/>
          <w:bCs/>
          <w:i/>
          <w:iCs/>
        </w:rPr>
        <w:t>At P27</w:t>
      </w:r>
      <w:r>
        <w:rPr>
          <w:b/>
          <w:bCs/>
          <w:i/>
          <w:iCs/>
        </w:rPr>
        <w:t>35</w:t>
      </w:r>
      <w:r w:rsidRPr="0005746C">
        <w:rPr>
          <w:b/>
          <w:bCs/>
          <w:i/>
          <w:iCs/>
        </w:rPr>
        <w:t>.</w:t>
      </w:r>
      <w:r>
        <w:rPr>
          <w:b/>
          <w:bCs/>
          <w:i/>
          <w:iCs/>
        </w:rPr>
        <w:t>24</w:t>
      </w:r>
      <w:r w:rsidRPr="0005746C">
        <w:rPr>
          <w:b/>
          <w:bCs/>
          <w:i/>
          <w:iCs/>
        </w:rPr>
        <w:t>, add</w:t>
      </w:r>
      <w:r>
        <w:rPr>
          <w:b/>
          <w:bCs/>
          <w:i/>
          <w:iCs/>
        </w:rPr>
        <w:t xml:space="preserve"> a paragraph, and </w:t>
      </w:r>
      <w:r w:rsidRPr="0005746C">
        <w:rPr>
          <w:b/>
          <w:bCs/>
          <w:i/>
          <w:iCs/>
        </w:rPr>
        <w:t>Figure 6-17</w:t>
      </w:r>
      <w:r>
        <w:rPr>
          <w:b/>
          <w:bCs/>
          <w:i/>
          <w:iCs/>
        </w:rPr>
        <w:t>a</w:t>
      </w:r>
      <w:r w:rsidRPr="0005746C">
        <w:rPr>
          <w:b/>
          <w:bCs/>
          <w:i/>
          <w:iCs/>
        </w:rPr>
        <w:t xml:space="preserve"> </w:t>
      </w:r>
      <w:r>
        <w:rPr>
          <w:b/>
          <w:bCs/>
          <w:i/>
          <w:iCs/>
        </w:rPr>
        <w:t>from 802.11az-</w:t>
      </w:r>
      <w:r w:rsidRPr="0005746C">
        <w:rPr>
          <w:b/>
          <w:bCs/>
          <w:i/>
          <w:iCs/>
        </w:rPr>
        <w:t>2022 and renumbered as Figure 11-</w:t>
      </w:r>
      <w:r>
        <w:rPr>
          <w:b/>
          <w:bCs/>
          <w:i/>
          <w:iCs/>
        </w:rPr>
        <w:t>zz</w:t>
      </w:r>
      <w:r w:rsidRPr="0005746C">
        <w:rPr>
          <w:b/>
          <w:bCs/>
          <w:i/>
          <w:iCs/>
        </w:rPr>
        <w:t>, to the end of subclause 11.21.6.4.</w:t>
      </w:r>
      <w:r>
        <w:rPr>
          <w:b/>
          <w:bCs/>
          <w:i/>
          <w:iCs/>
        </w:rPr>
        <w:t>4</w:t>
      </w:r>
      <w:r w:rsidRPr="0005746C">
        <w:rPr>
          <w:b/>
          <w:bCs/>
          <w:i/>
          <w:iCs/>
        </w:rPr>
        <w:t>.1:</w:t>
      </w:r>
    </w:p>
    <w:p w14:paraId="57B70258" w14:textId="77777777" w:rsidR="000C6ABC" w:rsidRDefault="000C6ABC" w:rsidP="000C6ABC"/>
    <w:p w14:paraId="22E1BFD7" w14:textId="0D71DDFF" w:rsidR="000C6ABC" w:rsidRPr="000C6ABC" w:rsidRDefault="000C6ABC" w:rsidP="000C6ABC">
      <w:pPr>
        <w:ind w:left="720"/>
        <w:rPr>
          <w:rFonts w:eastAsia="TimesNewRoman"/>
          <w:color w:val="218A21"/>
          <w:u w:val="single"/>
        </w:rPr>
      </w:pPr>
      <w:r w:rsidRPr="000C6ABC">
        <w:rPr>
          <w:rFonts w:eastAsia="TimesNewRoman"/>
          <w:color w:val="218A21"/>
          <w:u w:val="single"/>
        </w:rPr>
        <w:t xml:space="preserve">The structure of the FTM protocol </w:t>
      </w:r>
      <w:r>
        <w:rPr>
          <w:rFonts w:eastAsia="TimesNewRoman"/>
          <w:color w:val="218A21"/>
          <w:u w:val="single"/>
        </w:rPr>
        <w:t xml:space="preserve">for a </w:t>
      </w:r>
      <w:r>
        <w:rPr>
          <w:rFonts w:eastAsia="TimesNewRoman"/>
          <w:color w:val="218A21"/>
          <w:u w:val="single"/>
        </w:rPr>
        <w:t>non-</w:t>
      </w:r>
      <w:r>
        <w:rPr>
          <w:rFonts w:eastAsia="TimesNewRoman"/>
          <w:color w:val="218A21"/>
          <w:u w:val="single"/>
        </w:rPr>
        <w:t xml:space="preserve">TB ranging measurement exchange </w:t>
      </w:r>
      <w:r w:rsidRPr="000C6ABC">
        <w:rPr>
          <w:rFonts w:eastAsia="TimesNewRoman"/>
          <w:color w:val="218A21"/>
          <w:u w:val="single"/>
        </w:rPr>
        <w:t>and its relationship with the SME and MLME interface is shown in</w:t>
      </w:r>
      <w:r>
        <w:rPr>
          <w:rFonts w:eastAsia="TimesNewRoman"/>
          <w:color w:val="218A21"/>
          <w:u w:val="single"/>
        </w:rPr>
        <w:t xml:space="preserve"> Figure 11-</w:t>
      </w:r>
      <w:r>
        <w:rPr>
          <w:rFonts w:eastAsia="TimesNewRoman"/>
          <w:color w:val="218A21"/>
          <w:u w:val="single"/>
        </w:rPr>
        <w:t>zz</w:t>
      </w:r>
      <w:r>
        <w:rPr>
          <w:rFonts w:eastAsia="TimesNewRoman"/>
          <w:color w:val="218A21"/>
          <w:u w:val="single"/>
        </w:rPr>
        <w:t>.</w:t>
      </w:r>
    </w:p>
    <w:p w14:paraId="498954BA" w14:textId="77777777" w:rsidR="000C6ABC" w:rsidRDefault="000C6ABC" w:rsidP="000C6ABC">
      <w:pPr>
        <w:ind w:left="720"/>
      </w:pPr>
    </w:p>
    <w:p w14:paraId="0DCD2659" w14:textId="332067BB" w:rsidR="000C6ABC" w:rsidRDefault="000C6ABC" w:rsidP="000C6ABC">
      <w:pPr>
        <w:ind w:left="720"/>
      </w:pPr>
      <w:r>
        <w:rPr>
          <w:noProof/>
        </w:rPr>
        <w:lastRenderedPageBreak/>
        <w:drawing>
          <wp:inline distT="0" distB="0" distL="0" distR="0" wp14:anchorId="5914B68D" wp14:editId="7B84DD08">
            <wp:extent cx="5900420" cy="2473960"/>
            <wp:effectExtent l="0" t="0" r="508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0420" cy="2473960"/>
                    </a:xfrm>
                    <a:prstGeom prst="rect">
                      <a:avLst/>
                    </a:prstGeom>
                    <a:noFill/>
                    <a:ln>
                      <a:noFill/>
                    </a:ln>
                  </pic:spPr>
                </pic:pic>
              </a:graphicData>
            </a:graphic>
          </wp:inline>
        </w:drawing>
      </w:r>
    </w:p>
    <w:p w14:paraId="60A7414A" w14:textId="77777777" w:rsidR="000C6ABC" w:rsidRDefault="000C6ABC" w:rsidP="000C6ABC"/>
    <w:p w14:paraId="4E602BE5" w14:textId="77777777" w:rsidR="000C6ABC" w:rsidRDefault="000C6ABC" w:rsidP="000C6ABC"/>
    <w:p w14:paraId="36368F46" w14:textId="353B7553" w:rsidR="000C6ABC" w:rsidRPr="0005746C" w:rsidRDefault="000C6ABC" w:rsidP="000C6ABC">
      <w:pPr>
        <w:rPr>
          <w:b/>
          <w:bCs/>
          <w:i/>
          <w:iCs/>
        </w:rPr>
      </w:pPr>
      <w:r w:rsidRPr="0005746C">
        <w:rPr>
          <w:b/>
          <w:bCs/>
          <w:i/>
          <w:iCs/>
        </w:rPr>
        <w:t>At P2727.50, add</w:t>
      </w:r>
      <w:r>
        <w:rPr>
          <w:b/>
          <w:bCs/>
          <w:i/>
          <w:iCs/>
        </w:rPr>
        <w:t xml:space="preserve"> a paragraph, and </w:t>
      </w:r>
      <w:r w:rsidRPr="0005746C">
        <w:rPr>
          <w:b/>
          <w:bCs/>
          <w:i/>
          <w:iCs/>
        </w:rPr>
        <w:t>Figure 6-17</w:t>
      </w:r>
      <w:r w:rsidR="007E50C8">
        <w:rPr>
          <w:b/>
          <w:bCs/>
          <w:i/>
          <w:iCs/>
        </w:rPr>
        <w:t>c</w:t>
      </w:r>
      <w:r w:rsidRPr="0005746C">
        <w:rPr>
          <w:b/>
          <w:bCs/>
          <w:i/>
          <w:iCs/>
        </w:rPr>
        <w:t xml:space="preserve"> </w:t>
      </w:r>
      <w:r>
        <w:rPr>
          <w:b/>
          <w:bCs/>
          <w:i/>
          <w:iCs/>
        </w:rPr>
        <w:t>from 802.11az-</w:t>
      </w:r>
      <w:r w:rsidRPr="0005746C">
        <w:rPr>
          <w:b/>
          <w:bCs/>
          <w:i/>
          <w:iCs/>
        </w:rPr>
        <w:t>2022 and renumbered as Figure 11-</w:t>
      </w:r>
      <w:r w:rsidR="007E50C8">
        <w:rPr>
          <w:b/>
          <w:bCs/>
          <w:i/>
          <w:iCs/>
        </w:rPr>
        <w:t>qq</w:t>
      </w:r>
      <w:r w:rsidRPr="0005746C">
        <w:rPr>
          <w:b/>
          <w:bCs/>
          <w:i/>
          <w:iCs/>
        </w:rPr>
        <w:t>, to the end of subclause 11.21.6.4.</w:t>
      </w:r>
      <w:r w:rsidR="007E50C8">
        <w:rPr>
          <w:b/>
          <w:bCs/>
          <w:i/>
          <w:iCs/>
        </w:rPr>
        <w:t>8</w:t>
      </w:r>
      <w:r w:rsidRPr="0005746C">
        <w:rPr>
          <w:b/>
          <w:bCs/>
          <w:i/>
          <w:iCs/>
        </w:rPr>
        <w:t>.1:</w:t>
      </w:r>
    </w:p>
    <w:p w14:paraId="66235176" w14:textId="77777777" w:rsidR="000C6ABC" w:rsidRDefault="000C6ABC" w:rsidP="000C6ABC"/>
    <w:p w14:paraId="73F8FE52" w14:textId="72303931" w:rsidR="000C6ABC" w:rsidRPr="000C6ABC" w:rsidRDefault="000C6ABC" w:rsidP="000C6ABC">
      <w:pPr>
        <w:ind w:left="720"/>
        <w:rPr>
          <w:rFonts w:eastAsia="TimesNewRoman"/>
          <w:color w:val="218A21"/>
          <w:u w:val="single"/>
        </w:rPr>
      </w:pPr>
      <w:r w:rsidRPr="000C6ABC">
        <w:rPr>
          <w:rFonts w:eastAsia="TimesNewRoman"/>
          <w:color w:val="218A21"/>
          <w:u w:val="single"/>
        </w:rPr>
        <w:t xml:space="preserve">The structure of the FTM protocol </w:t>
      </w:r>
      <w:r>
        <w:rPr>
          <w:rFonts w:eastAsia="TimesNewRoman"/>
          <w:color w:val="218A21"/>
          <w:u w:val="single"/>
        </w:rPr>
        <w:t xml:space="preserve">for a </w:t>
      </w:r>
      <w:r w:rsidR="007E50C8">
        <w:rPr>
          <w:rFonts w:eastAsia="TimesNewRoman"/>
          <w:color w:val="218A21"/>
          <w:u w:val="single"/>
        </w:rPr>
        <w:t xml:space="preserve">passive </w:t>
      </w:r>
      <w:r>
        <w:rPr>
          <w:rFonts w:eastAsia="TimesNewRoman"/>
          <w:color w:val="218A21"/>
          <w:u w:val="single"/>
        </w:rPr>
        <w:t xml:space="preserve">TB ranging measurement exchange </w:t>
      </w:r>
      <w:r w:rsidRPr="000C6ABC">
        <w:rPr>
          <w:rFonts w:eastAsia="TimesNewRoman"/>
          <w:color w:val="218A21"/>
          <w:u w:val="single"/>
        </w:rPr>
        <w:t>and its relationship with the SME and MLME interface is shown in</w:t>
      </w:r>
      <w:r>
        <w:rPr>
          <w:rFonts w:eastAsia="TimesNewRoman"/>
          <w:color w:val="218A21"/>
          <w:u w:val="single"/>
        </w:rPr>
        <w:t xml:space="preserve"> Figure 11-</w:t>
      </w:r>
      <w:r w:rsidR="00FC1CC3">
        <w:rPr>
          <w:rFonts w:eastAsia="TimesNewRoman"/>
          <w:color w:val="218A21"/>
          <w:u w:val="single"/>
        </w:rPr>
        <w:t>qq</w:t>
      </w:r>
      <w:r>
        <w:rPr>
          <w:rFonts w:eastAsia="TimesNewRoman"/>
          <w:color w:val="218A21"/>
          <w:u w:val="single"/>
        </w:rPr>
        <w:t>.</w:t>
      </w:r>
    </w:p>
    <w:p w14:paraId="3241838E" w14:textId="77777777" w:rsidR="000C6ABC" w:rsidRDefault="000C6ABC" w:rsidP="000C6ABC">
      <w:pPr>
        <w:ind w:left="720"/>
      </w:pPr>
    </w:p>
    <w:p w14:paraId="3D592938" w14:textId="25989F5E" w:rsidR="00FC1CC3" w:rsidRDefault="00FC1CC3" w:rsidP="000C6ABC">
      <w:pPr>
        <w:ind w:left="720"/>
      </w:pPr>
      <w:r>
        <w:rPr>
          <w:noProof/>
        </w:rPr>
        <w:drawing>
          <wp:inline distT="0" distB="0" distL="0" distR="0" wp14:anchorId="636DA9A4" wp14:editId="62A9C287">
            <wp:extent cx="5900420" cy="2964815"/>
            <wp:effectExtent l="0" t="0" r="508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0420" cy="2964815"/>
                    </a:xfrm>
                    <a:prstGeom prst="rect">
                      <a:avLst/>
                    </a:prstGeom>
                    <a:noFill/>
                    <a:ln>
                      <a:noFill/>
                    </a:ln>
                  </pic:spPr>
                </pic:pic>
              </a:graphicData>
            </a:graphic>
          </wp:inline>
        </w:drawing>
      </w:r>
    </w:p>
    <w:p w14:paraId="1CB0659A" w14:textId="77777777" w:rsidR="000C6ABC" w:rsidRDefault="000C6ABC" w:rsidP="000C6ABC"/>
    <w:p w14:paraId="4EEDE753" w14:textId="45F22909" w:rsidR="00B12ADD" w:rsidRDefault="00712751" w:rsidP="00216EE6">
      <w:r>
        <w:br w:type="page"/>
      </w:r>
    </w:p>
    <w:p w14:paraId="5262F755" w14:textId="4A6C0278" w:rsidR="00712751" w:rsidRPr="00FC6B31" w:rsidRDefault="005F5224">
      <w:pPr>
        <w:rPr>
          <w:b/>
          <w:bCs/>
          <w:sz w:val="32"/>
          <w:szCs w:val="32"/>
        </w:rPr>
      </w:pPr>
      <w:r w:rsidRPr="00FC6B31">
        <w:rPr>
          <w:b/>
          <w:bCs/>
          <w:sz w:val="32"/>
          <w:szCs w:val="32"/>
        </w:rPr>
        <w:lastRenderedPageBreak/>
        <w:t>Not ready yet:</w:t>
      </w:r>
    </w:p>
    <w:p w14:paraId="7E19DCD9" w14:textId="77777777" w:rsidR="00B12ADD" w:rsidRDefault="00B12ADD">
      <w:pPr>
        <w:rPr>
          <w:b/>
          <w:bCs/>
        </w:rPr>
      </w:pPr>
    </w:p>
    <w:p w14:paraId="1D0FEB31" w14:textId="77777777" w:rsidR="005F5224" w:rsidRDefault="005F5224"/>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5F5224" w:rsidRPr="00B173D7" w14:paraId="1AFA224A" w14:textId="77777777" w:rsidTr="00BF39E4">
        <w:trPr>
          <w:trHeight w:val="373"/>
          <w:jc w:val="center"/>
        </w:trPr>
        <w:tc>
          <w:tcPr>
            <w:tcW w:w="805" w:type="dxa"/>
          </w:tcPr>
          <w:p w14:paraId="246C0AC3"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5FE5937C"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0557E22E" w14:textId="77777777" w:rsidR="005F5224" w:rsidRPr="00B173D7" w:rsidRDefault="005F5224"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178CA1EE"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092CE92D"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5F5224" w:rsidRPr="00755349" w14:paraId="0FD08A7C" w14:textId="77777777" w:rsidTr="00BF39E4">
        <w:trPr>
          <w:trHeight w:val="1002"/>
          <w:jc w:val="center"/>
        </w:trPr>
        <w:tc>
          <w:tcPr>
            <w:tcW w:w="805" w:type="dxa"/>
          </w:tcPr>
          <w:p w14:paraId="09023A8A" w14:textId="77777777" w:rsidR="005F5224" w:rsidRDefault="005F5224" w:rsidP="00BF39E4">
            <w:pPr>
              <w:rPr>
                <w:bCs/>
                <w:color w:val="000000" w:themeColor="text1"/>
              </w:rPr>
            </w:pPr>
            <w:r w:rsidRPr="00687D0F">
              <w:rPr>
                <w:bCs/>
                <w:color w:val="000000" w:themeColor="text1"/>
              </w:rPr>
              <w:t>7105</w:t>
            </w:r>
          </w:p>
        </w:tc>
        <w:tc>
          <w:tcPr>
            <w:tcW w:w="1080" w:type="dxa"/>
            <w:shd w:val="clear" w:color="auto" w:fill="FFFFFF"/>
          </w:tcPr>
          <w:p w14:paraId="358C88D0" w14:textId="77777777" w:rsidR="005F5224" w:rsidRDefault="005F5224" w:rsidP="00BF39E4">
            <w:pPr>
              <w:rPr>
                <w:bCs/>
                <w:color w:val="000000" w:themeColor="text1"/>
              </w:rPr>
            </w:pPr>
            <w:r>
              <w:rPr>
                <w:rFonts w:ascii="Arial" w:hAnsi="Arial" w:cs="Arial"/>
                <w:color w:val="000000"/>
                <w:sz w:val="20"/>
                <w:szCs w:val="20"/>
              </w:rPr>
              <w:t>9.3.3.5</w:t>
            </w:r>
          </w:p>
        </w:tc>
        <w:tc>
          <w:tcPr>
            <w:tcW w:w="990" w:type="dxa"/>
            <w:shd w:val="clear" w:color="auto" w:fill="FFFFFF"/>
          </w:tcPr>
          <w:p w14:paraId="6B6974BE" w14:textId="77777777" w:rsidR="005F5224" w:rsidRDefault="005F5224" w:rsidP="00BF39E4">
            <w:pPr>
              <w:rPr>
                <w:bCs/>
                <w:color w:val="000000" w:themeColor="text1"/>
              </w:rPr>
            </w:pPr>
            <w:r>
              <w:rPr>
                <w:rFonts w:ascii="Arial" w:hAnsi="Arial" w:cs="Arial"/>
                <w:color w:val="000000"/>
                <w:sz w:val="20"/>
                <w:szCs w:val="20"/>
              </w:rPr>
              <w:t>738.20</w:t>
            </w:r>
          </w:p>
        </w:tc>
        <w:tc>
          <w:tcPr>
            <w:tcW w:w="3420" w:type="dxa"/>
            <w:shd w:val="clear" w:color="auto" w:fill="FFFFFF"/>
          </w:tcPr>
          <w:p w14:paraId="47B08D6A" w14:textId="77777777" w:rsidR="005F5224" w:rsidRPr="00755349" w:rsidRDefault="005F5224" w:rsidP="00BF39E4">
            <w:pPr>
              <w:rPr>
                <w:bCs/>
                <w:color w:val="000000" w:themeColor="text1"/>
              </w:rPr>
            </w:pPr>
            <w:r>
              <w:rPr>
                <w:rFonts w:ascii="Arial" w:hAnsi="Arial" w:cs="Arial"/>
                <w:color w:val="000000"/>
                <w:sz w:val="20"/>
                <w:szCs w:val="20"/>
              </w:rPr>
              <w:t xml:space="preserve">What does "ought" </w:t>
            </w:r>
            <w:proofErr w:type="gramStart"/>
            <w:r>
              <w:rPr>
                <w:rFonts w:ascii="Arial" w:hAnsi="Arial" w:cs="Arial"/>
                <w:color w:val="000000"/>
                <w:sz w:val="20"/>
                <w:szCs w:val="20"/>
              </w:rPr>
              <w:t>mean</w:t>
            </w:r>
            <w:proofErr w:type="gramEnd"/>
            <w:r>
              <w:rPr>
                <w:rFonts w:ascii="Arial" w:hAnsi="Arial" w:cs="Arial"/>
                <w:color w:val="000000"/>
                <w:sz w:val="20"/>
                <w:szCs w:val="20"/>
              </w:rPr>
              <w:t xml:space="preserve"> in this context? "Should"?? "Shall"?? Something non-normative?? Yes, clause 9 is generally not supposed to use normative verbs, but here the intent is now entirely unclear.</w:t>
            </w:r>
          </w:p>
        </w:tc>
        <w:tc>
          <w:tcPr>
            <w:tcW w:w="3870" w:type="dxa"/>
            <w:shd w:val="clear" w:color="auto" w:fill="FFFFFF"/>
          </w:tcPr>
          <w:p w14:paraId="5B2E0707" w14:textId="77777777" w:rsidR="005F5224" w:rsidRPr="00755349" w:rsidRDefault="005F5224" w:rsidP="00BF39E4">
            <w:pPr>
              <w:rPr>
                <w:bCs/>
              </w:rPr>
            </w:pPr>
            <w:r>
              <w:rPr>
                <w:rFonts w:ascii="Arial" w:hAnsi="Arial" w:cs="Arial"/>
                <w:color w:val="000000"/>
                <w:sz w:val="20"/>
                <w:szCs w:val="20"/>
              </w:rPr>
              <w:t>Replace "ought" with understandable phrasing. Same thing at P738.31, P741.57, P742.11, P746.48, P746.59, P752.17, P752.28, P757.16, P757.29, P760.16, and P761.11.</w:t>
            </w:r>
          </w:p>
        </w:tc>
      </w:tr>
      <w:tr w:rsidR="00342452" w:rsidRPr="00755349" w14:paraId="14F22673" w14:textId="77777777" w:rsidTr="00BF39E4">
        <w:trPr>
          <w:trHeight w:val="1002"/>
          <w:jc w:val="center"/>
        </w:trPr>
        <w:tc>
          <w:tcPr>
            <w:tcW w:w="805" w:type="dxa"/>
          </w:tcPr>
          <w:p w14:paraId="57E62A4C" w14:textId="28B9B816" w:rsidR="00342452" w:rsidRDefault="00342452" w:rsidP="00342452">
            <w:pPr>
              <w:rPr>
                <w:bCs/>
                <w:color w:val="000000" w:themeColor="text1"/>
              </w:rPr>
            </w:pPr>
            <w:commentRangeStart w:id="1"/>
            <w:commentRangeStart w:id="2"/>
            <w:r>
              <w:rPr>
                <w:bCs/>
                <w:color w:val="000000" w:themeColor="text1"/>
              </w:rPr>
              <w:t>7115</w:t>
            </w:r>
            <w:commentRangeEnd w:id="1"/>
            <w:r w:rsidR="00F94EDB">
              <w:rPr>
                <w:rStyle w:val="CommentReference"/>
              </w:rPr>
              <w:commentReference w:id="1"/>
            </w:r>
            <w:commentRangeEnd w:id="2"/>
            <w:r w:rsidR="000D1D90">
              <w:rPr>
                <w:rStyle w:val="CommentReference"/>
              </w:rPr>
              <w:commentReference w:id="2"/>
            </w:r>
          </w:p>
        </w:tc>
        <w:tc>
          <w:tcPr>
            <w:tcW w:w="1080" w:type="dxa"/>
            <w:shd w:val="clear" w:color="auto" w:fill="FFFFFF"/>
          </w:tcPr>
          <w:p w14:paraId="33F17AF4" w14:textId="77D7E135" w:rsidR="00342452" w:rsidRDefault="00342452" w:rsidP="00342452">
            <w:pPr>
              <w:rPr>
                <w:rFonts w:ascii="Arial" w:hAnsi="Arial" w:cs="Arial"/>
                <w:color w:val="000000"/>
                <w:sz w:val="20"/>
                <w:szCs w:val="20"/>
              </w:rPr>
            </w:pPr>
            <w:r>
              <w:rPr>
                <w:rFonts w:ascii="Arial" w:hAnsi="Arial" w:cs="Arial"/>
                <w:color w:val="000000"/>
                <w:sz w:val="20"/>
                <w:szCs w:val="20"/>
              </w:rPr>
              <w:t>C.1</w:t>
            </w:r>
          </w:p>
        </w:tc>
        <w:tc>
          <w:tcPr>
            <w:tcW w:w="990" w:type="dxa"/>
            <w:shd w:val="clear" w:color="auto" w:fill="FFFFFF"/>
          </w:tcPr>
          <w:p w14:paraId="5206B835" w14:textId="2FE79774" w:rsidR="00342452" w:rsidRDefault="00342452" w:rsidP="00342452">
            <w:pPr>
              <w:rPr>
                <w:rFonts w:ascii="Arial" w:hAnsi="Arial" w:cs="Arial"/>
                <w:color w:val="000000"/>
                <w:sz w:val="20"/>
                <w:szCs w:val="20"/>
              </w:rPr>
            </w:pPr>
            <w:r>
              <w:rPr>
                <w:rFonts w:ascii="Arial" w:hAnsi="Arial" w:cs="Arial"/>
                <w:color w:val="000000"/>
                <w:sz w:val="20"/>
                <w:szCs w:val="20"/>
              </w:rPr>
              <w:t>5252.24</w:t>
            </w:r>
          </w:p>
        </w:tc>
        <w:tc>
          <w:tcPr>
            <w:tcW w:w="3420" w:type="dxa"/>
            <w:shd w:val="clear" w:color="auto" w:fill="FFFFFF"/>
          </w:tcPr>
          <w:p w14:paraId="66D5B3BA" w14:textId="62AA17E1" w:rsidR="00342452" w:rsidRDefault="00342452" w:rsidP="00342452">
            <w:pPr>
              <w:rPr>
                <w:rFonts w:ascii="Arial" w:hAnsi="Arial" w:cs="Arial"/>
                <w:color w:val="000000"/>
                <w:sz w:val="20"/>
                <w:szCs w:val="20"/>
              </w:rPr>
            </w:pPr>
            <w:r>
              <w:rPr>
                <w:rFonts w:ascii="Arial" w:hAnsi="Arial" w:cs="Arial"/>
                <w:color w:val="000000"/>
                <w:sz w:val="20"/>
                <w:szCs w:val="20"/>
              </w:rPr>
              <w:t xml:space="preserve">Which attributes only apply to the link with the AP? Do some </w:t>
            </w:r>
            <w:proofErr w:type="spellStart"/>
            <w:r>
              <w:rPr>
                <w:rFonts w:ascii="Arial" w:hAnsi="Arial" w:cs="Arial"/>
                <w:color w:val="000000"/>
                <w:sz w:val="20"/>
                <w:szCs w:val="20"/>
              </w:rPr>
              <w:t>atrributes</w:t>
            </w:r>
            <w:proofErr w:type="spellEnd"/>
            <w:r>
              <w:rPr>
                <w:rFonts w:ascii="Arial" w:hAnsi="Arial" w:cs="Arial"/>
                <w:color w:val="000000"/>
                <w:sz w:val="20"/>
                <w:szCs w:val="20"/>
              </w:rPr>
              <w:t xml:space="preserve"> only apply to the direct link then (and not the link with the AP), or even not to non-TDLS operation? This information should be in the DESCRIPTION of the affected attributes, not a hand-wave at the start of Annex C.</w:t>
            </w:r>
          </w:p>
        </w:tc>
        <w:tc>
          <w:tcPr>
            <w:tcW w:w="3870" w:type="dxa"/>
            <w:shd w:val="clear" w:color="auto" w:fill="FFFFFF"/>
          </w:tcPr>
          <w:p w14:paraId="1D2D36F8" w14:textId="77777777" w:rsidR="00342452" w:rsidRDefault="00342452" w:rsidP="00342452">
            <w:pPr>
              <w:rPr>
                <w:rFonts w:ascii="Arial" w:hAnsi="Arial" w:cs="Arial"/>
                <w:color w:val="000000"/>
                <w:sz w:val="20"/>
                <w:szCs w:val="20"/>
              </w:rPr>
            </w:pPr>
            <w:r>
              <w:rPr>
                <w:rFonts w:ascii="Arial" w:hAnsi="Arial" w:cs="Arial"/>
                <w:color w:val="000000"/>
                <w:sz w:val="20"/>
                <w:szCs w:val="20"/>
              </w:rPr>
              <w:t>As in comment.</w:t>
            </w:r>
          </w:p>
          <w:p w14:paraId="79A45C97" w14:textId="77777777" w:rsidR="00C840D9" w:rsidRDefault="00C840D9" w:rsidP="00342452">
            <w:pPr>
              <w:rPr>
                <w:rFonts w:ascii="Arial" w:hAnsi="Arial" w:cs="Arial"/>
                <w:color w:val="000000"/>
                <w:sz w:val="20"/>
                <w:szCs w:val="20"/>
              </w:rPr>
            </w:pPr>
          </w:p>
          <w:p w14:paraId="32AA5F62" w14:textId="77777777" w:rsidR="00C840D9" w:rsidRDefault="00C840D9" w:rsidP="00C840D9">
            <w:pPr>
              <w:autoSpaceDE w:val="0"/>
              <w:autoSpaceDN w:val="0"/>
              <w:adjustRightInd w:val="0"/>
              <w:rPr>
                <w:rFonts w:ascii="CourierNew" w:hAnsi="CourierNew" w:cs="CourierNew"/>
                <w:sz w:val="18"/>
                <w:szCs w:val="18"/>
              </w:rPr>
            </w:pPr>
            <w:r>
              <w:rPr>
                <w:rFonts w:ascii="Arial" w:hAnsi="Arial" w:cs="Arial"/>
                <w:color w:val="000000"/>
                <w:sz w:val="20"/>
                <w:szCs w:val="20"/>
              </w:rPr>
              <w:t xml:space="preserve">Attributes are: </w:t>
            </w:r>
            <w:r>
              <w:rPr>
                <w:rFonts w:ascii="CourierNew" w:hAnsi="CourierNew" w:cs="CourierNew"/>
                <w:sz w:val="18"/>
                <w:szCs w:val="18"/>
              </w:rPr>
              <w:t>dot11TDLSPeerUAPSDBufferSTAActivated,</w:t>
            </w:r>
          </w:p>
          <w:p w14:paraId="4D1A0BC4"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dot11TDLSPeerPSMActivated,</w:t>
            </w:r>
          </w:p>
          <w:p w14:paraId="7B423DE2"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dot11TDLSPeerUAPSDIndicationWindow,</w:t>
            </w:r>
          </w:p>
          <w:p w14:paraId="374D0595"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dot11TDLSChannelSwitchingActivated,</w:t>
            </w:r>
          </w:p>
          <w:p w14:paraId="20DBEFFC"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dot11TDLSPeerSTAMissingAckRetryLimit,</w:t>
            </w:r>
          </w:p>
          <w:p w14:paraId="30925BA2"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dot11TDLSResponseTimeout,</w:t>
            </w:r>
          </w:p>
          <w:p w14:paraId="79D21B75"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dot11OCBActivated,</w:t>
            </w:r>
          </w:p>
          <w:p w14:paraId="0C744DE5" w14:textId="77777777" w:rsidR="00C840D9" w:rsidRDefault="00C840D9" w:rsidP="00C840D9">
            <w:pPr>
              <w:autoSpaceDE w:val="0"/>
              <w:autoSpaceDN w:val="0"/>
              <w:adjustRightInd w:val="0"/>
              <w:rPr>
                <w:rFonts w:ascii="CourierNew" w:hAnsi="CourierNew" w:cs="CourierNew"/>
                <w:sz w:val="18"/>
                <w:szCs w:val="18"/>
              </w:rPr>
            </w:pPr>
            <w:r>
              <w:rPr>
                <w:rFonts w:ascii="CourierNew" w:hAnsi="CourierNew" w:cs="CourierNew"/>
                <w:sz w:val="18"/>
                <w:szCs w:val="18"/>
              </w:rPr>
              <w:t>dot11TDLSNavSync,</w:t>
            </w:r>
          </w:p>
          <w:p w14:paraId="2F5CC4AE" w14:textId="64DCFD5E" w:rsidR="00C840D9" w:rsidRDefault="00C840D9" w:rsidP="00C840D9">
            <w:pPr>
              <w:rPr>
                <w:rFonts w:ascii="Arial" w:hAnsi="Arial" w:cs="Arial"/>
                <w:color w:val="000000"/>
                <w:sz w:val="20"/>
                <w:szCs w:val="20"/>
              </w:rPr>
            </w:pPr>
            <w:r>
              <w:rPr>
                <w:rFonts w:ascii="CourierNew" w:hAnsi="CourierNew" w:cs="CourierNew"/>
                <w:sz w:val="18"/>
                <w:szCs w:val="18"/>
              </w:rPr>
              <w:t>dot11TDLSACDeterminationInterval</w:t>
            </w:r>
          </w:p>
        </w:tc>
      </w:tr>
      <w:tr w:rsidR="00342452" w:rsidRPr="00755349" w14:paraId="56A089C4" w14:textId="77777777" w:rsidTr="00BF39E4">
        <w:trPr>
          <w:trHeight w:val="1002"/>
          <w:jc w:val="center"/>
        </w:trPr>
        <w:tc>
          <w:tcPr>
            <w:tcW w:w="805" w:type="dxa"/>
          </w:tcPr>
          <w:p w14:paraId="27AA185F" w14:textId="67D20263" w:rsidR="00342452" w:rsidRDefault="00342452" w:rsidP="00342452">
            <w:pPr>
              <w:rPr>
                <w:bCs/>
                <w:color w:val="000000" w:themeColor="text1"/>
              </w:rPr>
            </w:pPr>
            <w:commentRangeStart w:id="3"/>
            <w:r>
              <w:rPr>
                <w:bCs/>
                <w:color w:val="000000" w:themeColor="text1"/>
              </w:rPr>
              <w:t>7103</w:t>
            </w:r>
            <w:commentRangeEnd w:id="3"/>
            <w:r w:rsidR="005A784B">
              <w:rPr>
                <w:rStyle w:val="CommentReference"/>
              </w:rPr>
              <w:commentReference w:id="3"/>
            </w:r>
          </w:p>
        </w:tc>
        <w:tc>
          <w:tcPr>
            <w:tcW w:w="1080" w:type="dxa"/>
            <w:shd w:val="clear" w:color="auto" w:fill="FFFFFF"/>
          </w:tcPr>
          <w:p w14:paraId="4375C24A" w14:textId="7EB2762A" w:rsidR="00342452" w:rsidRDefault="00342452" w:rsidP="00342452">
            <w:pPr>
              <w:rPr>
                <w:rFonts w:ascii="Arial" w:hAnsi="Arial" w:cs="Arial"/>
                <w:color w:val="000000"/>
                <w:sz w:val="20"/>
                <w:szCs w:val="20"/>
              </w:rPr>
            </w:pPr>
            <w:r>
              <w:rPr>
                <w:rFonts w:ascii="Arial" w:hAnsi="Arial" w:cs="Arial"/>
                <w:color w:val="000000"/>
                <w:sz w:val="20"/>
                <w:szCs w:val="20"/>
              </w:rPr>
              <w:t>M.1</w:t>
            </w:r>
          </w:p>
        </w:tc>
        <w:tc>
          <w:tcPr>
            <w:tcW w:w="990" w:type="dxa"/>
            <w:shd w:val="clear" w:color="auto" w:fill="FFFFFF"/>
          </w:tcPr>
          <w:p w14:paraId="17AB5931" w14:textId="1F6C202C" w:rsidR="00342452" w:rsidRDefault="00342452" w:rsidP="00342452">
            <w:pPr>
              <w:rPr>
                <w:rFonts w:ascii="Arial" w:hAnsi="Arial" w:cs="Arial"/>
                <w:color w:val="000000"/>
                <w:sz w:val="20"/>
                <w:szCs w:val="20"/>
              </w:rPr>
            </w:pPr>
            <w:r>
              <w:rPr>
                <w:rFonts w:ascii="Arial" w:hAnsi="Arial" w:cs="Arial"/>
                <w:color w:val="000000"/>
                <w:sz w:val="20"/>
                <w:szCs w:val="20"/>
              </w:rPr>
              <w:t>6103.19</w:t>
            </w:r>
          </w:p>
        </w:tc>
        <w:tc>
          <w:tcPr>
            <w:tcW w:w="3420" w:type="dxa"/>
            <w:shd w:val="clear" w:color="auto" w:fill="FFFFFF"/>
          </w:tcPr>
          <w:p w14:paraId="23896B25" w14:textId="121AF5A7" w:rsidR="00342452" w:rsidRDefault="00342452" w:rsidP="00342452">
            <w:pPr>
              <w:rPr>
                <w:rFonts w:ascii="Arial" w:hAnsi="Arial" w:cs="Arial"/>
                <w:color w:val="000000"/>
                <w:sz w:val="20"/>
                <w:szCs w:val="20"/>
              </w:rPr>
            </w:pPr>
            <w:r>
              <w:rPr>
                <w:rFonts w:ascii="Arial" w:hAnsi="Arial" w:cs="Arial"/>
                <w:color w:val="000000"/>
                <w:sz w:val="20"/>
                <w:szCs w:val="20"/>
              </w:rPr>
              <w:t>"As specified in IEEE Std 802, EPD encoding always starts with a Length/Type field…" IEEE Std 802 doesn't say that. In fact, IEEE Std 802's subclause on encoding is being re-written to clarify all the options for both EPD and LPD. This text needs to align.</w:t>
            </w:r>
          </w:p>
        </w:tc>
        <w:tc>
          <w:tcPr>
            <w:tcW w:w="3870" w:type="dxa"/>
            <w:shd w:val="clear" w:color="auto" w:fill="FFFFFF"/>
          </w:tcPr>
          <w:p w14:paraId="69E022B6" w14:textId="2F4ECDF4" w:rsidR="00342452" w:rsidRDefault="00342452" w:rsidP="00342452">
            <w:pPr>
              <w:rPr>
                <w:rFonts w:ascii="Arial" w:hAnsi="Arial" w:cs="Arial"/>
                <w:color w:val="000000"/>
                <w:sz w:val="20"/>
                <w:szCs w:val="20"/>
              </w:rPr>
            </w:pPr>
            <w:r>
              <w:rPr>
                <w:rFonts w:ascii="Arial" w:hAnsi="Arial" w:cs="Arial"/>
                <w:color w:val="000000"/>
                <w:sz w:val="20"/>
                <w:szCs w:val="20"/>
              </w:rPr>
              <w:t xml:space="preserve">(As IEEE Std 802 language </w:t>
            </w:r>
            <w:proofErr w:type="spellStart"/>
            <w:r>
              <w:rPr>
                <w:rFonts w:ascii="Arial" w:hAnsi="Arial" w:cs="Arial"/>
                <w:color w:val="000000"/>
                <w:sz w:val="20"/>
                <w:szCs w:val="20"/>
              </w:rPr>
              <w:t>stabilitzes</w:t>
            </w:r>
            <w:proofErr w:type="spellEnd"/>
            <w:r>
              <w:rPr>
                <w:rFonts w:ascii="Arial" w:hAnsi="Arial" w:cs="Arial"/>
                <w:color w:val="000000"/>
                <w:sz w:val="20"/>
                <w:szCs w:val="20"/>
              </w:rPr>
              <w:t>) re-write this text to align.</w:t>
            </w:r>
          </w:p>
        </w:tc>
      </w:tr>
      <w:tr w:rsidR="00342452" w:rsidRPr="00755349" w14:paraId="232E49A5" w14:textId="77777777" w:rsidTr="00BF39E4">
        <w:trPr>
          <w:trHeight w:val="1002"/>
          <w:jc w:val="center"/>
        </w:trPr>
        <w:tc>
          <w:tcPr>
            <w:tcW w:w="805" w:type="dxa"/>
          </w:tcPr>
          <w:p w14:paraId="2628855F" w14:textId="41CBFC15" w:rsidR="00342452" w:rsidRDefault="00342452" w:rsidP="00342452">
            <w:pPr>
              <w:rPr>
                <w:bCs/>
                <w:color w:val="000000" w:themeColor="text1"/>
              </w:rPr>
            </w:pPr>
            <w:bookmarkStart w:id="4" w:name="_Hlk166164095"/>
            <w:commentRangeStart w:id="5"/>
            <w:r>
              <w:rPr>
                <w:bCs/>
                <w:color w:val="000000" w:themeColor="text1"/>
              </w:rPr>
              <w:t>7116</w:t>
            </w:r>
            <w:commentRangeEnd w:id="5"/>
            <w:r w:rsidR="005A784B">
              <w:rPr>
                <w:rStyle w:val="CommentReference"/>
              </w:rPr>
              <w:commentReference w:id="5"/>
            </w:r>
          </w:p>
        </w:tc>
        <w:tc>
          <w:tcPr>
            <w:tcW w:w="1080" w:type="dxa"/>
            <w:shd w:val="clear" w:color="auto" w:fill="FFFFFF"/>
          </w:tcPr>
          <w:p w14:paraId="7B9151EB" w14:textId="499293DC" w:rsidR="00342452" w:rsidRDefault="00342452" w:rsidP="00342452">
            <w:pPr>
              <w:rPr>
                <w:rFonts w:ascii="Arial" w:hAnsi="Arial" w:cs="Arial"/>
                <w:color w:val="000000"/>
                <w:sz w:val="20"/>
                <w:szCs w:val="20"/>
              </w:rPr>
            </w:pPr>
            <w:r>
              <w:rPr>
                <w:rFonts w:ascii="Arial" w:hAnsi="Arial" w:cs="Arial"/>
                <w:color w:val="000000"/>
                <w:sz w:val="20"/>
                <w:szCs w:val="20"/>
              </w:rPr>
              <w:t>R.3.2.</w:t>
            </w:r>
          </w:p>
        </w:tc>
        <w:tc>
          <w:tcPr>
            <w:tcW w:w="990" w:type="dxa"/>
            <w:shd w:val="clear" w:color="auto" w:fill="FFFFFF"/>
          </w:tcPr>
          <w:p w14:paraId="11009E5C" w14:textId="173F3DC9" w:rsidR="00342452" w:rsidRDefault="00342452" w:rsidP="00342452">
            <w:pPr>
              <w:rPr>
                <w:rFonts w:ascii="Arial" w:hAnsi="Arial" w:cs="Arial"/>
                <w:color w:val="000000"/>
                <w:sz w:val="20"/>
                <w:szCs w:val="20"/>
              </w:rPr>
            </w:pPr>
            <w:r>
              <w:rPr>
                <w:rFonts w:ascii="Arial" w:hAnsi="Arial" w:cs="Arial"/>
                <w:color w:val="000000"/>
                <w:sz w:val="20"/>
                <w:szCs w:val="20"/>
              </w:rPr>
              <w:t>6135.8</w:t>
            </w:r>
          </w:p>
        </w:tc>
        <w:tc>
          <w:tcPr>
            <w:tcW w:w="3420" w:type="dxa"/>
            <w:shd w:val="clear" w:color="auto" w:fill="FFFFFF"/>
          </w:tcPr>
          <w:p w14:paraId="5FC7D7CE" w14:textId="7031F9D8" w:rsidR="00342452" w:rsidRDefault="00342452" w:rsidP="00342452">
            <w:pPr>
              <w:rPr>
                <w:rFonts w:ascii="Arial" w:hAnsi="Arial" w:cs="Arial"/>
                <w:color w:val="000000"/>
                <w:sz w:val="20"/>
                <w:szCs w:val="20"/>
              </w:rPr>
            </w:pPr>
            <w:r>
              <w:rPr>
                <w:rFonts w:ascii="Arial" w:hAnsi="Arial" w:cs="Arial"/>
                <w:color w:val="000000"/>
                <w:sz w:val="20"/>
                <w:szCs w:val="20"/>
              </w:rPr>
              <w:t xml:space="preserve">Figure R-1 and text in R.3.2 is very confusing with respect to multiple BSSs served by "the same physical AP". This seems to be referencing an "AP device", perhaps? But the BSS(s?) in the figure </w:t>
            </w:r>
            <w:proofErr w:type="gramStart"/>
            <w:r>
              <w:rPr>
                <w:rFonts w:ascii="Arial" w:hAnsi="Arial" w:cs="Arial"/>
                <w:color w:val="000000"/>
                <w:sz w:val="20"/>
                <w:szCs w:val="20"/>
              </w:rPr>
              <w:t>are</w:t>
            </w:r>
            <w:proofErr w:type="gramEnd"/>
            <w:r>
              <w:rPr>
                <w:rFonts w:ascii="Arial" w:hAnsi="Arial" w:cs="Arial"/>
                <w:color w:val="000000"/>
                <w:sz w:val="20"/>
                <w:szCs w:val="20"/>
              </w:rPr>
              <w:t xml:space="preserve"> not separated, with a separate Portal for each.</w:t>
            </w:r>
          </w:p>
        </w:tc>
        <w:tc>
          <w:tcPr>
            <w:tcW w:w="3870" w:type="dxa"/>
            <w:shd w:val="clear" w:color="auto" w:fill="FFFFFF"/>
          </w:tcPr>
          <w:p w14:paraId="1DF1B44C" w14:textId="77777777" w:rsidR="00342452" w:rsidRDefault="00342452" w:rsidP="00342452">
            <w:pPr>
              <w:rPr>
                <w:rFonts w:ascii="Arial" w:hAnsi="Arial" w:cs="Arial"/>
                <w:color w:val="000000"/>
                <w:sz w:val="20"/>
                <w:szCs w:val="20"/>
              </w:rPr>
            </w:pPr>
            <w:r>
              <w:rPr>
                <w:rFonts w:ascii="Arial" w:hAnsi="Arial" w:cs="Arial"/>
                <w:color w:val="000000"/>
                <w:sz w:val="20"/>
                <w:szCs w:val="20"/>
              </w:rPr>
              <w:t>As in comment.</w:t>
            </w:r>
          </w:p>
          <w:p w14:paraId="4AD5BF45" w14:textId="77777777" w:rsidR="00C840D9" w:rsidRDefault="00C840D9" w:rsidP="00342452">
            <w:pPr>
              <w:rPr>
                <w:rFonts w:ascii="Arial" w:hAnsi="Arial" w:cs="Arial"/>
                <w:color w:val="000000"/>
                <w:sz w:val="20"/>
                <w:szCs w:val="20"/>
              </w:rPr>
            </w:pPr>
          </w:p>
          <w:p w14:paraId="10AEF65F" w14:textId="156D42D9" w:rsidR="00C840D9" w:rsidRDefault="00C840D9" w:rsidP="00342452">
            <w:pPr>
              <w:rPr>
                <w:rFonts w:ascii="Arial" w:hAnsi="Arial" w:cs="Arial"/>
                <w:color w:val="000000"/>
                <w:sz w:val="20"/>
                <w:szCs w:val="20"/>
              </w:rPr>
            </w:pPr>
            <w:r>
              <w:rPr>
                <w:rFonts w:ascii="Arial" w:hAnsi="Arial" w:cs="Arial"/>
                <w:color w:val="000000"/>
                <w:sz w:val="20"/>
                <w:szCs w:val="20"/>
              </w:rPr>
              <w:t>Emailed Stephen, May 9.  No history on this, yet??</w:t>
            </w:r>
          </w:p>
        </w:tc>
      </w:tr>
      <w:bookmarkEnd w:id="4"/>
    </w:tbl>
    <w:p w14:paraId="549DB955" w14:textId="77777777" w:rsidR="005F5224" w:rsidRDefault="005F5224"/>
    <w:p w14:paraId="72ADAD2C" w14:textId="0BD9570A" w:rsidR="0097539D" w:rsidRDefault="0097539D">
      <w:r>
        <w:br w:type="page"/>
      </w:r>
    </w:p>
    <w:p w14:paraId="2BECDD65" w14:textId="57350450" w:rsidR="0097539D" w:rsidRPr="0097539D" w:rsidRDefault="0097539D">
      <w:pPr>
        <w:rPr>
          <w:b/>
          <w:bCs/>
          <w:sz w:val="32"/>
          <w:szCs w:val="32"/>
        </w:rPr>
      </w:pPr>
      <w:r w:rsidRPr="0097539D">
        <w:rPr>
          <w:b/>
          <w:bCs/>
          <w:sz w:val="32"/>
          <w:szCs w:val="32"/>
        </w:rPr>
        <w:lastRenderedPageBreak/>
        <w:t>Completed:</w:t>
      </w:r>
    </w:p>
    <w:p w14:paraId="3A820915" w14:textId="77777777" w:rsidR="0097539D" w:rsidRDefault="0097539D"/>
    <w:p w14:paraId="1EA74B97" w14:textId="77777777" w:rsidR="0097539D" w:rsidRPr="00F94EDB" w:rsidRDefault="0097539D" w:rsidP="0097539D">
      <w:pPr>
        <w:rPr>
          <w:b/>
          <w:bCs/>
          <w:u w:val="single"/>
        </w:rPr>
      </w:pPr>
      <w:r w:rsidRPr="00F94EDB">
        <w:rPr>
          <w:b/>
          <w:bCs/>
          <w:u w:val="single"/>
        </w:rPr>
        <w:t>CID</w:t>
      </w:r>
      <w:r>
        <w:rPr>
          <w:b/>
          <w:bCs/>
          <w:u w:val="single"/>
        </w:rPr>
        <w:t>s</w:t>
      </w:r>
      <w:r w:rsidRPr="00F94EDB">
        <w:rPr>
          <w:b/>
          <w:bCs/>
          <w:u w:val="single"/>
        </w:rPr>
        <w:t xml:space="preserve"> 7188 </w:t>
      </w:r>
      <w:r>
        <w:rPr>
          <w:b/>
          <w:bCs/>
          <w:u w:val="single"/>
        </w:rPr>
        <w:t xml:space="preserve">and 7187 </w:t>
      </w:r>
      <w:r w:rsidRPr="00F94EDB">
        <w:rPr>
          <w:b/>
          <w:bCs/>
          <w:u w:val="single"/>
        </w:rPr>
        <w:t>(GEN):</w:t>
      </w:r>
    </w:p>
    <w:p w14:paraId="130BA804" w14:textId="77777777" w:rsidR="0097539D" w:rsidRDefault="0097539D" w:rsidP="0097539D"/>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97539D" w:rsidRPr="00B173D7" w14:paraId="6931A62D" w14:textId="77777777" w:rsidTr="0010047B">
        <w:trPr>
          <w:trHeight w:val="373"/>
          <w:jc w:val="center"/>
        </w:trPr>
        <w:tc>
          <w:tcPr>
            <w:tcW w:w="805" w:type="dxa"/>
          </w:tcPr>
          <w:p w14:paraId="413951DB"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4F06256F"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39D6FC39" w14:textId="77777777" w:rsidR="0097539D" w:rsidRPr="00B173D7" w:rsidRDefault="0097539D"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0796FBF0"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464BE8E0"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7539D" w:rsidRPr="00FF04B3" w14:paraId="3DC2F1B4" w14:textId="77777777" w:rsidTr="0010047B">
        <w:trPr>
          <w:trHeight w:val="1002"/>
          <w:jc w:val="center"/>
        </w:trPr>
        <w:tc>
          <w:tcPr>
            <w:tcW w:w="805" w:type="dxa"/>
          </w:tcPr>
          <w:p w14:paraId="30C0ED28" w14:textId="77777777" w:rsidR="0097539D" w:rsidRPr="00FF04B3" w:rsidRDefault="0097539D" w:rsidP="0010047B">
            <w:pPr>
              <w:rPr>
                <w:bCs/>
                <w:color w:val="000000" w:themeColor="text1"/>
              </w:rPr>
            </w:pPr>
            <w:r>
              <w:rPr>
                <w:bCs/>
                <w:color w:val="000000" w:themeColor="text1"/>
              </w:rPr>
              <w:t>7188</w:t>
            </w:r>
          </w:p>
        </w:tc>
        <w:tc>
          <w:tcPr>
            <w:tcW w:w="1080" w:type="dxa"/>
            <w:shd w:val="clear" w:color="auto" w:fill="FFFFFF"/>
          </w:tcPr>
          <w:p w14:paraId="7456E514" w14:textId="77777777" w:rsidR="0097539D" w:rsidRPr="00FF04B3" w:rsidRDefault="0097539D" w:rsidP="0010047B">
            <w:pPr>
              <w:rPr>
                <w:bCs/>
                <w:color w:val="000000" w:themeColor="text1"/>
              </w:rPr>
            </w:pPr>
            <w:r>
              <w:rPr>
                <w:rFonts w:ascii="Arial" w:hAnsi="Arial" w:cs="Arial"/>
                <w:color w:val="000000"/>
                <w:sz w:val="20"/>
                <w:szCs w:val="20"/>
              </w:rPr>
              <w:t>4.3.1</w:t>
            </w:r>
          </w:p>
        </w:tc>
        <w:tc>
          <w:tcPr>
            <w:tcW w:w="990" w:type="dxa"/>
            <w:shd w:val="clear" w:color="auto" w:fill="FFFFFF"/>
          </w:tcPr>
          <w:p w14:paraId="449F3065" w14:textId="77777777" w:rsidR="0097539D" w:rsidRDefault="0097539D" w:rsidP="0010047B">
            <w:pPr>
              <w:rPr>
                <w:rFonts w:ascii="Arial" w:hAnsi="Arial" w:cs="Arial"/>
                <w:color w:val="000000"/>
                <w:sz w:val="20"/>
                <w:szCs w:val="20"/>
              </w:rPr>
            </w:pPr>
            <w:r>
              <w:rPr>
                <w:rFonts w:ascii="Arial" w:hAnsi="Arial" w:cs="Arial"/>
                <w:color w:val="000000"/>
                <w:sz w:val="20"/>
                <w:szCs w:val="20"/>
              </w:rPr>
              <w:t>274.1</w:t>
            </w:r>
          </w:p>
          <w:p w14:paraId="2A105D8C" w14:textId="77777777" w:rsidR="0097539D" w:rsidRPr="00FF04B3" w:rsidRDefault="0097539D" w:rsidP="0010047B">
            <w:pPr>
              <w:rPr>
                <w:bCs/>
                <w:color w:val="000000" w:themeColor="text1"/>
              </w:rPr>
            </w:pPr>
          </w:p>
        </w:tc>
        <w:tc>
          <w:tcPr>
            <w:tcW w:w="3420" w:type="dxa"/>
            <w:shd w:val="clear" w:color="auto" w:fill="FFFFFF"/>
          </w:tcPr>
          <w:p w14:paraId="50E188F1" w14:textId="77777777" w:rsidR="0097539D" w:rsidRPr="00FF04B3" w:rsidRDefault="0097539D" w:rsidP="0010047B">
            <w:pPr>
              <w:rPr>
                <w:bCs/>
                <w:color w:val="000000" w:themeColor="text1"/>
              </w:rPr>
            </w:pPr>
            <w:r>
              <w:rPr>
                <w:rFonts w:ascii="Arial" w:hAnsi="Arial" w:cs="Arial"/>
                <w:color w:val="000000"/>
                <w:sz w:val="20"/>
                <w:szCs w:val="20"/>
              </w:rPr>
              <w:t>Is the BSA "The area containing the members of a basic service set (BSS)." per Clause 3 or is it "the coverage area within which all the member STAs of the BSS can remain in communication" per Clause 4? The latter is typically bigger than the former, since if a STA moves a little further away it will typically still be able to be heard.</w:t>
            </w:r>
          </w:p>
        </w:tc>
        <w:tc>
          <w:tcPr>
            <w:tcW w:w="3870" w:type="dxa"/>
            <w:shd w:val="clear" w:color="auto" w:fill="FFFFFF"/>
          </w:tcPr>
          <w:p w14:paraId="774F7185" w14:textId="77777777" w:rsidR="0097539D" w:rsidRPr="00FF04B3" w:rsidRDefault="0097539D" w:rsidP="0010047B">
            <w:pPr>
              <w:rPr>
                <w:bCs/>
              </w:rPr>
            </w:pPr>
            <w:r>
              <w:rPr>
                <w:rFonts w:ascii="Arial" w:hAnsi="Arial" w:cs="Arial"/>
                <w:color w:val="000000"/>
                <w:sz w:val="20"/>
                <w:szCs w:val="20"/>
              </w:rPr>
              <w:t>Change the Clause 3 definition to be the Clause 4 definition</w:t>
            </w:r>
          </w:p>
        </w:tc>
      </w:tr>
      <w:tr w:rsidR="0097539D" w:rsidRPr="00FF04B3" w14:paraId="534CF468" w14:textId="77777777" w:rsidTr="0010047B">
        <w:trPr>
          <w:trHeight w:val="1002"/>
          <w:jc w:val="center"/>
        </w:trPr>
        <w:tc>
          <w:tcPr>
            <w:tcW w:w="805" w:type="dxa"/>
          </w:tcPr>
          <w:p w14:paraId="7ABF5FED" w14:textId="77777777" w:rsidR="0097539D" w:rsidRDefault="0097539D" w:rsidP="0010047B">
            <w:pPr>
              <w:rPr>
                <w:bCs/>
                <w:color w:val="000000" w:themeColor="text1"/>
              </w:rPr>
            </w:pPr>
            <w:r>
              <w:rPr>
                <w:bCs/>
                <w:color w:val="000000" w:themeColor="text1"/>
              </w:rPr>
              <w:t>7187</w:t>
            </w:r>
          </w:p>
        </w:tc>
        <w:tc>
          <w:tcPr>
            <w:tcW w:w="1080" w:type="dxa"/>
            <w:shd w:val="clear" w:color="auto" w:fill="FFFFFF"/>
          </w:tcPr>
          <w:p w14:paraId="1AD009A0" w14:textId="77777777" w:rsidR="0097539D" w:rsidRDefault="0097539D" w:rsidP="0010047B">
            <w:pPr>
              <w:rPr>
                <w:rFonts w:ascii="Arial" w:hAnsi="Arial" w:cs="Arial"/>
                <w:color w:val="000000"/>
                <w:sz w:val="20"/>
                <w:szCs w:val="20"/>
              </w:rPr>
            </w:pPr>
            <w:r>
              <w:rPr>
                <w:rFonts w:ascii="Arial" w:hAnsi="Arial" w:cs="Arial"/>
                <w:color w:val="000000"/>
                <w:sz w:val="20"/>
                <w:szCs w:val="20"/>
              </w:rPr>
              <w:t>4.3.1</w:t>
            </w:r>
          </w:p>
        </w:tc>
        <w:tc>
          <w:tcPr>
            <w:tcW w:w="990" w:type="dxa"/>
            <w:shd w:val="clear" w:color="auto" w:fill="FFFFFF"/>
          </w:tcPr>
          <w:p w14:paraId="3A0E02C9" w14:textId="77777777" w:rsidR="0097539D" w:rsidRDefault="0097539D" w:rsidP="0010047B">
            <w:pPr>
              <w:rPr>
                <w:rFonts w:ascii="Arial" w:hAnsi="Arial" w:cs="Arial"/>
                <w:color w:val="000000"/>
                <w:sz w:val="20"/>
                <w:szCs w:val="20"/>
              </w:rPr>
            </w:pPr>
            <w:r>
              <w:rPr>
                <w:rFonts w:ascii="Arial" w:hAnsi="Arial" w:cs="Arial"/>
                <w:color w:val="000000"/>
                <w:sz w:val="20"/>
                <w:szCs w:val="20"/>
              </w:rPr>
              <w:t>274.3</w:t>
            </w:r>
          </w:p>
        </w:tc>
        <w:tc>
          <w:tcPr>
            <w:tcW w:w="3420" w:type="dxa"/>
            <w:shd w:val="clear" w:color="auto" w:fill="FFFFFF"/>
          </w:tcPr>
          <w:p w14:paraId="468DB3AF" w14:textId="77777777" w:rsidR="0097539D" w:rsidRDefault="0097539D" w:rsidP="0010047B">
            <w:pPr>
              <w:rPr>
                <w:rFonts w:ascii="Arial" w:hAnsi="Arial" w:cs="Arial"/>
                <w:color w:val="000000"/>
                <w:sz w:val="20"/>
                <w:szCs w:val="20"/>
              </w:rPr>
            </w:pPr>
            <w:r w:rsidRPr="00216EE6">
              <w:rPr>
                <w:rFonts w:ascii="Arial" w:hAnsi="Arial" w:cs="Arial"/>
                <w:color w:val="000000"/>
                <w:sz w:val="20"/>
                <w:szCs w:val="20"/>
              </w:rPr>
              <w:t xml:space="preserve">"If a STA moves out of the BSA, it can no longer directly communicate with all the other STAs present in the BSA." -- in </w:t>
            </w:r>
            <w:proofErr w:type="gramStart"/>
            <w:r w:rsidRPr="00216EE6">
              <w:rPr>
                <w:rFonts w:ascii="Arial" w:hAnsi="Arial" w:cs="Arial"/>
                <w:color w:val="000000"/>
                <w:sz w:val="20"/>
                <w:szCs w:val="20"/>
              </w:rPr>
              <w:t>a</w:t>
            </w:r>
            <w:proofErr w:type="gramEnd"/>
            <w:r w:rsidRPr="00216EE6">
              <w:rPr>
                <w:rFonts w:ascii="Arial" w:hAnsi="Arial" w:cs="Arial"/>
                <w:color w:val="000000"/>
                <w:sz w:val="20"/>
                <w:szCs w:val="20"/>
              </w:rPr>
              <w:t xml:space="preserve"> infra BSS it doesn't need to, it only needs to communicate with the AP</w:t>
            </w:r>
          </w:p>
        </w:tc>
        <w:tc>
          <w:tcPr>
            <w:tcW w:w="3870" w:type="dxa"/>
            <w:shd w:val="clear" w:color="auto" w:fill="FFFFFF"/>
          </w:tcPr>
          <w:p w14:paraId="4533122C" w14:textId="77777777" w:rsidR="0097539D" w:rsidRDefault="0097539D" w:rsidP="0010047B">
            <w:pPr>
              <w:rPr>
                <w:rFonts w:ascii="Arial" w:hAnsi="Arial" w:cs="Arial"/>
                <w:color w:val="000000"/>
                <w:sz w:val="20"/>
                <w:szCs w:val="20"/>
              </w:rPr>
            </w:pPr>
            <w:r w:rsidRPr="00216EE6">
              <w:rPr>
                <w:rFonts w:ascii="Arial" w:hAnsi="Arial" w:cs="Arial"/>
                <w:color w:val="000000"/>
                <w:sz w:val="20"/>
                <w:szCs w:val="20"/>
              </w:rPr>
              <w:t>Not sure how to express this</w:t>
            </w:r>
          </w:p>
        </w:tc>
      </w:tr>
    </w:tbl>
    <w:p w14:paraId="4A490C21" w14:textId="77777777" w:rsidR="0097539D" w:rsidRDefault="0097539D" w:rsidP="0097539D"/>
    <w:p w14:paraId="6F63195D" w14:textId="77777777" w:rsidR="0097539D" w:rsidRDefault="0097539D" w:rsidP="0097539D"/>
    <w:p w14:paraId="47D0FAA6" w14:textId="77777777" w:rsidR="0097539D" w:rsidRPr="00522CB9" w:rsidRDefault="0097539D" w:rsidP="0097539D">
      <w:pPr>
        <w:rPr>
          <w:b/>
          <w:bCs/>
          <w:u w:val="single"/>
        </w:rPr>
      </w:pPr>
      <w:r w:rsidRPr="00522CB9">
        <w:rPr>
          <w:b/>
          <w:bCs/>
          <w:u w:val="single"/>
        </w:rPr>
        <w:t>Discussion:</w:t>
      </w:r>
    </w:p>
    <w:p w14:paraId="372C8181" w14:textId="77777777" w:rsidR="0097539D" w:rsidRDefault="0097539D" w:rsidP="0097539D"/>
    <w:p w14:paraId="41710B7A" w14:textId="77777777" w:rsidR="0097539D" w:rsidRDefault="0097539D" w:rsidP="0097539D">
      <w:r>
        <w:t>P195.1 (clause 3.1):</w:t>
      </w:r>
    </w:p>
    <w:p w14:paraId="28D22A74" w14:textId="77777777" w:rsidR="0097539D" w:rsidRDefault="0097539D" w:rsidP="0097539D">
      <w:r>
        <w:rPr>
          <w:noProof/>
        </w:rPr>
        <w:drawing>
          <wp:inline distT="0" distB="0" distL="0" distR="0" wp14:anchorId="5CB7BE46" wp14:editId="100B79E5">
            <wp:extent cx="5895975" cy="3524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5975" cy="352425"/>
                    </a:xfrm>
                    <a:prstGeom prst="rect">
                      <a:avLst/>
                    </a:prstGeom>
                    <a:noFill/>
                    <a:ln w="6350">
                      <a:solidFill>
                        <a:schemeClr val="tx1"/>
                      </a:solidFill>
                    </a:ln>
                  </pic:spPr>
                </pic:pic>
              </a:graphicData>
            </a:graphic>
          </wp:inline>
        </w:drawing>
      </w:r>
    </w:p>
    <w:p w14:paraId="21B36388" w14:textId="77777777" w:rsidR="0097539D" w:rsidRDefault="0097539D" w:rsidP="0097539D"/>
    <w:p w14:paraId="79FE2581" w14:textId="77777777" w:rsidR="0097539D" w:rsidRDefault="0097539D" w:rsidP="0097539D">
      <w:r>
        <w:t xml:space="preserve">Thus, a strict read of this says that the BSA is dynamically resizing, as it just (exactly) surrounds all the members of the BSS.  For example, if no non-AP STA is very far from an AP (in an infrastructure BSA), then the BSA is </w:t>
      </w:r>
      <w:proofErr w:type="gramStart"/>
      <w:r>
        <w:t>fairly small</w:t>
      </w:r>
      <w:proofErr w:type="gramEnd"/>
      <w:r>
        <w:t xml:space="preserve">.  </w:t>
      </w:r>
    </w:p>
    <w:p w14:paraId="25F1C28C" w14:textId="77777777" w:rsidR="0097539D" w:rsidRDefault="0097539D" w:rsidP="0097539D"/>
    <w:p w14:paraId="46C131ED" w14:textId="77777777" w:rsidR="0097539D" w:rsidRDefault="0097539D" w:rsidP="0097539D">
      <w:r>
        <w:t xml:space="preserve">In fact, an AP that has no associated non-AP STAs has an ill-defined BSA, because it is just the area that contains the AP.  Is that just a few square centimeters?  </w:t>
      </w:r>
      <w:proofErr w:type="gramStart"/>
      <w:r>
        <w:t>Or,</w:t>
      </w:r>
      <w:proofErr w:type="gramEnd"/>
      <w:r>
        <w:t xml:space="preserve"> is the BSA supposed to be the area covered by the AP’s transmissions (Beacons) – if so, to what signal level/SNR/</w:t>
      </w:r>
      <w:proofErr w:type="spellStart"/>
      <w:r>
        <w:t>etc</w:t>
      </w:r>
      <w:proofErr w:type="spellEnd"/>
      <w:r>
        <w:t>?</w:t>
      </w:r>
    </w:p>
    <w:p w14:paraId="7CA52C5B" w14:textId="77777777" w:rsidR="0097539D" w:rsidRDefault="0097539D" w:rsidP="0097539D"/>
    <w:p w14:paraId="67A3A866" w14:textId="77777777" w:rsidR="0097539D" w:rsidRDefault="0097539D" w:rsidP="0097539D">
      <w:r>
        <w:t>But, in clause 4, we have (P274.1):</w:t>
      </w:r>
    </w:p>
    <w:p w14:paraId="0C804F50" w14:textId="77777777" w:rsidR="0097539D" w:rsidRDefault="0097539D" w:rsidP="0097539D"/>
    <w:p w14:paraId="316F6603" w14:textId="77777777" w:rsidR="0097539D" w:rsidRDefault="0097539D" w:rsidP="0097539D">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23500056" wp14:editId="4F29BB48">
            <wp:extent cx="5903595" cy="382778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3595" cy="3827780"/>
                    </a:xfrm>
                    <a:prstGeom prst="rect">
                      <a:avLst/>
                    </a:prstGeom>
                    <a:noFill/>
                    <a:ln>
                      <a:noFill/>
                    </a:ln>
                  </pic:spPr>
                </pic:pic>
              </a:graphicData>
            </a:graphic>
          </wp:inline>
        </w:drawing>
      </w:r>
    </w:p>
    <w:p w14:paraId="19A9528A" w14:textId="77777777" w:rsidR="0097539D" w:rsidRDefault="0097539D" w:rsidP="0097539D"/>
    <w:p w14:paraId="0FD03C9F" w14:textId="77777777" w:rsidR="0097539D" w:rsidRDefault="0097539D" w:rsidP="0097539D">
      <w:r>
        <w:t>This has text saying it is “the coverage area within which all the members STAs can remain in communication.”  That seems like a more useful definition, or at least closer to how we think about it.</w:t>
      </w:r>
    </w:p>
    <w:p w14:paraId="42B253FD" w14:textId="77777777" w:rsidR="0097539D" w:rsidRDefault="0097539D" w:rsidP="0097539D"/>
    <w:p w14:paraId="4E4CDB8A" w14:textId="77777777" w:rsidR="0097539D" w:rsidRPr="00477361" w:rsidRDefault="0097539D" w:rsidP="0097539D">
      <w:r w:rsidRPr="00477361">
        <w:t>Of course, this phrasing leaves some open questions:</w:t>
      </w:r>
    </w:p>
    <w:p w14:paraId="758F13AC" w14:textId="77777777" w:rsidR="0097539D" w:rsidRDefault="0097539D" w:rsidP="0097539D">
      <w:pPr>
        <w:pStyle w:val="ListParagraph"/>
        <w:numPr>
          <w:ilvl w:val="0"/>
          <w:numId w:val="38"/>
        </w:numPr>
        <w:jc w:val="left"/>
        <w:rPr>
          <w:sz w:val="24"/>
        </w:rPr>
      </w:pPr>
      <w:r w:rsidRPr="00477361">
        <w:rPr>
          <w:sz w:val="24"/>
        </w:rPr>
        <w:t xml:space="preserve">What is “the coverage area” – again, to what signal </w:t>
      </w:r>
      <w:r>
        <w:rPr>
          <w:sz w:val="24"/>
        </w:rPr>
        <w:t>strength (or other measure) does the “coverage area” extend?</w:t>
      </w:r>
      <w:r w:rsidRPr="00477361">
        <w:rPr>
          <w:sz w:val="24"/>
        </w:rPr>
        <w:t xml:space="preserve"> </w:t>
      </w:r>
      <w:r>
        <w:rPr>
          <w:sz w:val="24"/>
        </w:rPr>
        <w:t xml:space="preserve"> And, in 4.3.6, there is a tidy statement: “</w:t>
      </w:r>
      <w:r w:rsidRPr="00477361">
        <w:rPr>
          <w:sz w:val="24"/>
        </w:rPr>
        <w:t>For wireless PHYs, well-defined coverage areas simply do not exist</w:t>
      </w:r>
      <w:r>
        <w:rPr>
          <w:sz w:val="24"/>
        </w:rPr>
        <w:t>.”  Which points out that propagation is both dynamic and unpredictable.</w:t>
      </w:r>
    </w:p>
    <w:p w14:paraId="0CF2A5D3" w14:textId="77777777" w:rsidR="0097539D" w:rsidRDefault="0097539D" w:rsidP="0097539D">
      <w:pPr>
        <w:pStyle w:val="ListParagraph"/>
        <w:numPr>
          <w:ilvl w:val="0"/>
          <w:numId w:val="38"/>
        </w:numPr>
        <w:jc w:val="left"/>
        <w:rPr>
          <w:sz w:val="24"/>
        </w:rPr>
      </w:pPr>
      <w:r>
        <w:rPr>
          <w:sz w:val="24"/>
        </w:rPr>
        <w:t xml:space="preserve">To which peer devices does a STA have to “remain in communication”?  For an infrastructure BSS, that is probably each non-AP STA is in communication with the AP.  </w:t>
      </w:r>
      <w:proofErr w:type="gramStart"/>
      <w:r>
        <w:rPr>
          <w:sz w:val="24"/>
        </w:rPr>
        <w:t>But,</w:t>
      </w:r>
      <w:proofErr w:type="gramEnd"/>
      <w:r>
        <w:rPr>
          <w:sz w:val="24"/>
        </w:rPr>
        <w:t xml:space="preserve"> they might not be “in communication” (within range) of each other.  In an IBSS or PBSS, the STAs need only talk to the peer STAs of interest.  Although, we then get into DMG clusters and PCPs…</w:t>
      </w:r>
    </w:p>
    <w:p w14:paraId="53D03856" w14:textId="77777777" w:rsidR="0097539D" w:rsidRDefault="0097539D" w:rsidP="0097539D"/>
    <w:p w14:paraId="760E2D48" w14:textId="77777777" w:rsidR="0097539D" w:rsidRPr="00EB02C7" w:rsidRDefault="0097539D" w:rsidP="0097539D">
      <w:r>
        <w:t xml:space="preserve">Subclause 4.3.6 attempts to put human understandable concepts to this, in defining “area concepts” that are of interest to 802.11.  That subclause is </w:t>
      </w:r>
      <w:proofErr w:type="gramStart"/>
      <w:r>
        <w:t>pretty clear</w:t>
      </w:r>
      <w:proofErr w:type="gramEnd"/>
      <w:r>
        <w:t xml:space="preserve"> that a strict definition will be both not accurate and not useful.  The point of these terms (that use “area”) </w:t>
      </w:r>
      <w:proofErr w:type="gramStart"/>
      <w:r>
        <w:t>are</w:t>
      </w:r>
      <w:proofErr w:type="gramEnd"/>
      <w:r>
        <w:t xml:space="preserve"> to provide a useful human concept.</w:t>
      </w:r>
    </w:p>
    <w:p w14:paraId="18EC0E88" w14:textId="77777777" w:rsidR="0097539D" w:rsidRPr="00477361" w:rsidRDefault="0097539D" w:rsidP="0097539D"/>
    <w:p w14:paraId="32F6361F" w14:textId="77777777" w:rsidR="0097539D" w:rsidRDefault="0097539D" w:rsidP="0097539D"/>
    <w:p w14:paraId="2A871E60" w14:textId="77777777" w:rsidR="0097539D" w:rsidRPr="00522CB9" w:rsidRDefault="0097539D" w:rsidP="0097539D">
      <w:pPr>
        <w:rPr>
          <w:b/>
          <w:bCs/>
          <w:u w:val="single"/>
        </w:rPr>
      </w:pPr>
      <w:r w:rsidRPr="00522CB9">
        <w:rPr>
          <w:b/>
          <w:bCs/>
          <w:u w:val="single"/>
        </w:rPr>
        <w:t>Proposed Resolution:</w:t>
      </w:r>
    </w:p>
    <w:p w14:paraId="1CA51DEC" w14:textId="77777777" w:rsidR="0097539D" w:rsidRDefault="0097539D" w:rsidP="0097539D"/>
    <w:p w14:paraId="0579A06F" w14:textId="77777777" w:rsidR="0097539D" w:rsidRDefault="0097539D" w:rsidP="0097539D">
      <w:pPr>
        <w:keepNext/>
        <w:keepLines/>
      </w:pPr>
      <w:r w:rsidRPr="00EB02C7">
        <w:lastRenderedPageBreak/>
        <w:t>CID</w:t>
      </w:r>
      <w:r>
        <w:t>s</w:t>
      </w:r>
      <w:r w:rsidRPr="00EB02C7">
        <w:t xml:space="preserve"> </w:t>
      </w:r>
      <w:r>
        <w:t>7188 and 7187</w:t>
      </w:r>
      <w:r w:rsidRPr="00EB02C7">
        <w:t>:</w:t>
      </w:r>
    </w:p>
    <w:p w14:paraId="260C708F" w14:textId="77777777" w:rsidR="0097539D" w:rsidRDefault="0097539D" w:rsidP="0097539D">
      <w:pPr>
        <w:keepNext/>
        <w:keepLines/>
      </w:pPr>
    </w:p>
    <w:p w14:paraId="4646D432" w14:textId="77777777" w:rsidR="0097539D" w:rsidRPr="00C761C4" w:rsidRDefault="0097539D" w:rsidP="0097539D">
      <w:pPr>
        <w:keepNext/>
        <w:keepLines/>
      </w:pPr>
      <w:r w:rsidRPr="000D1D90">
        <w:rPr>
          <w:highlight w:val="green"/>
        </w:rPr>
        <w:t>Revised.</w:t>
      </w:r>
    </w:p>
    <w:p w14:paraId="26476F7D" w14:textId="77777777" w:rsidR="0097539D" w:rsidRDefault="0097539D" w:rsidP="0097539D"/>
    <w:p w14:paraId="1D8CC26A" w14:textId="77777777" w:rsidR="0097539D" w:rsidRDefault="0097539D" w:rsidP="0097539D">
      <w:r>
        <w:t>At P195.1, change the definition of BSA to:</w:t>
      </w:r>
    </w:p>
    <w:p w14:paraId="3C0B123B" w14:textId="77777777" w:rsidR="0097539D" w:rsidRDefault="0097539D" w:rsidP="0097539D">
      <w:r>
        <w:t xml:space="preserve">“The area in which the members of a basic service set (BSS) </w:t>
      </w:r>
      <w:proofErr w:type="gramStart"/>
      <w:r>
        <w:t>are able to</w:t>
      </w:r>
      <w:proofErr w:type="gramEnd"/>
      <w:r>
        <w:t xml:space="preserve"> communicate </w:t>
      </w:r>
      <w:r w:rsidRPr="000D1D90">
        <w:t>with each</w:t>
      </w:r>
      <w:r w:rsidRPr="000D1D90">
        <w:rPr>
          <w:strike/>
        </w:rPr>
        <w:t xml:space="preserve"> </w:t>
      </w:r>
      <w:r w:rsidRPr="000D1D90">
        <w:t>othe</w:t>
      </w:r>
      <w:r>
        <w:t>r such that necessary services of the BSS can be provided, such as synchronization and data transfer.</w:t>
      </w:r>
    </w:p>
    <w:p w14:paraId="0FC74458" w14:textId="77777777" w:rsidR="0097539D" w:rsidRDefault="0097539D" w:rsidP="0097539D"/>
    <w:p w14:paraId="6A958E73" w14:textId="77777777" w:rsidR="0097539D" w:rsidRDefault="0097539D" w:rsidP="0097539D">
      <w:r>
        <w:t>NOTE—The extent of a given BSA is unlikely to be strictly definable, nor static.  See 4.3.6 for further discussion.”</w:t>
      </w:r>
    </w:p>
    <w:p w14:paraId="0686D19C" w14:textId="77777777" w:rsidR="0097539D" w:rsidRDefault="0097539D" w:rsidP="0097539D"/>
    <w:p w14:paraId="7D23FC80" w14:textId="77777777" w:rsidR="0097539D" w:rsidRDefault="0097539D" w:rsidP="0097539D"/>
    <w:p w14:paraId="689AA87E" w14:textId="77777777" w:rsidR="0097539D" w:rsidRDefault="0097539D" w:rsidP="0097539D"/>
    <w:p w14:paraId="103EDC7E" w14:textId="77777777" w:rsidR="0097539D" w:rsidRDefault="0097539D" w:rsidP="0097539D">
      <w:r>
        <w:br w:type="page"/>
      </w:r>
    </w:p>
    <w:p w14:paraId="569D84C5" w14:textId="77777777" w:rsidR="0097539D" w:rsidRDefault="0097539D" w:rsidP="0097539D"/>
    <w:p w14:paraId="73FB5FD7" w14:textId="77777777" w:rsidR="0097539D" w:rsidRPr="00F94EDB" w:rsidRDefault="0097539D" w:rsidP="0097539D">
      <w:pPr>
        <w:rPr>
          <w:b/>
          <w:bCs/>
          <w:u w:val="single"/>
        </w:rPr>
      </w:pPr>
      <w:r w:rsidRPr="00F94EDB">
        <w:rPr>
          <w:b/>
          <w:bCs/>
          <w:u w:val="single"/>
        </w:rPr>
        <w:t>CID 7113 (</w:t>
      </w:r>
      <w:r>
        <w:rPr>
          <w:b/>
          <w:bCs/>
          <w:u w:val="single"/>
        </w:rPr>
        <w:t>MAC</w:t>
      </w:r>
      <w:r w:rsidRPr="00F94EDB">
        <w:rPr>
          <w:b/>
          <w:bCs/>
          <w:u w:val="single"/>
        </w:rPr>
        <w:t>):</w:t>
      </w:r>
    </w:p>
    <w:p w14:paraId="0D98B8FD" w14:textId="77777777" w:rsidR="0097539D" w:rsidRDefault="0097539D" w:rsidP="0097539D"/>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97539D" w:rsidRPr="00B173D7" w14:paraId="74753E2B" w14:textId="77777777" w:rsidTr="0010047B">
        <w:trPr>
          <w:trHeight w:val="373"/>
          <w:jc w:val="center"/>
        </w:trPr>
        <w:tc>
          <w:tcPr>
            <w:tcW w:w="805" w:type="dxa"/>
          </w:tcPr>
          <w:p w14:paraId="36FD7B62"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35731E4B"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C5DE5DC" w14:textId="77777777" w:rsidR="0097539D" w:rsidRPr="00B173D7" w:rsidRDefault="0097539D"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5947EEC1"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379F470B"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7539D" w14:paraId="0731346A" w14:textId="77777777" w:rsidTr="0010047B">
        <w:trPr>
          <w:trHeight w:val="1002"/>
          <w:jc w:val="center"/>
        </w:trPr>
        <w:tc>
          <w:tcPr>
            <w:tcW w:w="805" w:type="dxa"/>
          </w:tcPr>
          <w:p w14:paraId="50DEFB45" w14:textId="77777777" w:rsidR="0097539D" w:rsidRDefault="0097539D" w:rsidP="0010047B">
            <w:pPr>
              <w:rPr>
                <w:bCs/>
                <w:color w:val="000000" w:themeColor="text1"/>
              </w:rPr>
            </w:pPr>
            <w:r>
              <w:rPr>
                <w:bCs/>
                <w:color w:val="000000" w:themeColor="text1"/>
              </w:rPr>
              <w:t>7113</w:t>
            </w:r>
          </w:p>
        </w:tc>
        <w:tc>
          <w:tcPr>
            <w:tcW w:w="1080" w:type="dxa"/>
            <w:shd w:val="clear" w:color="auto" w:fill="FFFFFF"/>
          </w:tcPr>
          <w:p w14:paraId="155A6574" w14:textId="77777777" w:rsidR="0097539D" w:rsidRDefault="0097539D" w:rsidP="0010047B">
            <w:pPr>
              <w:rPr>
                <w:rFonts w:ascii="Arial" w:hAnsi="Arial" w:cs="Arial"/>
                <w:color w:val="000000"/>
                <w:sz w:val="20"/>
                <w:szCs w:val="20"/>
              </w:rPr>
            </w:pPr>
            <w:r>
              <w:rPr>
                <w:rFonts w:ascii="Arial" w:hAnsi="Arial" w:cs="Arial"/>
                <w:color w:val="000000"/>
                <w:sz w:val="20"/>
                <w:szCs w:val="20"/>
              </w:rPr>
              <w:t>10.6.13.1</w:t>
            </w:r>
          </w:p>
        </w:tc>
        <w:tc>
          <w:tcPr>
            <w:tcW w:w="990" w:type="dxa"/>
            <w:shd w:val="clear" w:color="auto" w:fill="FFFFFF"/>
          </w:tcPr>
          <w:p w14:paraId="47F2CF62" w14:textId="77777777" w:rsidR="0097539D" w:rsidRDefault="0097539D" w:rsidP="0010047B">
            <w:pPr>
              <w:rPr>
                <w:rFonts w:ascii="Arial" w:hAnsi="Arial" w:cs="Arial"/>
                <w:color w:val="000000"/>
                <w:sz w:val="20"/>
                <w:szCs w:val="20"/>
              </w:rPr>
            </w:pPr>
            <w:r>
              <w:rPr>
                <w:rFonts w:ascii="Arial" w:hAnsi="Arial" w:cs="Arial"/>
                <w:color w:val="000000"/>
                <w:sz w:val="20"/>
                <w:szCs w:val="20"/>
              </w:rPr>
              <w:t>1971.33</w:t>
            </w:r>
          </w:p>
        </w:tc>
        <w:tc>
          <w:tcPr>
            <w:tcW w:w="3420" w:type="dxa"/>
            <w:shd w:val="clear" w:color="auto" w:fill="FFFFFF"/>
          </w:tcPr>
          <w:p w14:paraId="490ABDF0" w14:textId="77777777" w:rsidR="0097539D" w:rsidRDefault="0097539D" w:rsidP="0010047B">
            <w:pPr>
              <w:rPr>
                <w:rFonts w:ascii="Arial" w:hAnsi="Arial" w:cs="Arial"/>
                <w:color w:val="000000"/>
                <w:sz w:val="20"/>
                <w:szCs w:val="20"/>
              </w:rPr>
            </w:pPr>
            <w:r>
              <w:rPr>
                <w:rFonts w:ascii="Arial" w:hAnsi="Arial" w:cs="Arial"/>
                <w:color w:val="000000"/>
                <w:sz w:val="20"/>
                <w:szCs w:val="20"/>
              </w:rPr>
              <w:t>What is "OMN"? This term/acronym is not defined anywhere (and is used 6 times, including once claiming it is a type of frame).</w:t>
            </w:r>
          </w:p>
        </w:tc>
        <w:tc>
          <w:tcPr>
            <w:tcW w:w="3870" w:type="dxa"/>
            <w:shd w:val="clear" w:color="auto" w:fill="FFFFFF"/>
          </w:tcPr>
          <w:p w14:paraId="3C258A23" w14:textId="77777777" w:rsidR="0097539D" w:rsidRDefault="0097539D" w:rsidP="0010047B">
            <w:pPr>
              <w:rPr>
                <w:rFonts w:ascii="Arial" w:hAnsi="Arial" w:cs="Arial"/>
                <w:color w:val="000000"/>
                <w:sz w:val="20"/>
                <w:szCs w:val="20"/>
              </w:rPr>
            </w:pPr>
            <w:r>
              <w:rPr>
                <w:rFonts w:ascii="Arial" w:hAnsi="Arial" w:cs="Arial"/>
                <w:color w:val="000000"/>
                <w:sz w:val="20"/>
                <w:szCs w:val="20"/>
              </w:rPr>
              <w:t>Define OMN term/acronym in clause 3.</w:t>
            </w:r>
          </w:p>
        </w:tc>
      </w:tr>
    </w:tbl>
    <w:p w14:paraId="05B475DE" w14:textId="77777777" w:rsidR="0097539D" w:rsidRDefault="0097539D" w:rsidP="0097539D"/>
    <w:p w14:paraId="771A7154" w14:textId="77777777" w:rsidR="0097539D" w:rsidRDefault="0097539D" w:rsidP="0097539D">
      <w:pPr>
        <w:rPr>
          <w:b/>
          <w:bCs/>
          <w:u w:val="single"/>
        </w:rPr>
      </w:pPr>
      <w:r>
        <w:rPr>
          <w:b/>
          <w:bCs/>
          <w:u w:val="single"/>
        </w:rPr>
        <w:t>Discussion:</w:t>
      </w:r>
    </w:p>
    <w:p w14:paraId="4C7A9FBF" w14:textId="77777777" w:rsidR="0097539D" w:rsidRDefault="0097539D" w:rsidP="0097539D"/>
    <w:p w14:paraId="174F4286" w14:textId="77777777" w:rsidR="0097539D" w:rsidRDefault="0097539D" w:rsidP="0097539D">
      <w:r>
        <w:t>Examples of the 6 uses are:</w:t>
      </w:r>
    </w:p>
    <w:p w14:paraId="56B7C3E1" w14:textId="77777777" w:rsidR="0097539D" w:rsidRDefault="0097539D" w:rsidP="0097539D">
      <w:r>
        <w:t>P1971.34:</w:t>
      </w:r>
    </w:p>
    <w:p w14:paraId="62E2673A" w14:textId="77777777" w:rsidR="0097539D" w:rsidRDefault="0097539D" w:rsidP="0097539D">
      <w:r>
        <w:rPr>
          <w:noProof/>
        </w:rPr>
        <w:drawing>
          <wp:inline distT="0" distB="0" distL="0" distR="0" wp14:anchorId="0F02A368" wp14:editId="734395FC">
            <wp:extent cx="5901055" cy="2910205"/>
            <wp:effectExtent l="19050" t="19050" r="23495" b="234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1055" cy="2910205"/>
                    </a:xfrm>
                    <a:prstGeom prst="rect">
                      <a:avLst/>
                    </a:prstGeom>
                    <a:noFill/>
                    <a:ln w="9525">
                      <a:solidFill>
                        <a:schemeClr val="tx1"/>
                      </a:solidFill>
                    </a:ln>
                  </pic:spPr>
                </pic:pic>
              </a:graphicData>
            </a:graphic>
          </wp:inline>
        </w:drawing>
      </w:r>
    </w:p>
    <w:p w14:paraId="229F09C4" w14:textId="77777777" w:rsidR="0097539D" w:rsidRDefault="0097539D" w:rsidP="0097539D">
      <w:proofErr w:type="gramStart"/>
      <w:r>
        <w:t>And,</w:t>
      </w:r>
      <w:proofErr w:type="gramEnd"/>
      <w:r>
        <w:t xml:space="preserve"> same thing in the next bullet, and in two bullets in TX Supported VHT-MCS and NSS Set.</w:t>
      </w:r>
    </w:p>
    <w:p w14:paraId="4A467B0B" w14:textId="77777777" w:rsidR="0097539D" w:rsidRDefault="0097539D" w:rsidP="0097539D"/>
    <w:p w14:paraId="0CEB42D8" w14:textId="77777777" w:rsidR="0097539D" w:rsidRDefault="0097539D" w:rsidP="0097539D">
      <w:r>
        <w:t xml:space="preserve">P4148.44 (in </w:t>
      </w:r>
      <w:r w:rsidRPr="00907D17">
        <w:t>26.8.7.2 SST operation)</w:t>
      </w:r>
      <w:r>
        <w:t>:</w:t>
      </w:r>
    </w:p>
    <w:p w14:paraId="387016E3" w14:textId="77777777" w:rsidR="0097539D" w:rsidRDefault="0097539D" w:rsidP="0097539D">
      <w:r>
        <w:rPr>
          <w:noProof/>
        </w:rPr>
        <w:drawing>
          <wp:inline distT="0" distB="0" distL="0" distR="0" wp14:anchorId="02DDD026" wp14:editId="1286EEFD">
            <wp:extent cx="5901055" cy="500380"/>
            <wp:effectExtent l="19050" t="19050" r="23495" b="139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1055" cy="500380"/>
                    </a:xfrm>
                    <a:prstGeom prst="rect">
                      <a:avLst/>
                    </a:prstGeom>
                    <a:noFill/>
                    <a:ln w="9525">
                      <a:solidFill>
                        <a:schemeClr val="tx1"/>
                      </a:solidFill>
                    </a:ln>
                  </pic:spPr>
                </pic:pic>
              </a:graphicData>
            </a:graphic>
          </wp:inline>
        </w:drawing>
      </w:r>
    </w:p>
    <w:p w14:paraId="3F2AC1B4" w14:textId="77777777" w:rsidR="0097539D" w:rsidRDefault="0097539D" w:rsidP="0097539D"/>
    <w:p w14:paraId="6655FBEB" w14:textId="77777777" w:rsidR="0097539D" w:rsidRDefault="0097539D" w:rsidP="0097539D">
      <w:r>
        <w:t>And P4190.3 (within the rules for Broadcast RU in HE MU PPDU):</w:t>
      </w:r>
    </w:p>
    <w:p w14:paraId="0BAE44EF" w14:textId="77777777" w:rsidR="0097539D" w:rsidRDefault="0097539D" w:rsidP="0097539D">
      <w:r>
        <w:rPr>
          <w:noProof/>
        </w:rPr>
        <w:drawing>
          <wp:inline distT="0" distB="0" distL="0" distR="0" wp14:anchorId="5D8B27B1" wp14:editId="3E7EA298">
            <wp:extent cx="5901055" cy="490855"/>
            <wp:effectExtent l="19050" t="19050" r="23495" b="234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1055" cy="490855"/>
                    </a:xfrm>
                    <a:prstGeom prst="rect">
                      <a:avLst/>
                    </a:prstGeom>
                    <a:noFill/>
                    <a:ln w="9525">
                      <a:solidFill>
                        <a:schemeClr val="tx1"/>
                      </a:solidFill>
                    </a:ln>
                  </pic:spPr>
                </pic:pic>
              </a:graphicData>
            </a:graphic>
          </wp:inline>
        </w:drawing>
      </w:r>
    </w:p>
    <w:p w14:paraId="37974124" w14:textId="77777777" w:rsidR="0097539D" w:rsidRDefault="0097539D" w:rsidP="0097539D"/>
    <w:p w14:paraId="40AAE462" w14:textId="77777777" w:rsidR="0097539D" w:rsidRDefault="0097539D" w:rsidP="0097539D">
      <w:r>
        <w:t>Note that this CID overlaps with CID 7202 (which is in “Review”):</w:t>
      </w:r>
    </w:p>
    <w:tbl>
      <w:tblPr>
        <w:tblStyle w:val="TableGrid"/>
        <w:tblW w:w="8995" w:type="dxa"/>
        <w:jc w:val="center"/>
        <w:tblLayout w:type="fixed"/>
        <w:tblLook w:val="04A0" w:firstRow="1" w:lastRow="0" w:firstColumn="1" w:lastColumn="0" w:noHBand="0" w:noVBand="1"/>
      </w:tblPr>
      <w:tblGrid>
        <w:gridCol w:w="805"/>
        <w:gridCol w:w="1080"/>
        <w:gridCol w:w="990"/>
        <w:gridCol w:w="3420"/>
        <w:gridCol w:w="2700"/>
      </w:tblGrid>
      <w:tr w:rsidR="0097539D" w:rsidRPr="00B173D7" w14:paraId="2F09E40E" w14:textId="77777777" w:rsidTr="0010047B">
        <w:trPr>
          <w:trHeight w:val="373"/>
          <w:jc w:val="center"/>
        </w:trPr>
        <w:tc>
          <w:tcPr>
            <w:tcW w:w="805" w:type="dxa"/>
          </w:tcPr>
          <w:p w14:paraId="7708696D"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18C17509"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50B38640" w14:textId="77777777" w:rsidR="0097539D" w:rsidRPr="00B173D7" w:rsidRDefault="0097539D"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123236FF"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2700" w:type="dxa"/>
          </w:tcPr>
          <w:p w14:paraId="2B747DC6"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7539D" w14:paraId="0BD37D4A" w14:textId="77777777" w:rsidTr="0010047B">
        <w:trPr>
          <w:trHeight w:val="1002"/>
          <w:jc w:val="center"/>
        </w:trPr>
        <w:tc>
          <w:tcPr>
            <w:tcW w:w="805" w:type="dxa"/>
          </w:tcPr>
          <w:p w14:paraId="297EBFBC" w14:textId="77777777" w:rsidR="0097539D" w:rsidRDefault="0097539D" w:rsidP="0010047B">
            <w:pPr>
              <w:rPr>
                <w:bCs/>
                <w:color w:val="000000" w:themeColor="text1"/>
              </w:rPr>
            </w:pPr>
            <w:r>
              <w:rPr>
                <w:bCs/>
                <w:color w:val="000000" w:themeColor="text1"/>
              </w:rPr>
              <w:t>7202</w:t>
            </w:r>
          </w:p>
        </w:tc>
        <w:tc>
          <w:tcPr>
            <w:tcW w:w="1080" w:type="dxa"/>
            <w:shd w:val="clear" w:color="auto" w:fill="FFFFFF"/>
          </w:tcPr>
          <w:p w14:paraId="7E8E502E" w14:textId="77777777" w:rsidR="0097539D" w:rsidRDefault="0097539D" w:rsidP="0010047B">
            <w:pPr>
              <w:rPr>
                <w:rFonts w:ascii="Arial" w:hAnsi="Arial" w:cs="Arial"/>
                <w:color w:val="000000"/>
                <w:sz w:val="20"/>
                <w:szCs w:val="20"/>
              </w:rPr>
            </w:pPr>
            <w:r w:rsidRPr="0097574A">
              <w:rPr>
                <w:rFonts w:ascii="Arial" w:hAnsi="Arial" w:cs="Arial"/>
                <w:color w:val="000000"/>
                <w:sz w:val="20"/>
                <w:szCs w:val="20"/>
              </w:rPr>
              <w:t>26.15.7</w:t>
            </w:r>
          </w:p>
        </w:tc>
        <w:tc>
          <w:tcPr>
            <w:tcW w:w="990" w:type="dxa"/>
            <w:shd w:val="clear" w:color="auto" w:fill="FFFFFF"/>
          </w:tcPr>
          <w:p w14:paraId="34A70074" w14:textId="77777777" w:rsidR="0097539D" w:rsidRDefault="0097539D" w:rsidP="0010047B">
            <w:pPr>
              <w:rPr>
                <w:rFonts w:ascii="Arial" w:hAnsi="Arial" w:cs="Arial"/>
                <w:color w:val="000000"/>
                <w:sz w:val="20"/>
                <w:szCs w:val="20"/>
              </w:rPr>
            </w:pPr>
            <w:r>
              <w:rPr>
                <w:rFonts w:ascii="Arial" w:hAnsi="Arial" w:cs="Arial"/>
                <w:color w:val="000000"/>
                <w:sz w:val="20"/>
                <w:szCs w:val="20"/>
              </w:rPr>
              <w:t>4190.3</w:t>
            </w:r>
          </w:p>
        </w:tc>
        <w:tc>
          <w:tcPr>
            <w:tcW w:w="3420" w:type="dxa"/>
            <w:shd w:val="clear" w:color="auto" w:fill="FFFFFF"/>
          </w:tcPr>
          <w:p w14:paraId="05C932D8" w14:textId="77777777" w:rsidR="0097539D" w:rsidRDefault="0097539D" w:rsidP="0010047B">
            <w:pPr>
              <w:rPr>
                <w:rFonts w:ascii="Arial" w:hAnsi="Arial" w:cs="Arial"/>
                <w:color w:val="000000"/>
                <w:sz w:val="20"/>
                <w:szCs w:val="20"/>
              </w:rPr>
            </w:pPr>
            <w:r w:rsidRPr="00844D8D">
              <w:rPr>
                <w:rFonts w:ascii="Arial" w:hAnsi="Arial" w:cs="Arial"/>
                <w:color w:val="000000"/>
                <w:sz w:val="20"/>
                <w:szCs w:val="20"/>
              </w:rPr>
              <w:t>"OMN frames" -- no such frames</w:t>
            </w:r>
          </w:p>
        </w:tc>
        <w:tc>
          <w:tcPr>
            <w:tcW w:w="2700" w:type="dxa"/>
            <w:shd w:val="clear" w:color="auto" w:fill="FFFFFF"/>
          </w:tcPr>
          <w:p w14:paraId="12B02DA3" w14:textId="77777777" w:rsidR="0097539D" w:rsidRDefault="0097539D" w:rsidP="0010047B">
            <w:pPr>
              <w:rPr>
                <w:rFonts w:ascii="Arial" w:hAnsi="Arial" w:cs="Arial"/>
                <w:color w:val="000000"/>
                <w:sz w:val="20"/>
                <w:szCs w:val="20"/>
              </w:rPr>
            </w:pPr>
            <w:r w:rsidRPr="00844D8D">
              <w:rPr>
                <w:rFonts w:ascii="Arial" w:hAnsi="Arial" w:cs="Arial"/>
                <w:color w:val="000000"/>
                <w:sz w:val="20"/>
                <w:szCs w:val="20"/>
              </w:rPr>
              <w:t>Change to "Operating Mode Notification frames"</w:t>
            </w:r>
          </w:p>
        </w:tc>
      </w:tr>
    </w:tbl>
    <w:p w14:paraId="4B7A46C4" w14:textId="77777777" w:rsidR="0097539D" w:rsidRDefault="0097539D" w:rsidP="0097539D">
      <w:r>
        <w:lastRenderedPageBreak/>
        <w:t>In this last location, the expansion of “OMN” and referencing “frames” seems appropriate.</w:t>
      </w:r>
    </w:p>
    <w:p w14:paraId="2CF9A09A" w14:textId="77777777" w:rsidR="0097539D" w:rsidRDefault="0097539D" w:rsidP="0097539D"/>
    <w:p w14:paraId="7F92EDC9" w14:textId="77777777" w:rsidR="0097539D" w:rsidRDefault="0097539D" w:rsidP="0097539D">
      <w:r>
        <w:t>At P4148.44, it also works to expand “OMN” to “Operating Mode Notification” as it applies to that ‘operation’.</w:t>
      </w:r>
    </w:p>
    <w:p w14:paraId="42B940EA" w14:textId="77777777" w:rsidR="0097539D" w:rsidRDefault="0097539D" w:rsidP="0097539D"/>
    <w:p w14:paraId="57FC2573" w14:textId="77777777" w:rsidR="0097539D" w:rsidRDefault="0097539D" w:rsidP="0097539D">
      <w:r>
        <w:t xml:space="preserve">However, at the P1971.34 location, there is no noun to go with an expanded “Operating Mode Notification” adjective.  Suggest, from context, that since it </w:t>
      </w:r>
      <w:proofErr w:type="gramStart"/>
      <w:r>
        <w:t>talking</w:t>
      </w:r>
      <w:proofErr w:type="gramEnd"/>
      <w:r>
        <w:t xml:space="preserve"> about “no OMN has been received”, it seems to also be a reference to the frame.</w:t>
      </w:r>
    </w:p>
    <w:p w14:paraId="7F35A1D0" w14:textId="77777777" w:rsidR="0097539D" w:rsidRDefault="0097539D" w:rsidP="0097539D"/>
    <w:p w14:paraId="478D9E20" w14:textId="77777777" w:rsidR="0097539D" w:rsidRDefault="0097539D" w:rsidP="0097539D">
      <w:r>
        <w:rPr>
          <w:b/>
          <w:bCs/>
          <w:u w:val="single"/>
        </w:rPr>
        <w:t>Proposed Resolution (CID 7113):</w:t>
      </w:r>
    </w:p>
    <w:p w14:paraId="1EF80B51" w14:textId="77777777" w:rsidR="0097539D" w:rsidRDefault="0097539D" w:rsidP="0097539D"/>
    <w:p w14:paraId="2CD6E62A" w14:textId="77777777" w:rsidR="0097539D" w:rsidRDefault="0097539D" w:rsidP="0097539D">
      <w:r w:rsidRPr="000D1D90">
        <w:rPr>
          <w:highlight w:val="green"/>
        </w:rPr>
        <w:t>Revised.</w:t>
      </w:r>
    </w:p>
    <w:p w14:paraId="4B489487" w14:textId="77777777" w:rsidR="0097539D" w:rsidRDefault="0097539D" w:rsidP="0097539D"/>
    <w:p w14:paraId="3A76CC85" w14:textId="77777777" w:rsidR="0097539D" w:rsidRDefault="0097539D" w:rsidP="0097539D">
      <w:r>
        <w:t xml:space="preserve">At P1971.34, P1971.49, P1972.26, and P1972.43, replace “OMN” with “Operating Mode Notification </w:t>
      </w:r>
      <w:proofErr w:type="gramStart"/>
      <w:r>
        <w:t>frame</w:t>
      </w:r>
      <w:proofErr w:type="gramEnd"/>
      <w:r>
        <w:t>”</w:t>
      </w:r>
    </w:p>
    <w:p w14:paraId="7A90DD1C" w14:textId="77777777" w:rsidR="0097539D" w:rsidRDefault="0097539D" w:rsidP="0097539D"/>
    <w:p w14:paraId="227F705D" w14:textId="77777777" w:rsidR="0097539D" w:rsidRDefault="0097539D" w:rsidP="0097539D">
      <w:r>
        <w:t xml:space="preserve">At P4148.44, replace “OMN” with “operating mode </w:t>
      </w:r>
      <w:proofErr w:type="gramStart"/>
      <w:r>
        <w:t>notification</w:t>
      </w:r>
      <w:proofErr w:type="gramEnd"/>
      <w:r>
        <w:t>”</w:t>
      </w:r>
    </w:p>
    <w:p w14:paraId="0E065690" w14:textId="77777777" w:rsidR="0097539D" w:rsidRDefault="0097539D" w:rsidP="0097539D"/>
    <w:p w14:paraId="24337D53" w14:textId="77777777" w:rsidR="0097539D" w:rsidRDefault="0097539D" w:rsidP="0097539D">
      <w:r>
        <w:t xml:space="preserve">At P4190.3, replace “OMN” with “Operating Mode </w:t>
      </w:r>
      <w:proofErr w:type="gramStart"/>
      <w:r>
        <w:t>Notification</w:t>
      </w:r>
      <w:proofErr w:type="gramEnd"/>
      <w:r>
        <w:t>”</w:t>
      </w:r>
    </w:p>
    <w:p w14:paraId="665B96AB" w14:textId="77777777" w:rsidR="0097539D" w:rsidRPr="00844D8D" w:rsidRDefault="0097539D" w:rsidP="0097539D"/>
    <w:p w14:paraId="62AFFCD4" w14:textId="77777777" w:rsidR="0097539D" w:rsidRDefault="0097539D" w:rsidP="0097539D">
      <w:r>
        <w:t>Note to Editor: This is aligned with “Accepted” for CID 7202.</w:t>
      </w:r>
    </w:p>
    <w:p w14:paraId="148341A3" w14:textId="77777777" w:rsidR="0097539D" w:rsidRPr="00B12ADD" w:rsidRDefault="0097539D" w:rsidP="0097539D"/>
    <w:p w14:paraId="0A79BDEB" w14:textId="77777777" w:rsidR="0097539D" w:rsidRDefault="0097539D" w:rsidP="0097539D">
      <w:r>
        <w:br w:type="page"/>
      </w:r>
    </w:p>
    <w:p w14:paraId="7B77A095" w14:textId="77777777" w:rsidR="0097539D" w:rsidRPr="00F94EDB" w:rsidRDefault="0097539D" w:rsidP="0097539D">
      <w:pPr>
        <w:rPr>
          <w:b/>
          <w:bCs/>
          <w:u w:val="single"/>
        </w:rPr>
      </w:pPr>
      <w:r w:rsidRPr="00F94EDB">
        <w:rPr>
          <w:b/>
          <w:bCs/>
          <w:u w:val="single"/>
        </w:rPr>
        <w:lastRenderedPageBreak/>
        <w:t>CID 7114(</w:t>
      </w:r>
      <w:r>
        <w:rPr>
          <w:b/>
          <w:bCs/>
          <w:u w:val="single"/>
        </w:rPr>
        <w:t>MAC</w:t>
      </w:r>
      <w:r w:rsidRPr="00F94EDB">
        <w:rPr>
          <w:b/>
          <w:bCs/>
          <w:u w:val="single"/>
        </w:rPr>
        <w:t>):</w:t>
      </w:r>
    </w:p>
    <w:p w14:paraId="37586785" w14:textId="77777777" w:rsidR="0097539D" w:rsidRDefault="0097539D" w:rsidP="0097539D"/>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97539D" w:rsidRPr="00B173D7" w14:paraId="67481A22" w14:textId="77777777" w:rsidTr="0010047B">
        <w:trPr>
          <w:trHeight w:val="373"/>
          <w:jc w:val="center"/>
        </w:trPr>
        <w:tc>
          <w:tcPr>
            <w:tcW w:w="805" w:type="dxa"/>
          </w:tcPr>
          <w:p w14:paraId="558828AA"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638CE94F"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2FDF5697" w14:textId="77777777" w:rsidR="0097539D" w:rsidRPr="00B173D7" w:rsidRDefault="0097539D"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26099EFF"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5A2562B2"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7539D" w14:paraId="2D6DF775" w14:textId="77777777" w:rsidTr="0010047B">
        <w:trPr>
          <w:trHeight w:val="1002"/>
          <w:jc w:val="center"/>
        </w:trPr>
        <w:tc>
          <w:tcPr>
            <w:tcW w:w="805" w:type="dxa"/>
          </w:tcPr>
          <w:p w14:paraId="541F7187" w14:textId="77777777" w:rsidR="0097539D" w:rsidRDefault="0097539D" w:rsidP="0010047B">
            <w:pPr>
              <w:rPr>
                <w:bCs/>
                <w:color w:val="000000" w:themeColor="text1"/>
              </w:rPr>
            </w:pPr>
            <w:r>
              <w:rPr>
                <w:bCs/>
                <w:color w:val="000000" w:themeColor="text1"/>
              </w:rPr>
              <w:t>7114</w:t>
            </w:r>
          </w:p>
        </w:tc>
        <w:tc>
          <w:tcPr>
            <w:tcW w:w="1080" w:type="dxa"/>
            <w:shd w:val="clear" w:color="auto" w:fill="FFFFFF"/>
          </w:tcPr>
          <w:p w14:paraId="55532674" w14:textId="77777777" w:rsidR="0097539D" w:rsidRDefault="0097539D" w:rsidP="0010047B">
            <w:pPr>
              <w:rPr>
                <w:rFonts w:ascii="Arial" w:hAnsi="Arial" w:cs="Arial"/>
                <w:color w:val="000000"/>
                <w:sz w:val="20"/>
                <w:szCs w:val="20"/>
              </w:rPr>
            </w:pPr>
            <w:r>
              <w:rPr>
                <w:rFonts w:ascii="Arial" w:hAnsi="Arial" w:cs="Arial"/>
                <w:color w:val="000000"/>
                <w:sz w:val="20"/>
                <w:szCs w:val="20"/>
              </w:rPr>
              <w:t>11.1.4.3.9</w:t>
            </w:r>
          </w:p>
        </w:tc>
        <w:tc>
          <w:tcPr>
            <w:tcW w:w="990" w:type="dxa"/>
            <w:shd w:val="clear" w:color="auto" w:fill="FFFFFF"/>
          </w:tcPr>
          <w:p w14:paraId="71F704E2" w14:textId="77777777" w:rsidR="0097539D" w:rsidRDefault="0097539D" w:rsidP="0010047B">
            <w:pPr>
              <w:rPr>
                <w:rFonts w:ascii="Arial" w:hAnsi="Arial" w:cs="Arial"/>
                <w:color w:val="000000"/>
                <w:sz w:val="20"/>
                <w:szCs w:val="20"/>
              </w:rPr>
            </w:pPr>
            <w:r>
              <w:rPr>
                <w:rFonts w:ascii="Arial" w:hAnsi="Arial" w:cs="Arial"/>
                <w:color w:val="000000"/>
                <w:sz w:val="20"/>
                <w:szCs w:val="20"/>
              </w:rPr>
              <w:t>2479.51</w:t>
            </w:r>
          </w:p>
        </w:tc>
        <w:tc>
          <w:tcPr>
            <w:tcW w:w="3420" w:type="dxa"/>
            <w:shd w:val="clear" w:color="auto" w:fill="FFFFFF"/>
          </w:tcPr>
          <w:p w14:paraId="2C833CA7" w14:textId="77777777" w:rsidR="0097539D" w:rsidRDefault="0097539D" w:rsidP="0010047B">
            <w:pPr>
              <w:rPr>
                <w:rFonts w:ascii="Arial" w:hAnsi="Arial" w:cs="Arial"/>
                <w:color w:val="000000"/>
                <w:sz w:val="20"/>
                <w:szCs w:val="20"/>
              </w:rPr>
            </w:pPr>
            <w:r>
              <w:rPr>
                <w:rFonts w:ascii="Arial" w:hAnsi="Arial" w:cs="Arial"/>
                <w:color w:val="000000"/>
                <w:sz w:val="20"/>
                <w:szCs w:val="20"/>
              </w:rPr>
              <w:t>This isn't a sentence. Fix it to be something about the transmitting STA shall do something with the Number element. I don't know what it's supposed to say, sorry.</w:t>
            </w:r>
          </w:p>
        </w:tc>
        <w:tc>
          <w:tcPr>
            <w:tcW w:w="3870" w:type="dxa"/>
            <w:shd w:val="clear" w:color="auto" w:fill="FFFFFF"/>
          </w:tcPr>
          <w:p w14:paraId="41BA9188" w14:textId="77777777" w:rsidR="0097539D" w:rsidRDefault="0097539D" w:rsidP="0010047B">
            <w:pPr>
              <w:rPr>
                <w:rFonts w:ascii="Arial" w:hAnsi="Arial" w:cs="Arial"/>
                <w:color w:val="000000"/>
                <w:sz w:val="20"/>
                <w:szCs w:val="20"/>
              </w:rPr>
            </w:pPr>
            <w:r>
              <w:rPr>
                <w:rFonts w:ascii="Arial" w:hAnsi="Arial" w:cs="Arial"/>
                <w:color w:val="000000"/>
                <w:sz w:val="20"/>
                <w:szCs w:val="20"/>
              </w:rPr>
              <w:t>As in comment.</w:t>
            </w:r>
          </w:p>
        </w:tc>
      </w:tr>
    </w:tbl>
    <w:p w14:paraId="6EBB104E" w14:textId="77777777" w:rsidR="0097539D" w:rsidRDefault="0097539D" w:rsidP="0097539D"/>
    <w:p w14:paraId="196D6125" w14:textId="77777777" w:rsidR="0097539D" w:rsidRDefault="0097539D" w:rsidP="0097539D">
      <w:r>
        <w:rPr>
          <w:b/>
          <w:bCs/>
          <w:u w:val="single"/>
        </w:rPr>
        <w:t>Discussion:</w:t>
      </w:r>
    </w:p>
    <w:p w14:paraId="143495FF" w14:textId="77777777" w:rsidR="0097539D" w:rsidRDefault="0097539D" w:rsidP="0097539D"/>
    <w:p w14:paraId="406B0B0A" w14:textId="77777777" w:rsidR="0097539D" w:rsidRDefault="0097539D" w:rsidP="0097539D">
      <w:r>
        <w:t xml:space="preserve">From </w:t>
      </w:r>
      <w:r w:rsidRPr="00596AA1">
        <w:t>11.1.4.3.9 Contents of a probe response</w:t>
      </w:r>
      <w:r>
        <w:t>, on P2479.51:</w:t>
      </w:r>
    </w:p>
    <w:p w14:paraId="65934956" w14:textId="77777777" w:rsidR="0097539D" w:rsidRDefault="0097539D" w:rsidP="0097539D">
      <w:r>
        <w:rPr>
          <w:noProof/>
        </w:rPr>
        <w:drawing>
          <wp:inline distT="0" distB="0" distL="0" distR="0" wp14:anchorId="1B306D46" wp14:editId="2BDCD7EB">
            <wp:extent cx="5895975" cy="1757680"/>
            <wp:effectExtent l="19050" t="19050" r="28575" b="139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5975" cy="1757680"/>
                    </a:xfrm>
                    <a:prstGeom prst="rect">
                      <a:avLst/>
                    </a:prstGeom>
                    <a:noFill/>
                    <a:ln w="9525">
                      <a:solidFill>
                        <a:schemeClr val="tx1"/>
                      </a:solidFill>
                    </a:ln>
                  </pic:spPr>
                </pic:pic>
              </a:graphicData>
            </a:graphic>
          </wp:inline>
        </w:drawing>
      </w:r>
    </w:p>
    <w:p w14:paraId="5E7145C0" w14:textId="77777777" w:rsidR="0097539D" w:rsidRDefault="0097539D" w:rsidP="0097539D"/>
    <w:p w14:paraId="3A8DCAF7" w14:textId="77777777" w:rsidR="0097539D" w:rsidRDefault="0097539D" w:rsidP="0097539D">
      <w:r>
        <w:t>These paragraphs came from 802.11ai-2016, P102:</w:t>
      </w:r>
    </w:p>
    <w:p w14:paraId="6CB03501" w14:textId="77777777" w:rsidR="0097539D" w:rsidRDefault="0097539D" w:rsidP="0097539D">
      <w:r>
        <w:rPr>
          <w:noProof/>
        </w:rPr>
        <w:drawing>
          <wp:inline distT="0" distB="0" distL="0" distR="0" wp14:anchorId="525422C5" wp14:editId="00C6B597">
            <wp:extent cx="5895975" cy="1652905"/>
            <wp:effectExtent l="19050" t="19050" r="28575" b="234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5975" cy="1652905"/>
                    </a:xfrm>
                    <a:prstGeom prst="rect">
                      <a:avLst/>
                    </a:prstGeom>
                    <a:noFill/>
                    <a:ln w="9525">
                      <a:solidFill>
                        <a:schemeClr val="tx1"/>
                      </a:solidFill>
                    </a:ln>
                  </pic:spPr>
                </pic:pic>
              </a:graphicData>
            </a:graphic>
          </wp:inline>
        </w:drawing>
      </w:r>
    </w:p>
    <w:p w14:paraId="3EEE47F2" w14:textId="77777777" w:rsidR="0097539D" w:rsidRDefault="0097539D" w:rsidP="0097539D"/>
    <w:p w14:paraId="564AEDFF" w14:textId="77777777" w:rsidR="0097539D" w:rsidRDefault="0097539D" w:rsidP="0097539D">
      <w:r>
        <w:t>It appears that a line of text got lost, in IEEE Std 802.11-2020.</w:t>
      </w:r>
    </w:p>
    <w:p w14:paraId="13993CBC" w14:textId="77777777" w:rsidR="0097539D" w:rsidRDefault="0097539D" w:rsidP="0097539D"/>
    <w:p w14:paraId="78BBBDC1" w14:textId="77777777" w:rsidR="0097539D" w:rsidRDefault="0097539D" w:rsidP="0097539D">
      <w:r w:rsidRPr="00156FA5">
        <w:rPr>
          <w:b/>
          <w:bCs/>
          <w:highlight w:val="green"/>
          <w:u w:val="single"/>
        </w:rPr>
        <w:t>Proposed Resolution:</w:t>
      </w:r>
    </w:p>
    <w:p w14:paraId="556B7D90" w14:textId="77777777" w:rsidR="0097539D" w:rsidRDefault="0097539D" w:rsidP="0097539D"/>
    <w:p w14:paraId="17BCDF3F" w14:textId="77777777" w:rsidR="0097539D" w:rsidRDefault="0097539D" w:rsidP="0097539D">
      <w:r>
        <w:t>Revised.</w:t>
      </w:r>
    </w:p>
    <w:p w14:paraId="43CD36DF" w14:textId="77777777" w:rsidR="0097539D" w:rsidRDefault="0097539D" w:rsidP="0097539D"/>
    <w:p w14:paraId="32BEF1B0" w14:textId="77777777" w:rsidR="0097539D" w:rsidRDefault="0097539D" w:rsidP="0097539D">
      <w:r>
        <w:t>At P2479.51, Add to the start of this paragraph:</w:t>
      </w:r>
    </w:p>
    <w:p w14:paraId="624ABD42" w14:textId="77777777" w:rsidR="0097539D" w:rsidRDefault="0097539D" w:rsidP="0097539D">
      <w:r>
        <w:t xml:space="preserve">“A STA having dot11InternetworkingServiceActivated true may include in the Probe Response frame a </w:t>
      </w:r>
      <w:proofErr w:type="gramStart"/>
      <w:r>
        <w:t>CAG</w:t>
      </w:r>
      <w:proofErr w:type="gramEnd"/>
      <w:r>
        <w:t>”</w:t>
      </w:r>
    </w:p>
    <w:p w14:paraId="684B8263" w14:textId="77777777" w:rsidR="0097539D" w:rsidRPr="00596AA1" w:rsidRDefault="0097539D" w:rsidP="0097539D"/>
    <w:p w14:paraId="33D60202" w14:textId="77777777" w:rsidR="0097539D" w:rsidRDefault="0097539D" w:rsidP="0097539D">
      <w:r>
        <w:br w:type="page"/>
      </w:r>
    </w:p>
    <w:p w14:paraId="3417CBBD" w14:textId="77777777" w:rsidR="0097539D" w:rsidRDefault="0097539D" w:rsidP="0097539D">
      <w:pPr>
        <w:rPr>
          <w:b/>
          <w:bCs/>
          <w:u w:val="single"/>
        </w:rPr>
      </w:pPr>
      <w:r>
        <w:rPr>
          <w:b/>
          <w:bCs/>
          <w:u w:val="single"/>
        </w:rPr>
        <w:lastRenderedPageBreak/>
        <w:t>CID 7107 (SEC</w:t>
      </w:r>
      <w:proofErr w:type="gramStart"/>
      <w:r>
        <w:rPr>
          <w:b/>
          <w:bCs/>
          <w:u w:val="single"/>
        </w:rPr>
        <w:t>);</w:t>
      </w:r>
      <w:proofErr w:type="gramEnd"/>
    </w:p>
    <w:p w14:paraId="0FEFD04E" w14:textId="77777777" w:rsidR="0097539D" w:rsidRDefault="0097539D" w:rsidP="0097539D">
      <w:pPr>
        <w:rPr>
          <w:b/>
          <w:bCs/>
          <w:u w:val="single"/>
        </w:rPr>
      </w:pPr>
    </w:p>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97539D" w:rsidRPr="00B173D7" w14:paraId="03454717" w14:textId="77777777" w:rsidTr="0010047B">
        <w:trPr>
          <w:trHeight w:val="373"/>
          <w:jc w:val="center"/>
        </w:trPr>
        <w:tc>
          <w:tcPr>
            <w:tcW w:w="805" w:type="dxa"/>
          </w:tcPr>
          <w:p w14:paraId="7E16EE1D"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50B9CE10"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03231BA6" w14:textId="77777777" w:rsidR="0097539D" w:rsidRPr="00B173D7" w:rsidRDefault="0097539D"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74E86EFE"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13F6EF41" w14:textId="77777777" w:rsidR="0097539D" w:rsidRPr="00B173D7" w:rsidRDefault="0097539D"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7539D" w14:paraId="289E92FF" w14:textId="77777777" w:rsidTr="0010047B">
        <w:trPr>
          <w:trHeight w:val="1002"/>
          <w:jc w:val="center"/>
        </w:trPr>
        <w:tc>
          <w:tcPr>
            <w:tcW w:w="805" w:type="dxa"/>
          </w:tcPr>
          <w:p w14:paraId="13C4F2DB" w14:textId="77777777" w:rsidR="0097539D" w:rsidRDefault="0097539D" w:rsidP="0010047B">
            <w:pPr>
              <w:rPr>
                <w:bCs/>
                <w:color w:val="000000" w:themeColor="text1"/>
              </w:rPr>
            </w:pPr>
            <w:r>
              <w:rPr>
                <w:bCs/>
                <w:color w:val="000000" w:themeColor="text1"/>
              </w:rPr>
              <w:t>7107</w:t>
            </w:r>
          </w:p>
        </w:tc>
        <w:tc>
          <w:tcPr>
            <w:tcW w:w="1080" w:type="dxa"/>
            <w:shd w:val="clear" w:color="auto" w:fill="FFFFFF"/>
          </w:tcPr>
          <w:p w14:paraId="05A58991" w14:textId="77777777" w:rsidR="0097539D" w:rsidRDefault="0097539D" w:rsidP="0010047B">
            <w:pPr>
              <w:rPr>
                <w:rFonts w:ascii="Arial" w:hAnsi="Arial" w:cs="Arial"/>
                <w:color w:val="000000"/>
                <w:sz w:val="20"/>
                <w:szCs w:val="20"/>
              </w:rPr>
            </w:pPr>
            <w:r>
              <w:rPr>
                <w:rFonts w:ascii="Arial" w:hAnsi="Arial" w:cs="Arial"/>
                <w:color w:val="000000"/>
                <w:sz w:val="20"/>
                <w:szCs w:val="20"/>
              </w:rPr>
              <w:t>12.7.8.2</w:t>
            </w:r>
          </w:p>
        </w:tc>
        <w:tc>
          <w:tcPr>
            <w:tcW w:w="990" w:type="dxa"/>
            <w:shd w:val="clear" w:color="auto" w:fill="FFFFFF"/>
          </w:tcPr>
          <w:p w14:paraId="3A9B272A" w14:textId="77777777" w:rsidR="0097539D" w:rsidRDefault="0097539D" w:rsidP="0010047B">
            <w:pPr>
              <w:rPr>
                <w:rFonts w:ascii="Arial" w:hAnsi="Arial" w:cs="Arial"/>
                <w:color w:val="000000"/>
                <w:sz w:val="20"/>
                <w:szCs w:val="20"/>
              </w:rPr>
            </w:pPr>
            <w:r>
              <w:rPr>
                <w:rFonts w:ascii="Arial" w:hAnsi="Arial" w:cs="Arial"/>
                <w:color w:val="000000"/>
                <w:sz w:val="20"/>
                <w:szCs w:val="20"/>
              </w:rPr>
              <w:t>3118.8</w:t>
            </w:r>
          </w:p>
        </w:tc>
        <w:tc>
          <w:tcPr>
            <w:tcW w:w="3420" w:type="dxa"/>
            <w:shd w:val="clear" w:color="auto" w:fill="FFFFFF"/>
          </w:tcPr>
          <w:p w14:paraId="6D3A4588" w14:textId="77777777" w:rsidR="0097539D" w:rsidRDefault="0097539D" w:rsidP="0010047B">
            <w:pPr>
              <w:rPr>
                <w:rFonts w:ascii="Arial" w:hAnsi="Arial" w:cs="Arial"/>
                <w:color w:val="000000"/>
                <w:sz w:val="20"/>
                <w:szCs w:val="20"/>
              </w:rPr>
            </w:pPr>
            <w:r>
              <w:rPr>
                <w:rFonts w:ascii="Arial" w:hAnsi="Arial" w:cs="Arial"/>
                <w:color w:val="000000"/>
                <w:sz w:val="20"/>
                <w:szCs w:val="20"/>
              </w:rPr>
              <w:t>The terms "TPK-KCK" and "TPK-TK" need to be understood in numerous places. Finding the definition (only) here is very awkward.</w:t>
            </w:r>
          </w:p>
        </w:tc>
        <w:tc>
          <w:tcPr>
            <w:tcW w:w="3870" w:type="dxa"/>
            <w:shd w:val="clear" w:color="auto" w:fill="FFFFFF"/>
          </w:tcPr>
          <w:p w14:paraId="6F8A52FC" w14:textId="77777777" w:rsidR="0097539D" w:rsidRDefault="0097539D" w:rsidP="0010047B">
            <w:pPr>
              <w:rPr>
                <w:rFonts w:ascii="Arial" w:hAnsi="Arial" w:cs="Arial"/>
                <w:color w:val="000000"/>
                <w:sz w:val="20"/>
                <w:szCs w:val="20"/>
              </w:rPr>
            </w:pPr>
            <w:r>
              <w:rPr>
                <w:rFonts w:ascii="Arial" w:hAnsi="Arial" w:cs="Arial"/>
                <w:color w:val="000000"/>
                <w:sz w:val="20"/>
                <w:szCs w:val="20"/>
              </w:rPr>
              <w:t>Add definitions for these terms in clause 3, and acronyms in 3.4.</w:t>
            </w:r>
          </w:p>
        </w:tc>
      </w:tr>
    </w:tbl>
    <w:p w14:paraId="667A0771" w14:textId="77777777" w:rsidR="0097539D" w:rsidRDefault="0097539D" w:rsidP="0097539D">
      <w:pPr>
        <w:rPr>
          <w:b/>
          <w:bCs/>
          <w:u w:val="single"/>
        </w:rPr>
      </w:pPr>
    </w:p>
    <w:p w14:paraId="727C6CD7" w14:textId="77777777" w:rsidR="0097539D" w:rsidRDefault="0097539D" w:rsidP="0097539D">
      <w:r>
        <w:rPr>
          <w:b/>
          <w:bCs/>
          <w:u w:val="single"/>
        </w:rPr>
        <w:t>Discussion:</w:t>
      </w:r>
    </w:p>
    <w:p w14:paraId="2A685870" w14:textId="77777777" w:rsidR="0097539D" w:rsidRDefault="0097539D" w:rsidP="0097539D"/>
    <w:p w14:paraId="00157C8F" w14:textId="77777777" w:rsidR="0097539D" w:rsidRDefault="0097539D" w:rsidP="0097539D">
      <w:r>
        <w:t>The KCK (</w:t>
      </w:r>
      <w:r w:rsidRPr="00F10F92">
        <w:t>key confirmation key</w:t>
      </w:r>
      <w:r>
        <w:t xml:space="preserve">) concept, in general, is well defined in the definitions and acronyms.  </w:t>
      </w:r>
    </w:p>
    <w:p w14:paraId="53583272" w14:textId="77777777" w:rsidR="0097539D" w:rsidRDefault="0097539D" w:rsidP="0097539D"/>
    <w:p w14:paraId="7994179A" w14:textId="77777777" w:rsidR="0097539D" w:rsidRDefault="0097539D" w:rsidP="0097539D">
      <w:r>
        <w:t>P231.41:</w:t>
      </w:r>
    </w:p>
    <w:p w14:paraId="415A74C4" w14:textId="77777777" w:rsidR="0097539D" w:rsidRDefault="0097539D" w:rsidP="0097539D">
      <w:r>
        <w:rPr>
          <w:noProof/>
        </w:rPr>
        <w:drawing>
          <wp:inline distT="0" distB="0" distL="0" distR="0" wp14:anchorId="6231030C" wp14:editId="0D4ECF1C">
            <wp:extent cx="5901055" cy="390525"/>
            <wp:effectExtent l="19050" t="19050" r="2349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1055" cy="390525"/>
                    </a:xfrm>
                    <a:prstGeom prst="rect">
                      <a:avLst/>
                    </a:prstGeom>
                    <a:noFill/>
                    <a:ln w="9525">
                      <a:solidFill>
                        <a:schemeClr val="tx1"/>
                      </a:solidFill>
                    </a:ln>
                  </pic:spPr>
                </pic:pic>
              </a:graphicData>
            </a:graphic>
          </wp:inline>
        </w:drawing>
      </w:r>
    </w:p>
    <w:p w14:paraId="463E6CED" w14:textId="77777777" w:rsidR="0097539D" w:rsidRDefault="0097539D" w:rsidP="0097539D"/>
    <w:p w14:paraId="63E5A540" w14:textId="77777777" w:rsidR="0097539D" w:rsidRDefault="0097539D" w:rsidP="0097539D">
      <w:r>
        <w:t>P263.14:</w:t>
      </w:r>
    </w:p>
    <w:p w14:paraId="7C016A54" w14:textId="77777777" w:rsidR="0097539D" w:rsidRDefault="0097539D" w:rsidP="0097539D">
      <w:r>
        <w:rPr>
          <w:noProof/>
        </w:rPr>
        <w:drawing>
          <wp:inline distT="0" distB="0" distL="0" distR="0" wp14:anchorId="236C2BC2" wp14:editId="07D76901">
            <wp:extent cx="5895975" cy="447675"/>
            <wp:effectExtent l="19050" t="19050" r="28575"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5975" cy="447675"/>
                    </a:xfrm>
                    <a:prstGeom prst="rect">
                      <a:avLst/>
                    </a:prstGeom>
                    <a:noFill/>
                    <a:ln w="9525">
                      <a:solidFill>
                        <a:schemeClr val="tx1"/>
                      </a:solidFill>
                    </a:ln>
                  </pic:spPr>
                </pic:pic>
              </a:graphicData>
            </a:graphic>
          </wp:inline>
        </w:drawing>
      </w:r>
    </w:p>
    <w:p w14:paraId="5D590FCD" w14:textId="77777777" w:rsidR="0097539D" w:rsidRDefault="0097539D" w:rsidP="0097539D"/>
    <w:p w14:paraId="3CC00BE8" w14:textId="77777777" w:rsidR="0097539D" w:rsidRDefault="0097539D" w:rsidP="0097539D">
      <w:r>
        <w:t>There are KCKs for many keys, PTK, SAE, and PASN PTKSA, in addition to TPK.  Each of these, is defined locally within their respective specifying subclauses.  There appears no reason to make the TPK-KCK and TPK-TK different, by defining these terms differently and introducing more duplication in the Standard.</w:t>
      </w:r>
    </w:p>
    <w:p w14:paraId="2E95945B" w14:textId="77777777" w:rsidR="0097539D" w:rsidRDefault="0097539D" w:rsidP="0097539D"/>
    <w:p w14:paraId="3B692F11" w14:textId="77777777" w:rsidR="0097539D" w:rsidRDefault="0097539D" w:rsidP="0097539D">
      <w:r>
        <w:rPr>
          <w:b/>
          <w:bCs/>
          <w:u w:val="single"/>
        </w:rPr>
        <w:t>Proposed Resolution:</w:t>
      </w:r>
    </w:p>
    <w:p w14:paraId="4D3F6801" w14:textId="77777777" w:rsidR="0097539D" w:rsidRDefault="0097539D" w:rsidP="0097539D"/>
    <w:p w14:paraId="1485DD7C" w14:textId="77777777" w:rsidR="0097539D" w:rsidRDefault="0097539D" w:rsidP="0097539D">
      <w:r w:rsidRPr="000D1D90">
        <w:rPr>
          <w:highlight w:val="green"/>
        </w:rPr>
        <w:t>Rejected.</w:t>
      </w:r>
      <w:r>
        <w:t xml:space="preserve">  There are KCKs for many keys, PTK, SAE, and PASN PTKSA, in addition to TPK.  There is a formal definition (and acronym expansion) for “KCK” as a general concept.  Each of the specific KCKs, are defined locally within their respective specifying subclauses.  There appears no reason to make the TPK-KCK and TPK-TK different, by defining these terms differently and introducing more duplication in the Standard.</w:t>
      </w:r>
    </w:p>
    <w:p w14:paraId="6E8E9FD5" w14:textId="77777777" w:rsidR="0097539D" w:rsidRDefault="0097539D" w:rsidP="0097539D"/>
    <w:p w14:paraId="70969AA6" w14:textId="77777777" w:rsidR="0097539D" w:rsidRDefault="0097539D" w:rsidP="0097539D">
      <w:r>
        <w:br w:type="page"/>
      </w:r>
    </w:p>
    <w:p w14:paraId="4C1D2C72" w14:textId="0F94DE13" w:rsidR="00590F5A" w:rsidRDefault="00590F5A" w:rsidP="00590F5A">
      <w:pPr>
        <w:rPr>
          <w:b/>
          <w:bCs/>
          <w:u w:val="single"/>
        </w:rPr>
      </w:pPr>
      <w:r>
        <w:rPr>
          <w:b/>
          <w:bCs/>
          <w:u w:val="single"/>
        </w:rPr>
        <w:lastRenderedPageBreak/>
        <w:t>CID 710</w:t>
      </w:r>
      <w:r>
        <w:rPr>
          <w:b/>
          <w:bCs/>
          <w:u w:val="single"/>
        </w:rPr>
        <w:t>6</w:t>
      </w:r>
      <w:r>
        <w:rPr>
          <w:b/>
          <w:bCs/>
          <w:u w:val="single"/>
        </w:rPr>
        <w:t xml:space="preserve"> (</w:t>
      </w:r>
      <w:r>
        <w:rPr>
          <w:b/>
          <w:bCs/>
          <w:u w:val="single"/>
        </w:rPr>
        <w:t>MAC</w:t>
      </w:r>
      <w:r>
        <w:rPr>
          <w:b/>
          <w:bCs/>
          <w:u w:val="single"/>
        </w:rPr>
        <w:t>)</w:t>
      </w:r>
      <w:r>
        <w:rPr>
          <w:b/>
          <w:bCs/>
          <w:u w:val="single"/>
        </w:rPr>
        <w:t>:</w:t>
      </w:r>
    </w:p>
    <w:p w14:paraId="66DD3BC1" w14:textId="77777777" w:rsidR="00590F5A" w:rsidRDefault="00590F5A" w:rsidP="00590F5A"/>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590F5A" w:rsidRPr="00B173D7" w14:paraId="386C7BAE" w14:textId="77777777" w:rsidTr="0010047B">
        <w:trPr>
          <w:trHeight w:val="373"/>
          <w:jc w:val="center"/>
        </w:trPr>
        <w:tc>
          <w:tcPr>
            <w:tcW w:w="805" w:type="dxa"/>
          </w:tcPr>
          <w:p w14:paraId="4DB3012A" w14:textId="77777777" w:rsidR="00590F5A" w:rsidRPr="00B173D7" w:rsidRDefault="00590F5A" w:rsidP="0010047B">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67408132" w14:textId="77777777" w:rsidR="00590F5A" w:rsidRPr="00B173D7" w:rsidRDefault="00590F5A" w:rsidP="0010047B">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30A94C4F" w14:textId="77777777" w:rsidR="00590F5A" w:rsidRPr="00B173D7" w:rsidRDefault="00590F5A" w:rsidP="0010047B">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69E130D0" w14:textId="77777777" w:rsidR="00590F5A" w:rsidRPr="00B173D7" w:rsidRDefault="00590F5A" w:rsidP="0010047B">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7F1A8BA7" w14:textId="77777777" w:rsidR="00590F5A" w:rsidRPr="00B173D7" w:rsidRDefault="00590F5A" w:rsidP="0010047B">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590F5A" w:rsidRPr="00FF04B3" w14:paraId="77D35424" w14:textId="77777777" w:rsidTr="0010047B">
        <w:trPr>
          <w:trHeight w:val="1002"/>
          <w:jc w:val="center"/>
        </w:trPr>
        <w:tc>
          <w:tcPr>
            <w:tcW w:w="805" w:type="dxa"/>
          </w:tcPr>
          <w:p w14:paraId="396ABC42" w14:textId="77777777" w:rsidR="00590F5A" w:rsidRDefault="00590F5A" w:rsidP="0010047B">
            <w:pPr>
              <w:rPr>
                <w:bCs/>
                <w:color w:val="000000" w:themeColor="text1"/>
              </w:rPr>
            </w:pPr>
            <w:r w:rsidRPr="00687D0F">
              <w:rPr>
                <w:bCs/>
                <w:color w:val="000000" w:themeColor="text1"/>
              </w:rPr>
              <w:t>7106</w:t>
            </w:r>
          </w:p>
        </w:tc>
        <w:tc>
          <w:tcPr>
            <w:tcW w:w="1080" w:type="dxa"/>
            <w:shd w:val="clear" w:color="auto" w:fill="FFFFFF"/>
          </w:tcPr>
          <w:p w14:paraId="4EC4FFDA" w14:textId="77777777" w:rsidR="00590F5A" w:rsidRDefault="00590F5A" w:rsidP="0010047B">
            <w:pPr>
              <w:rPr>
                <w:bCs/>
                <w:color w:val="000000" w:themeColor="text1"/>
              </w:rPr>
            </w:pPr>
            <w:r>
              <w:rPr>
                <w:rFonts w:ascii="Arial" w:hAnsi="Arial" w:cs="Arial"/>
                <w:color w:val="000000"/>
                <w:sz w:val="20"/>
                <w:szCs w:val="20"/>
              </w:rPr>
              <w:t>9.4.2.23.3</w:t>
            </w:r>
          </w:p>
        </w:tc>
        <w:tc>
          <w:tcPr>
            <w:tcW w:w="990" w:type="dxa"/>
            <w:shd w:val="clear" w:color="auto" w:fill="FFFFFF"/>
          </w:tcPr>
          <w:p w14:paraId="76982542" w14:textId="77777777" w:rsidR="00590F5A" w:rsidRDefault="00590F5A" w:rsidP="0010047B">
            <w:pPr>
              <w:rPr>
                <w:bCs/>
                <w:color w:val="000000" w:themeColor="text1"/>
              </w:rPr>
            </w:pPr>
            <w:r>
              <w:rPr>
                <w:rFonts w:ascii="Arial" w:hAnsi="Arial" w:cs="Arial"/>
                <w:color w:val="000000"/>
                <w:sz w:val="20"/>
                <w:szCs w:val="20"/>
              </w:rPr>
              <w:t>1023.46</w:t>
            </w:r>
          </w:p>
        </w:tc>
        <w:tc>
          <w:tcPr>
            <w:tcW w:w="3420" w:type="dxa"/>
            <w:shd w:val="clear" w:color="auto" w:fill="FFFFFF"/>
          </w:tcPr>
          <w:p w14:paraId="45DA57BA" w14:textId="77777777" w:rsidR="00590F5A" w:rsidRPr="00755349" w:rsidRDefault="00590F5A" w:rsidP="0010047B">
            <w:pPr>
              <w:rPr>
                <w:bCs/>
                <w:color w:val="000000" w:themeColor="text1"/>
              </w:rPr>
            </w:pPr>
            <w:r>
              <w:rPr>
                <w:rFonts w:ascii="Arial" w:hAnsi="Arial" w:cs="Arial"/>
                <w:color w:val="000000"/>
                <w:sz w:val="20"/>
                <w:szCs w:val="20"/>
              </w:rPr>
              <w:t xml:space="preserve">There </w:t>
            </w:r>
            <w:proofErr w:type="gramStart"/>
            <w:r>
              <w:rPr>
                <w:rFonts w:ascii="Arial" w:hAnsi="Arial" w:cs="Arial"/>
                <w:color w:val="000000"/>
                <w:sz w:val="20"/>
                <w:szCs w:val="20"/>
              </w:rPr>
              <w:t>are</w:t>
            </w:r>
            <w:proofErr w:type="gramEnd"/>
            <w:r>
              <w:rPr>
                <w:rFonts w:ascii="Arial" w:hAnsi="Arial" w:cs="Arial"/>
                <w:color w:val="000000"/>
                <w:sz w:val="20"/>
                <w:szCs w:val="20"/>
              </w:rPr>
              <w:t xml:space="preserve"> "Editor's </w:t>
            </w:r>
            <w:proofErr w:type="spellStart"/>
            <w:r>
              <w:rPr>
                <w:rFonts w:ascii="Arial" w:hAnsi="Arial" w:cs="Arial"/>
                <w:color w:val="000000"/>
                <w:sz w:val="20"/>
                <w:szCs w:val="20"/>
              </w:rPr>
              <w:t>Note"s</w:t>
            </w:r>
            <w:proofErr w:type="spellEnd"/>
            <w:r>
              <w:rPr>
                <w:rFonts w:ascii="Arial" w:hAnsi="Arial" w:cs="Arial"/>
                <w:color w:val="000000"/>
                <w:sz w:val="20"/>
                <w:szCs w:val="20"/>
              </w:rPr>
              <w:t xml:space="preserve"> still in the draft</w:t>
            </w:r>
          </w:p>
        </w:tc>
        <w:tc>
          <w:tcPr>
            <w:tcW w:w="3870" w:type="dxa"/>
            <w:shd w:val="clear" w:color="auto" w:fill="FFFFFF"/>
          </w:tcPr>
          <w:p w14:paraId="6464530F" w14:textId="77777777" w:rsidR="00590F5A" w:rsidRPr="00755349" w:rsidRDefault="00590F5A" w:rsidP="0010047B">
            <w:pPr>
              <w:rPr>
                <w:bCs/>
              </w:rPr>
            </w:pPr>
            <w:r>
              <w:rPr>
                <w:rFonts w:ascii="Arial" w:hAnsi="Arial" w:cs="Arial"/>
                <w:color w:val="000000"/>
                <w:sz w:val="20"/>
                <w:szCs w:val="20"/>
              </w:rPr>
              <w:t xml:space="preserve">Clean up the "Editor's </w:t>
            </w:r>
            <w:proofErr w:type="spellStart"/>
            <w:r>
              <w:rPr>
                <w:rFonts w:ascii="Arial" w:hAnsi="Arial" w:cs="Arial"/>
                <w:color w:val="000000"/>
                <w:sz w:val="20"/>
                <w:szCs w:val="20"/>
              </w:rPr>
              <w:t>Note"s</w:t>
            </w:r>
            <w:proofErr w:type="spellEnd"/>
          </w:p>
        </w:tc>
      </w:tr>
    </w:tbl>
    <w:p w14:paraId="00D79AF2" w14:textId="77777777" w:rsidR="00590F5A" w:rsidRDefault="00590F5A" w:rsidP="0097539D"/>
    <w:p w14:paraId="76335086" w14:textId="5A859585" w:rsidR="0097539D" w:rsidRDefault="00590F5A">
      <w:pPr>
        <w:rPr>
          <w:b/>
          <w:bCs/>
          <w:u w:val="single"/>
        </w:rPr>
      </w:pPr>
      <w:r>
        <w:rPr>
          <w:b/>
          <w:bCs/>
          <w:u w:val="single"/>
        </w:rPr>
        <w:t>Discussion:</w:t>
      </w:r>
    </w:p>
    <w:p w14:paraId="01CBEFB1" w14:textId="18C405FB" w:rsidR="00590F5A" w:rsidRDefault="00590F5A"/>
    <w:p w14:paraId="728E08CE" w14:textId="01785B8A" w:rsidR="00590F5A" w:rsidRDefault="00590F5A">
      <w:r>
        <w:t>Per discussion on April 17 (at San Diego F2F ad hoc), it is believed that all the Editor’s Notes have specific CIDs already filed on this ballot.  Thus, there is no further work to do on this “blanket” comment.  The easiest disposition is just to note that the commenter was not sufficiently specific.</w:t>
      </w:r>
    </w:p>
    <w:p w14:paraId="3D9AE98A" w14:textId="77777777" w:rsidR="00590F5A" w:rsidRDefault="00590F5A"/>
    <w:p w14:paraId="03DC6076" w14:textId="3660D28A" w:rsidR="00590F5A" w:rsidRDefault="00590F5A">
      <w:pPr>
        <w:rPr>
          <w:b/>
          <w:bCs/>
          <w:u w:val="single"/>
        </w:rPr>
      </w:pPr>
      <w:r>
        <w:rPr>
          <w:b/>
          <w:bCs/>
          <w:u w:val="single"/>
        </w:rPr>
        <w:t>Proposed Resolution:</w:t>
      </w:r>
    </w:p>
    <w:p w14:paraId="4917AA8C" w14:textId="77777777" w:rsidR="00590F5A" w:rsidRDefault="00590F5A">
      <w:pPr>
        <w:rPr>
          <w:b/>
          <w:bCs/>
          <w:u w:val="single"/>
        </w:rPr>
      </w:pPr>
    </w:p>
    <w:p w14:paraId="2CA1727A" w14:textId="40DDD123" w:rsidR="00590F5A" w:rsidRPr="00590F5A" w:rsidRDefault="00687D0F">
      <w:r w:rsidRPr="00687D0F">
        <w:rPr>
          <w:highlight w:val="green"/>
        </w:rPr>
        <w:t>Rejected</w:t>
      </w:r>
      <w:r>
        <w:t xml:space="preserve">.  </w:t>
      </w:r>
      <w:r w:rsidRPr="00687D0F">
        <w:t xml:space="preserve">The comment fails to provide sufficient detailed changes that would </w:t>
      </w:r>
      <w:r w:rsidRPr="00687D0F">
        <w:t>satisfy</w:t>
      </w:r>
      <w:r w:rsidRPr="00687D0F">
        <w:t xml:space="preserve"> the commenter.</w:t>
      </w:r>
    </w:p>
    <w:sectPr w:rsidR="00590F5A" w:rsidRPr="00590F5A" w:rsidSect="004D4962">
      <w:headerReference w:type="default" r:id="rId29"/>
      <w:footerReference w:type="default" r:id="rId30"/>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amilton, Mark" w:date="2024-04-15T18:52:00Z" w:initials="HM">
    <w:p w14:paraId="5516E0F3" w14:textId="3D3B2DB1" w:rsidR="00F94EDB" w:rsidRDefault="00F94EDB" w:rsidP="00CA2CFC">
      <w:pPr>
        <w:pStyle w:val="CommentText"/>
        <w:jc w:val="left"/>
      </w:pPr>
      <w:r>
        <w:rPr>
          <w:rStyle w:val="CommentReference"/>
        </w:rPr>
        <w:annotationRef/>
      </w:r>
      <w:r>
        <w:t>I need a TDLS expert to help with this.</w:t>
      </w:r>
    </w:p>
  </w:comment>
  <w:comment w:id="2" w:author="Hamilton, Mark" w:date="2024-04-18T10:40:00Z" w:initials="HM">
    <w:p w14:paraId="19C041FF" w14:textId="77777777" w:rsidR="000D1D90" w:rsidRDefault="000D1D90" w:rsidP="0060730E">
      <w:pPr>
        <w:pStyle w:val="CommentText"/>
        <w:jc w:val="left"/>
      </w:pPr>
      <w:r>
        <w:rPr>
          <w:rStyle w:val="CommentReference"/>
        </w:rPr>
        <w:annotationRef/>
      </w:r>
      <w:r>
        <w:t>Menzo</w:t>
      </w:r>
    </w:p>
  </w:comment>
  <w:comment w:id="3" w:author="Hamilton, Mark" w:date="2024-04-15T18:55:00Z" w:initials="HM">
    <w:p w14:paraId="26067A07" w14:textId="7AABFBE2" w:rsidR="005A784B" w:rsidRDefault="005A784B" w:rsidP="00952E31">
      <w:pPr>
        <w:pStyle w:val="CommentText"/>
        <w:jc w:val="left"/>
      </w:pPr>
      <w:r>
        <w:rPr>
          <w:rStyle w:val="CommentReference"/>
        </w:rPr>
        <w:annotationRef/>
      </w:r>
      <w:r>
        <w:t>More work required, and double-check the results with both IEEE 802 SME(s) and 802.3 SME(s).</w:t>
      </w:r>
    </w:p>
  </w:comment>
  <w:comment w:id="5" w:author="Hamilton, Mark" w:date="2024-04-15T19:01:00Z" w:initials="HM">
    <w:p w14:paraId="0198FDC0" w14:textId="77777777" w:rsidR="005A784B" w:rsidRDefault="005A784B" w:rsidP="00245C5A">
      <w:pPr>
        <w:pStyle w:val="CommentText"/>
        <w:jc w:val="left"/>
      </w:pPr>
      <w:r>
        <w:rPr>
          <w:rStyle w:val="CommentReference"/>
        </w:rPr>
        <w:annotationRef/>
      </w:r>
      <w:r>
        <w:t>Working with Stephen McCann on clean-up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6E0F3" w15:done="0"/>
  <w15:commentEx w15:paraId="19C041FF" w15:paraIdParent="5516E0F3" w15:done="0"/>
  <w15:commentEx w15:paraId="26067A07" w15:done="0"/>
  <w15:commentEx w15:paraId="0198F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F5D2" w16cex:dateUtc="2024-04-16T00:52:00Z"/>
  <w16cex:commentExtensible w16cex:durableId="29CB7734" w16cex:dateUtc="2024-04-18T16:40:00Z"/>
  <w16cex:commentExtensible w16cex:durableId="29C7F69C" w16cex:dateUtc="2024-04-16T00:55:00Z"/>
  <w16cex:commentExtensible w16cex:durableId="29C7F806" w16cex:dateUtc="2024-04-16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6E0F3" w16cid:durableId="29C7F5D2"/>
  <w16cid:commentId w16cid:paraId="19C041FF" w16cid:durableId="29CB7734"/>
  <w16cid:commentId w16cid:paraId="26067A07" w16cid:durableId="29C7F69C"/>
  <w16cid:commentId w16cid:paraId="0198FDC0" w16cid:durableId="29C7F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7BDC" w14:textId="77777777" w:rsidR="00561070" w:rsidRDefault="00561070">
      <w:r>
        <w:separator/>
      </w:r>
    </w:p>
  </w:endnote>
  <w:endnote w:type="continuationSeparator" w:id="0">
    <w:p w14:paraId="4CFC6104" w14:textId="77777777" w:rsidR="00561070" w:rsidRDefault="0056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ourierNew">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D2A7EAE" w:rsidR="00A96DBB" w:rsidRDefault="00000000">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r>
    <w:r w:rsidR="006A58EE">
      <w:t>Mark Hamilton, Ruckus/CommScope</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8D8C" w14:textId="77777777" w:rsidR="00561070" w:rsidRDefault="00561070">
      <w:r>
        <w:separator/>
      </w:r>
    </w:p>
  </w:footnote>
  <w:footnote w:type="continuationSeparator" w:id="0">
    <w:p w14:paraId="6CE746EF" w14:textId="77777777" w:rsidR="00561070" w:rsidRDefault="0056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3483DAA5" w:rsidR="00A96DBB" w:rsidRDefault="00243AB2">
    <w:pPr>
      <w:pStyle w:val="Header"/>
      <w:tabs>
        <w:tab w:val="clear" w:pos="6480"/>
        <w:tab w:val="center" w:pos="4680"/>
        <w:tab w:val="right" w:pos="9360"/>
      </w:tabs>
    </w:pPr>
    <w:r>
      <w:t>May</w:t>
    </w:r>
    <w:r w:rsidR="00160CD4">
      <w:t xml:space="preserve"> </w:t>
    </w:r>
    <w:r w:rsidR="00F86050">
      <w:t>202</w:t>
    </w:r>
    <w:r w:rsidR="00A436B1">
      <w:t>4</w:t>
    </w:r>
    <w:r w:rsidR="00A96DBB">
      <w:tab/>
    </w:r>
    <w:r w:rsidR="00A96DBB">
      <w:tab/>
    </w:r>
    <w:r w:rsidR="00A96DBB" w:rsidRPr="00C80CDE">
      <w:t>doc.: IEEE 802.11-</w:t>
    </w:r>
    <w:r w:rsidR="00A96DBB">
      <w:t>2</w:t>
    </w:r>
    <w:r w:rsidR="00A436B1">
      <w:t>4</w:t>
    </w:r>
    <w:r w:rsidR="00A96DBB">
      <w:t>/</w:t>
    </w:r>
    <w:r w:rsidR="00A436B1">
      <w:t>0691</w:t>
    </w:r>
    <w:r w:rsidR="00EE3757">
      <w:t>r</w:t>
    </w:r>
    <w:r w:rsidR="00590F5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E4F3B"/>
    <w:multiLevelType w:val="hybridMultilevel"/>
    <w:tmpl w:val="2988B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37A4B"/>
    <w:multiLevelType w:val="hybridMultilevel"/>
    <w:tmpl w:val="BED0DAAC"/>
    <w:lvl w:ilvl="0" w:tplc="5ACE15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92440"/>
    <w:multiLevelType w:val="hybridMultilevel"/>
    <w:tmpl w:val="2988B792"/>
    <w:lvl w:ilvl="0" w:tplc="46F0C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966321">
    <w:abstractNumId w:val="19"/>
  </w:num>
  <w:num w:numId="2" w16cid:durableId="15281354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791022866">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6586542">
    <w:abstractNumId w:val="34"/>
  </w:num>
  <w:num w:numId="5" w16cid:durableId="1669601283">
    <w:abstractNumId w:val="25"/>
  </w:num>
  <w:num w:numId="6" w16cid:durableId="1190030508">
    <w:abstractNumId w:val="1"/>
  </w:num>
  <w:num w:numId="7" w16cid:durableId="956330363">
    <w:abstractNumId w:val="2"/>
  </w:num>
  <w:num w:numId="8" w16cid:durableId="1359812710">
    <w:abstractNumId w:val="24"/>
  </w:num>
  <w:num w:numId="9" w16cid:durableId="26084350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02852811">
    <w:abstractNumId w:val="14"/>
  </w:num>
  <w:num w:numId="11" w16cid:durableId="929847219">
    <w:abstractNumId w:val="29"/>
  </w:num>
  <w:num w:numId="12" w16cid:durableId="812674938">
    <w:abstractNumId w:val="12"/>
  </w:num>
  <w:num w:numId="13" w16cid:durableId="1224491403">
    <w:abstractNumId w:val="35"/>
  </w:num>
  <w:num w:numId="14" w16cid:durableId="642539881">
    <w:abstractNumId w:val="5"/>
  </w:num>
  <w:num w:numId="15" w16cid:durableId="1112284741">
    <w:abstractNumId w:val="28"/>
  </w:num>
  <w:num w:numId="16" w16cid:durableId="2079864565">
    <w:abstractNumId w:val="32"/>
  </w:num>
  <w:num w:numId="17" w16cid:durableId="1201166070">
    <w:abstractNumId w:val="7"/>
  </w:num>
  <w:num w:numId="18" w16cid:durableId="1306424808">
    <w:abstractNumId w:val="4"/>
  </w:num>
  <w:num w:numId="19" w16cid:durableId="932321875">
    <w:abstractNumId w:val="13"/>
  </w:num>
  <w:num w:numId="20" w16cid:durableId="706488314">
    <w:abstractNumId w:val="6"/>
  </w:num>
  <w:num w:numId="21" w16cid:durableId="858198267">
    <w:abstractNumId w:val="23"/>
  </w:num>
  <w:num w:numId="22" w16cid:durableId="402678634">
    <w:abstractNumId w:val="27"/>
  </w:num>
  <w:num w:numId="23" w16cid:durableId="735905931">
    <w:abstractNumId w:val="11"/>
  </w:num>
  <w:num w:numId="24" w16cid:durableId="377290904">
    <w:abstractNumId w:val="3"/>
  </w:num>
  <w:num w:numId="25" w16cid:durableId="1248154102">
    <w:abstractNumId w:val="20"/>
  </w:num>
  <w:num w:numId="26" w16cid:durableId="1472478084">
    <w:abstractNumId w:val="10"/>
  </w:num>
  <w:num w:numId="27" w16cid:durableId="1923833723">
    <w:abstractNumId w:val="26"/>
  </w:num>
  <w:num w:numId="28" w16cid:durableId="1291400975">
    <w:abstractNumId w:val="16"/>
  </w:num>
  <w:num w:numId="29" w16cid:durableId="1800606615">
    <w:abstractNumId w:val="33"/>
  </w:num>
  <w:num w:numId="30" w16cid:durableId="786003502">
    <w:abstractNumId w:val="8"/>
  </w:num>
  <w:num w:numId="31" w16cid:durableId="230696278">
    <w:abstractNumId w:val="15"/>
  </w:num>
  <w:num w:numId="32" w16cid:durableId="2066027533">
    <w:abstractNumId w:val="22"/>
  </w:num>
  <w:num w:numId="33" w16cid:durableId="383717060">
    <w:abstractNumId w:val="21"/>
  </w:num>
  <w:num w:numId="34" w16cid:durableId="87434572">
    <w:abstractNumId w:val="31"/>
  </w:num>
  <w:num w:numId="35" w16cid:durableId="1788499687">
    <w:abstractNumId w:val="17"/>
  </w:num>
  <w:num w:numId="36" w16cid:durableId="884411664">
    <w:abstractNumId w:val="18"/>
  </w:num>
  <w:num w:numId="37" w16cid:durableId="1994406312">
    <w:abstractNumId w:val="30"/>
  </w:num>
  <w:num w:numId="38" w16cid:durableId="160348949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7"/>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01BC"/>
    <w:rsid w:val="000514C0"/>
    <w:rsid w:val="00054031"/>
    <w:rsid w:val="000573DA"/>
    <w:rsid w:val="0005746C"/>
    <w:rsid w:val="000602FF"/>
    <w:rsid w:val="00062058"/>
    <w:rsid w:val="00062A8D"/>
    <w:rsid w:val="00062F23"/>
    <w:rsid w:val="00064296"/>
    <w:rsid w:val="000649C7"/>
    <w:rsid w:val="000668AF"/>
    <w:rsid w:val="00067181"/>
    <w:rsid w:val="0006743C"/>
    <w:rsid w:val="00070079"/>
    <w:rsid w:val="00071822"/>
    <w:rsid w:val="0007296C"/>
    <w:rsid w:val="0007478C"/>
    <w:rsid w:val="00074821"/>
    <w:rsid w:val="00074D1C"/>
    <w:rsid w:val="00075915"/>
    <w:rsid w:val="0007595A"/>
    <w:rsid w:val="000759DC"/>
    <w:rsid w:val="00075B43"/>
    <w:rsid w:val="0007612E"/>
    <w:rsid w:val="000767C3"/>
    <w:rsid w:val="00076869"/>
    <w:rsid w:val="00076CE0"/>
    <w:rsid w:val="0007782B"/>
    <w:rsid w:val="00077A52"/>
    <w:rsid w:val="00080CEC"/>
    <w:rsid w:val="000811B8"/>
    <w:rsid w:val="00083F34"/>
    <w:rsid w:val="0008436F"/>
    <w:rsid w:val="00085109"/>
    <w:rsid w:val="0008547C"/>
    <w:rsid w:val="000855F9"/>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271E"/>
    <w:rsid w:val="000B4854"/>
    <w:rsid w:val="000B5564"/>
    <w:rsid w:val="000B6256"/>
    <w:rsid w:val="000B6D2C"/>
    <w:rsid w:val="000C1CC8"/>
    <w:rsid w:val="000C2343"/>
    <w:rsid w:val="000C2DAE"/>
    <w:rsid w:val="000C3B92"/>
    <w:rsid w:val="000C3CDE"/>
    <w:rsid w:val="000C4256"/>
    <w:rsid w:val="000C4A03"/>
    <w:rsid w:val="000C67D5"/>
    <w:rsid w:val="000C6ABC"/>
    <w:rsid w:val="000C730A"/>
    <w:rsid w:val="000C7354"/>
    <w:rsid w:val="000C7929"/>
    <w:rsid w:val="000C7CE3"/>
    <w:rsid w:val="000C7F1B"/>
    <w:rsid w:val="000D0E9D"/>
    <w:rsid w:val="000D125E"/>
    <w:rsid w:val="000D1D90"/>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0F56"/>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6FA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24EB"/>
    <w:rsid w:val="00184899"/>
    <w:rsid w:val="00184C82"/>
    <w:rsid w:val="001869A0"/>
    <w:rsid w:val="0019074C"/>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AFD"/>
    <w:rsid w:val="00215CA6"/>
    <w:rsid w:val="0021630B"/>
    <w:rsid w:val="00216E98"/>
    <w:rsid w:val="00216EE6"/>
    <w:rsid w:val="00217190"/>
    <w:rsid w:val="002171A5"/>
    <w:rsid w:val="0022099B"/>
    <w:rsid w:val="002213A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AB2"/>
    <w:rsid w:val="00243F45"/>
    <w:rsid w:val="002455A7"/>
    <w:rsid w:val="00246161"/>
    <w:rsid w:val="0024621E"/>
    <w:rsid w:val="00246E03"/>
    <w:rsid w:val="00247141"/>
    <w:rsid w:val="00250004"/>
    <w:rsid w:val="002509E2"/>
    <w:rsid w:val="0025125F"/>
    <w:rsid w:val="00251DB4"/>
    <w:rsid w:val="00252072"/>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4F45"/>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2DBB"/>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305C"/>
    <w:rsid w:val="002E4166"/>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2452"/>
    <w:rsid w:val="0034337C"/>
    <w:rsid w:val="00343B44"/>
    <w:rsid w:val="00345A26"/>
    <w:rsid w:val="00347A11"/>
    <w:rsid w:val="00347D79"/>
    <w:rsid w:val="00350157"/>
    <w:rsid w:val="003506A5"/>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AF5"/>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978B8"/>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4E47"/>
    <w:rsid w:val="003B59FC"/>
    <w:rsid w:val="003B6407"/>
    <w:rsid w:val="003B6E8A"/>
    <w:rsid w:val="003B6F0A"/>
    <w:rsid w:val="003B6FD9"/>
    <w:rsid w:val="003B7F20"/>
    <w:rsid w:val="003C0173"/>
    <w:rsid w:val="003C0A0B"/>
    <w:rsid w:val="003C1429"/>
    <w:rsid w:val="003C1BB0"/>
    <w:rsid w:val="003C1D69"/>
    <w:rsid w:val="003C238C"/>
    <w:rsid w:val="003C30FE"/>
    <w:rsid w:val="003C4EA1"/>
    <w:rsid w:val="003C51E9"/>
    <w:rsid w:val="003C5A13"/>
    <w:rsid w:val="003C63CC"/>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EE7"/>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17"/>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76DC1"/>
    <w:rsid w:val="00477361"/>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0C5"/>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998"/>
    <w:rsid w:val="004C7E02"/>
    <w:rsid w:val="004D090D"/>
    <w:rsid w:val="004D11AE"/>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4FB0"/>
    <w:rsid w:val="0050796A"/>
    <w:rsid w:val="00507FF8"/>
    <w:rsid w:val="005108DF"/>
    <w:rsid w:val="0051238A"/>
    <w:rsid w:val="0051333A"/>
    <w:rsid w:val="00513558"/>
    <w:rsid w:val="005138F2"/>
    <w:rsid w:val="00513B6E"/>
    <w:rsid w:val="0051419E"/>
    <w:rsid w:val="00514919"/>
    <w:rsid w:val="005155E2"/>
    <w:rsid w:val="00515DE0"/>
    <w:rsid w:val="0051631F"/>
    <w:rsid w:val="005177D6"/>
    <w:rsid w:val="005203C4"/>
    <w:rsid w:val="00520634"/>
    <w:rsid w:val="005209D1"/>
    <w:rsid w:val="00520BF9"/>
    <w:rsid w:val="0052169E"/>
    <w:rsid w:val="00522311"/>
    <w:rsid w:val="00522CB9"/>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070"/>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0F5A"/>
    <w:rsid w:val="00592322"/>
    <w:rsid w:val="00592FB3"/>
    <w:rsid w:val="0059447E"/>
    <w:rsid w:val="0059488E"/>
    <w:rsid w:val="00595AD1"/>
    <w:rsid w:val="00595FFF"/>
    <w:rsid w:val="00596AA1"/>
    <w:rsid w:val="0059757E"/>
    <w:rsid w:val="005A045E"/>
    <w:rsid w:val="005A0908"/>
    <w:rsid w:val="005A1ACB"/>
    <w:rsid w:val="005A2AC0"/>
    <w:rsid w:val="005A3082"/>
    <w:rsid w:val="005A3827"/>
    <w:rsid w:val="005A53EE"/>
    <w:rsid w:val="005A557B"/>
    <w:rsid w:val="005A6281"/>
    <w:rsid w:val="005A655F"/>
    <w:rsid w:val="005A784B"/>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5224"/>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17218"/>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5AA"/>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68AC"/>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875C2"/>
    <w:rsid w:val="00687D0F"/>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58EE"/>
    <w:rsid w:val="006A762F"/>
    <w:rsid w:val="006A7827"/>
    <w:rsid w:val="006A7829"/>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71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0658"/>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2751"/>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5701"/>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349"/>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A7EFE"/>
    <w:rsid w:val="007B1320"/>
    <w:rsid w:val="007B153F"/>
    <w:rsid w:val="007B1557"/>
    <w:rsid w:val="007B2A89"/>
    <w:rsid w:val="007B3018"/>
    <w:rsid w:val="007B3CF1"/>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0C8"/>
    <w:rsid w:val="007E5C39"/>
    <w:rsid w:val="007E5D3A"/>
    <w:rsid w:val="007F0296"/>
    <w:rsid w:val="007F1341"/>
    <w:rsid w:val="007F1CB7"/>
    <w:rsid w:val="007F21D8"/>
    <w:rsid w:val="007F3359"/>
    <w:rsid w:val="007F3B59"/>
    <w:rsid w:val="007F4646"/>
    <w:rsid w:val="007F53DD"/>
    <w:rsid w:val="008013B6"/>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4EC5"/>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BF"/>
    <w:rsid w:val="00831AC1"/>
    <w:rsid w:val="00831F54"/>
    <w:rsid w:val="0083270F"/>
    <w:rsid w:val="00833E00"/>
    <w:rsid w:val="00835B59"/>
    <w:rsid w:val="008365D0"/>
    <w:rsid w:val="008406A5"/>
    <w:rsid w:val="0084090F"/>
    <w:rsid w:val="0084122C"/>
    <w:rsid w:val="00842242"/>
    <w:rsid w:val="00842535"/>
    <w:rsid w:val="0084388E"/>
    <w:rsid w:val="00844539"/>
    <w:rsid w:val="00844D8D"/>
    <w:rsid w:val="0084504C"/>
    <w:rsid w:val="00846440"/>
    <w:rsid w:val="008464DB"/>
    <w:rsid w:val="00846FE6"/>
    <w:rsid w:val="00850581"/>
    <w:rsid w:val="00850743"/>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3FB1"/>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07D17"/>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1EB8"/>
    <w:rsid w:val="00932686"/>
    <w:rsid w:val="00933191"/>
    <w:rsid w:val="009339FC"/>
    <w:rsid w:val="00936293"/>
    <w:rsid w:val="00937AEB"/>
    <w:rsid w:val="00937B18"/>
    <w:rsid w:val="00937B28"/>
    <w:rsid w:val="009417BA"/>
    <w:rsid w:val="009418A5"/>
    <w:rsid w:val="009427F7"/>
    <w:rsid w:val="00942930"/>
    <w:rsid w:val="00943CC2"/>
    <w:rsid w:val="00944D3F"/>
    <w:rsid w:val="0094515A"/>
    <w:rsid w:val="00947E85"/>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539D"/>
    <w:rsid w:val="0097574A"/>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2FC"/>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1D00"/>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75F"/>
    <w:rsid w:val="00A15B91"/>
    <w:rsid w:val="00A15EE1"/>
    <w:rsid w:val="00A16551"/>
    <w:rsid w:val="00A17186"/>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36B1"/>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CEC"/>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070C6"/>
    <w:rsid w:val="00B10A75"/>
    <w:rsid w:val="00B12292"/>
    <w:rsid w:val="00B12ADD"/>
    <w:rsid w:val="00B12F02"/>
    <w:rsid w:val="00B13237"/>
    <w:rsid w:val="00B1324E"/>
    <w:rsid w:val="00B13620"/>
    <w:rsid w:val="00B1390F"/>
    <w:rsid w:val="00B13AA6"/>
    <w:rsid w:val="00B14207"/>
    <w:rsid w:val="00B14C7F"/>
    <w:rsid w:val="00B173D7"/>
    <w:rsid w:val="00B173DB"/>
    <w:rsid w:val="00B17953"/>
    <w:rsid w:val="00B20276"/>
    <w:rsid w:val="00B20798"/>
    <w:rsid w:val="00B2143A"/>
    <w:rsid w:val="00B22214"/>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6E27"/>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5893"/>
    <w:rsid w:val="00BA6190"/>
    <w:rsid w:val="00BA631B"/>
    <w:rsid w:val="00BA69AD"/>
    <w:rsid w:val="00BA7502"/>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3FF"/>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3B5"/>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63F"/>
    <w:rsid w:val="00C3380D"/>
    <w:rsid w:val="00C33981"/>
    <w:rsid w:val="00C37D47"/>
    <w:rsid w:val="00C404F9"/>
    <w:rsid w:val="00C410FB"/>
    <w:rsid w:val="00C41331"/>
    <w:rsid w:val="00C41FCD"/>
    <w:rsid w:val="00C4299E"/>
    <w:rsid w:val="00C42C9F"/>
    <w:rsid w:val="00C430FF"/>
    <w:rsid w:val="00C44722"/>
    <w:rsid w:val="00C44D9C"/>
    <w:rsid w:val="00C515F4"/>
    <w:rsid w:val="00C52D48"/>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2BAC"/>
    <w:rsid w:val="00C7373E"/>
    <w:rsid w:val="00C73D5E"/>
    <w:rsid w:val="00C74E33"/>
    <w:rsid w:val="00C75303"/>
    <w:rsid w:val="00C757F9"/>
    <w:rsid w:val="00C75A0F"/>
    <w:rsid w:val="00C761C4"/>
    <w:rsid w:val="00C7642B"/>
    <w:rsid w:val="00C77282"/>
    <w:rsid w:val="00C77FFA"/>
    <w:rsid w:val="00C80619"/>
    <w:rsid w:val="00C80B16"/>
    <w:rsid w:val="00C80C2F"/>
    <w:rsid w:val="00C80CDE"/>
    <w:rsid w:val="00C80EAA"/>
    <w:rsid w:val="00C83B05"/>
    <w:rsid w:val="00C840D9"/>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6B3"/>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21"/>
    <w:rsid w:val="00D41376"/>
    <w:rsid w:val="00D41BC8"/>
    <w:rsid w:val="00D41C9E"/>
    <w:rsid w:val="00D41F9B"/>
    <w:rsid w:val="00D41FD9"/>
    <w:rsid w:val="00D435E7"/>
    <w:rsid w:val="00D44215"/>
    <w:rsid w:val="00D4439A"/>
    <w:rsid w:val="00D44603"/>
    <w:rsid w:val="00D454F7"/>
    <w:rsid w:val="00D46365"/>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2ED2"/>
    <w:rsid w:val="00D94EA7"/>
    <w:rsid w:val="00D95BA6"/>
    <w:rsid w:val="00D96B45"/>
    <w:rsid w:val="00D96D20"/>
    <w:rsid w:val="00D97D7D"/>
    <w:rsid w:val="00DA0063"/>
    <w:rsid w:val="00DA036E"/>
    <w:rsid w:val="00DA101F"/>
    <w:rsid w:val="00DA396D"/>
    <w:rsid w:val="00DA416B"/>
    <w:rsid w:val="00DA549A"/>
    <w:rsid w:val="00DA5D94"/>
    <w:rsid w:val="00DA6AA5"/>
    <w:rsid w:val="00DA6BB3"/>
    <w:rsid w:val="00DA6EF3"/>
    <w:rsid w:val="00DA7000"/>
    <w:rsid w:val="00DA7439"/>
    <w:rsid w:val="00DB0C97"/>
    <w:rsid w:val="00DB0CF3"/>
    <w:rsid w:val="00DB241A"/>
    <w:rsid w:val="00DB3A81"/>
    <w:rsid w:val="00DB4247"/>
    <w:rsid w:val="00DB42B5"/>
    <w:rsid w:val="00DB4C2C"/>
    <w:rsid w:val="00DB5055"/>
    <w:rsid w:val="00DB55C0"/>
    <w:rsid w:val="00DB55D1"/>
    <w:rsid w:val="00DB5E33"/>
    <w:rsid w:val="00DB6056"/>
    <w:rsid w:val="00DB74C4"/>
    <w:rsid w:val="00DC0AE2"/>
    <w:rsid w:val="00DC1239"/>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2D9"/>
    <w:rsid w:val="00DF48E6"/>
    <w:rsid w:val="00DF674D"/>
    <w:rsid w:val="00DF7432"/>
    <w:rsid w:val="00DF771E"/>
    <w:rsid w:val="00E007FE"/>
    <w:rsid w:val="00E010A0"/>
    <w:rsid w:val="00E01240"/>
    <w:rsid w:val="00E0183E"/>
    <w:rsid w:val="00E0341B"/>
    <w:rsid w:val="00E04ED3"/>
    <w:rsid w:val="00E04EEA"/>
    <w:rsid w:val="00E05011"/>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B6A"/>
    <w:rsid w:val="00E74CA0"/>
    <w:rsid w:val="00E75779"/>
    <w:rsid w:val="00E76C7D"/>
    <w:rsid w:val="00E774C9"/>
    <w:rsid w:val="00E7797A"/>
    <w:rsid w:val="00E802E4"/>
    <w:rsid w:val="00E8042F"/>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6B61"/>
    <w:rsid w:val="00E97C45"/>
    <w:rsid w:val="00EA0AFC"/>
    <w:rsid w:val="00EA10B7"/>
    <w:rsid w:val="00EA2B0E"/>
    <w:rsid w:val="00EA2B7A"/>
    <w:rsid w:val="00EA2E71"/>
    <w:rsid w:val="00EA3A0B"/>
    <w:rsid w:val="00EA4923"/>
    <w:rsid w:val="00EA5893"/>
    <w:rsid w:val="00EA5E89"/>
    <w:rsid w:val="00EA62A7"/>
    <w:rsid w:val="00EA7B98"/>
    <w:rsid w:val="00EB02C7"/>
    <w:rsid w:val="00EB0F62"/>
    <w:rsid w:val="00EB1946"/>
    <w:rsid w:val="00EB29C2"/>
    <w:rsid w:val="00EB2BA4"/>
    <w:rsid w:val="00EB2C4B"/>
    <w:rsid w:val="00EB2CFB"/>
    <w:rsid w:val="00EB34F6"/>
    <w:rsid w:val="00EB4016"/>
    <w:rsid w:val="00EB53FC"/>
    <w:rsid w:val="00EB5FB9"/>
    <w:rsid w:val="00EB67E3"/>
    <w:rsid w:val="00EB68EA"/>
    <w:rsid w:val="00EB6E65"/>
    <w:rsid w:val="00EC01F8"/>
    <w:rsid w:val="00EC2928"/>
    <w:rsid w:val="00EC2A59"/>
    <w:rsid w:val="00EC3A70"/>
    <w:rsid w:val="00EC404D"/>
    <w:rsid w:val="00EC7807"/>
    <w:rsid w:val="00EC7A18"/>
    <w:rsid w:val="00ED1030"/>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0F92"/>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310"/>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654"/>
    <w:rsid w:val="00F947A4"/>
    <w:rsid w:val="00F94972"/>
    <w:rsid w:val="00F94E77"/>
    <w:rsid w:val="00F94EDB"/>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1CC3"/>
    <w:rsid w:val="00FC2C7C"/>
    <w:rsid w:val="00FC39D0"/>
    <w:rsid w:val="00FC3DE7"/>
    <w:rsid w:val="00FC43F8"/>
    <w:rsid w:val="00FC4821"/>
    <w:rsid w:val="00FC4C01"/>
    <w:rsid w:val="00FC4D20"/>
    <w:rsid w:val="00FC6B31"/>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04B3"/>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6AB23"/>
  <w15:docId w15:val="{10DDA526-27D7-47C3-873D-DD0AFB90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HTMLPreformatted">
    <w:name w:val="HTML Preformatted"/>
    <w:basedOn w:val="Normal"/>
    <w:link w:val="HTMLPreformattedChar"/>
    <w:uiPriority w:val="99"/>
    <w:unhideWhenUsed/>
    <w:rsid w:val="00B1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173D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008">
      <w:bodyDiv w:val="1"/>
      <w:marLeft w:val="0"/>
      <w:marRight w:val="0"/>
      <w:marTop w:val="0"/>
      <w:marBottom w:val="0"/>
      <w:divBdr>
        <w:top w:val="none" w:sz="0" w:space="0" w:color="auto"/>
        <w:left w:val="none" w:sz="0" w:space="0" w:color="auto"/>
        <w:bottom w:val="none" w:sz="0" w:space="0" w:color="auto"/>
        <w:right w:val="none" w:sz="0" w:space="0" w:color="auto"/>
      </w:divBdr>
    </w:div>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317877937">
          <w:marLeft w:val="0"/>
          <w:marRight w:val="0"/>
          <w:marTop w:val="0"/>
          <w:marBottom w:val="0"/>
          <w:divBdr>
            <w:top w:val="none" w:sz="0" w:space="0" w:color="auto"/>
            <w:left w:val="none" w:sz="0" w:space="0" w:color="auto"/>
            <w:bottom w:val="none" w:sz="0" w:space="0" w:color="auto"/>
            <w:right w:val="none" w:sz="0" w:space="0" w:color="auto"/>
          </w:divBdr>
        </w:div>
        <w:div w:id="1918442619">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64285288">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1005869">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78469545">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40321756">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29010997">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0039676">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296177790">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 w:id="1887834150">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44834268">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68689616">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77796391">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microsoft.com/office/2016/09/relationships/commentsIds" Target="commentsIds.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commentsExtended" Target="commentsExtended.xml"/><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png"/><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1.xml"/><Relationship Id="rId8" Type="http://schemas.openxmlformats.org/officeDocument/2006/relationships/hyperlink" Target="mailto:Mark.hamilton@commsc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13056</TotalTime>
  <Pages>16</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802.11-21/1803</vt:lpstr>
    </vt:vector>
  </TitlesOfParts>
  <Manager/>
  <Company>Ruckus/CommScope</Company>
  <LinksUpToDate>false</LinksUpToDate>
  <CharactersWithSpaces>16309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802.11-21/1803</dc:title>
  <dc:subject>Submission</dc:subject>
  <dc:creator>Menzo Wentink</dc:creator>
  <cp:keywords>November 2021</cp:keywords>
  <dc:description/>
  <cp:lastModifiedBy>Hamilton, Mark</cp:lastModifiedBy>
  <cp:revision>17</cp:revision>
  <cp:lastPrinted>2020-01-24T21:45:00Z</cp:lastPrinted>
  <dcterms:created xsi:type="dcterms:W3CDTF">2024-04-30T23:43:00Z</dcterms:created>
  <dcterms:modified xsi:type="dcterms:W3CDTF">2024-05-13T08:02:00Z</dcterms:modified>
  <cp:category/>
</cp:coreProperties>
</file>