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B1F5C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743AA681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8F0834" w14:textId="583B25CE" w:rsidR="00CA09B2" w:rsidRDefault="00DA7A9F">
            <w:pPr>
              <w:pStyle w:val="T2"/>
            </w:pPr>
            <w:r>
              <w:t xml:space="preserve">LB281 </w:t>
            </w:r>
            <w:r w:rsidR="002309F9">
              <w:t>C</w:t>
            </w:r>
            <w:r w:rsidR="00FF3951">
              <w:t xml:space="preserve">omment </w:t>
            </w:r>
            <w:r w:rsidR="00EC7D75">
              <w:t>R</w:t>
            </w:r>
            <w:r w:rsidR="002309F9">
              <w:t xml:space="preserve">esolutions for Exchange </w:t>
            </w:r>
            <w:r w:rsidR="00EC7D75">
              <w:t xml:space="preserve">bucket </w:t>
            </w:r>
            <w:r w:rsidR="002309F9">
              <w:t>CIDs</w:t>
            </w:r>
          </w:p>
        </w:tc>
      </w:tr>
      <w:tr w:rsidR="00CA09B2" w14:paraId="26D94509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9128732" w14:textId="3F8B8FF9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309F9">
              <w:rPr>
                <w:b w:val="0"/>
                <w:sz w:val="20"/>
              </w:rPr>
              <w:t>2024</w:t>
            </w:r>
            <w:r>
              <w:rPr>
                <w:b w:val="0"/>
                <w:sz w:val="20"/>
              </w:rPr>
              <w:t>-</w:t>
            </w:r>
            <w:r w:rsidR="002309F9">
              <w:rPr>
                <w:b w:val="0"/>
                <w:sz w:val="20"/>
              </w:rPr>
              <w:t>0</w:t>
            </w:r>
            <w:r w:rsidR="007E59BD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2309F9">
              <w:rPr>
                <w:b w:val="0"/>
                <w:sz w:val="20"/>
              </w:rPr>
              <w:t>15</w:t>
            </w:r>
          </w:p>
        </w:tc>
      </w:tr>
      <w:tr w:rsidR="00CA09B2" w14:paraId="69549164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83A22C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8297DB7" w14:textId="77777777">
        <w:trPr>
          <w:jc w:val="center"/>
        </w:trPr>
        <w:tc>
          <w:tcPr>
            <w:tcW w:w="1336" w:type="dxa"/>
            <w:vAlign w:val="center"/>
          </w:tcPr>
          <w:p w14:paraId="6C5AA19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6BF5E5C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37D383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5E395D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6F8217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10CF660" w14:textId="77777777">
        <w:trPr>
          <w:jc w:val="center"/>
        </w:trPr>
        <w:tc>
          <w:tcPr>
            <w:tcW w:w="1336" w:type="dxa"/>
            <w:vAlign w:val="center"/>
          </w:tcPr>
          <w:p w14:paraId="6AC8D65B" w14:textId="0B363BAE" w:rsidR="00CA09B2" w:rsidRDefault="002309F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Ali Raissinia</w:t>
            </w:r>
          </w:p>
        </w:tc>
        <w:tc>
          <w:tcPr>
            <w:tcW w:w="2064" w:type="dxa"/>
            <w:vAlign w:val="center"/>
          </w:tcPr>
          <w:p w14:paraId="35D44B15" w14:textId="5FABEDE2" w:rsidR="00CA09B2" w:rsidRDefault="002309F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In.</w:t>
            </w:r>
          </w:p>
        </w:tc>
        <w:tc>
          <w:tcPr>
            <w:tcW w:w="2814" w:type="dxa"/>
            <w:vAlign w:val="center"/>
          </w:tcPr>
          <w:p w14:paraId="2C513F5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3F8D1B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B9227C8" w14:textId="01ED6F5F" w:rsidR="00CA09B2" w:rsidRDefault="002309F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alirezar@qti.qualcomm.com</w:t>
            </w:r>
          </w:p>
        </w:tc>
      </w:tr>
      <w:tr w:rsidR="00CA09B2" w14:paraId="04F78259" w14:textId="77777777">
        <w:trPr>
          <w:jc w:val="center"/>
        </w:trPr>
        <w:tc>
          <w:tcPr>
            <w:tcW w:w="1336" w:type="dxa"/>
            <w:vAlign w:val="center"/>
          </w:tcPr>
          <w:p w14:paraId="1954AF1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60CE0D0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BD783B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5E3DA3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13763A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2650410A" w14:textId="265FA923" w:rsidR="00CA09B2" w:rsidRDefault="002309F9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4B98221" wp14:editId="2AB96B8C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14375467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14D69B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D79E6CA" w14:textId="71D35C28" w:rsidR="0029020B" w:rsidRDefault="002309F9">
                            <w:pPr>
                              <w:jc w:val="both"/>
                            </w:pPr>
                            <w:r>
                              <w:t>This document provides comment resolutions for CID</w:t>
                            </w:r>
                            <w:r w:rsidR="006A154C">
                              <w:t>s</w:t>
                            </w:r>
                            <w:r>
                              <w:t xml:space="preserve"> 4</w:t>
                            </w:r>
                            <w:r w:rsidR="00C55CD7">
                              <w:t>285</w:t>
                            </w:r>
                            <w:r>
                              <w:t>,</w:t>
                            </w:r>
                            <w:r w:rsidR="00A30B8D">
                              <w:t xml:space="preserve"> and</w:t>
                            </w:r>
                            <w:r>
                              <w:t xml:space="preserve"> </w:t>
                            </w:r>
                            <w:r w:rsidR="00DB1CB4">
                              <w:t>4</w:t>
                            </w:r>
                            <w:r w:rsidR="00C55CD7">
                              <w:t>295</w:t>
                            </w:r>
                            <w:r w:rsidR="00E87DF0">
                              <w:t xml:space="preserve"> (</w:t>
                            </w:r>
                            <w:r w:rsidR="007E59BD">
                              <w:t>2</w:t>
                            </w:r>
                            <w:r w:rsidR="00E87DF0">
                              <w:t>-total).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B9822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7F14D69B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D79E6CA" w14:textId="71D35C28" w:rsidR="0029020B" w:rsidRDefault="002309F9">
                      <w:pPr>
                        <w:jc w:val="both"/>
                      </w:pPr>
                      <w:r>
                        <w:t>This document provides comment resolutions for CID</w:t>
                      </w:r>
                      <w:r w:rsidR="006A154C">
                        <w:t>s</w:t>
                      </w:r>
                      <w:r>
                        <w:t xml:space="preserve"> 4</w:t>
                      </w:r>
                      <w:r w:rsidR="00C55CD7">
                        <w:t>285</w:t>
                      </w:r>
                      <w:r>
                        <w:t>,</w:t>
                      </w:r>
                      <w:r w:rsidR="00A30B8D">
                        <w:t xml:space="preserve"> and</w:t>
                      </w:r>
                      <w:r>
                        <w:t xml:space="preserve"> </w:t>
                      </w:r>
                      <w:r w:rsidR="00DB1CB4">
                        <w:t>4</w:t>
                      </w:r>
                      <w:r w:rsidR="00C55CD7">
                        <w:t>295</w:t>
                      </w:r>
                      <w:r w:rsidR="00E87DF0">
                        <w:t xml:space="preserve"> (</w:t>
                      </w:r>
                      <w:r w:rsidR="007E59BD">
                        <w:t>2</w:t>
                      </w:r>
                      <w:r w:rsidR="00E87DF0">
                        <w:t>-total).</w:t>
                      </w:r>
                    </w:p>
                  </w:txbxContent>
                </v:textbox>
              </v:shape>
            </w:pict>
          </mc:Fallback>
        </mc:AlternateContent>
      </w:r>
    </w:p>
    <w:p w14:paraId="3733302D" w14:textId="77777777" w:rsidR="00E03A2F" w:rsidRDefault="00E03A2F" w:rsidP="00E73468"/>
    <w:p w14:paraId="4B65CAFB" w14:textId="77777777" w:rsidR="00E03A2F" w:rsidRDefault="00E03A2F">
      <w:r>
        <w:br w:type="page"/>
      </w:r>
    </w:p>
    <w:tbl>
      <w:tblPr>
        <w:tblStyle w:val="TableGrid"/>
        <w:tblW w:w="9828" w:type="dxa"/>
        <w:tblInd w:w="-113" w:type="dxa"/>
        <w:tblLook w:val="04A0" w:firstRow="1" w:lastRow="0" w:firstColumn="1" w:lastColumn="0" w:noHBand="0" w:noVBand="1"/>
      </w:tblPr>
      <w:tblGrid>
        <w:gridCol w:w="113"/>
        <w:gridCol w:w="727"/>
        <w:gridCol w:w="1371"/>
        <w:gridCol w:w="821"/>
        <w:gridCol w:w="2206"/>
        <w:gridCol w:w="1440"/>
        <w:gridCol w:w="3150"/>
      </w:tblGrid>
      <w:tr w:rsidR="00C949FE" w:rsidRPr="007F1F7B" w14:paraId="12AC3E34" w14:textId="77777777" w:rsidTr="004221C4">
        <w:trPr>
          <w:gridBefore w:val="1"/>
          <w:wBefore w:w="113" w:type="dxa"/>
          <w:trHeight w:val="900"/>
        </w:trPr>
        <w:tc>
          <w:tcPr>
            <w:tcW w:w="727" w:type="dxa"/>
            <w:hideMark/>
          </w:tcPr>
          <w:p w14:paraId="72B7135A" w14:textId="77777777" w:rsidR="007F1F7B" w:rsidRPr="007F1F7B" w:rsidRDefault="007F1F7B">
            <w:pPr>
              <w:rPr>
                <w:b/>
                <w:bCs/>
                <w:lang w:val="en-US"/>
              </w:rPr>
            </w:pPr>
            <w:r w:rsidRPr="007F1F7B">
              <w:rPr>
                <w:b/>
                <w:bCs/>
              </w:rPr>
              <w:lastRenderedPageBreak/>
              <w:t>CID</w:t>
            </w:r>
          </w:p>
        </w:tc>
        <w:tc>
          <w:tcPr>
            <w:tcW w:w="1371" w:type="dxa"/>
            <w:hideMark/>
          </w:tcPr>
          <w:p w14:paraId="746E5249" w14:textId="77777777" w:rsidR="007F1F7B" w:rsidRPr="007F1F7B" w:rsidRDefault="007F1F7B">
            <w:pPr>
              <w:rPr>
                <w:b/>
                <w:bCs/>
              </w:rPr>
            </w:pPr>
            <w:r w:rsidRPr="007F1F7B">
              <w:rPr>
                <w:b/>
                <w:bCs/>
              </w:rPr>
              <w:t>Clause</w:t>
            </w:r>
          </w:p>
        </w:tc>
        <w:tc>
          <w:tcPr>
            <w:tcW w:w="821" w:type="dxa"/>
            <w:hideMark/>
          </w:tcPr>
          <w:p w14:paraId="4757BE9E" w14:textId="77777777" w:rsidR="007F1F7B" w:rsidRPr="007F1F7B" w:rsidRDefault="007F1F7B">
            <w:pPr>
              <w:rPr>
                <w:b/>
                <w:bCs/>
              </w:rPr>
            </w:pPr>
            <w:r w:rsidRPr="007F1F7B">
              <w:rPr>
                <w:b/>
                <w:bCs/>
              </w:rPr>
              <w:t>Page</w:t>
            </w:r>
          </w:p>
        </w:tc>
        <w:tc>
          <w:tcPr>
            <w:tcW w:w="2206" w:type="dxa"/>
            <w:hideMark/>
          </w:tcPr>
          <w:p w14:paraId="0C38963B" w14:textId="77777777" w:rsidR="007F1F7B" w:rsidRPr="007F1F7B" w:rsidRDefault="007F1F7B">
            <w:pPr>
              <w:rPr>
                <w:b/>
                <w:bCs/>
              </w:rPr>
            </w:pPr>
            <w:r w:rsidRPr="007F1F7B">
              <w:rPr>
                <w:b/>
                <w:bCs/>
              </w:rPr>
              <w:t>Comment</w:t>
            </w:r>
          </w:p>
        </w:tc>
        <w:tc>
          <w:tcPr>
            <w:tcW w:w="1440" w:type="dxa"/>
            <w:hideMark/>
          </w:tcPr>
          <w:p w14:paraId="71E81F4F" w14:textId="77777777" w:rsidR="007F1F7B" w:rsidRPr="007F1F7B" w:rsidRDefault="007F1F7B">
            <w:pPr>
              <w:rPr>
                <w:b/>
                <w:bCs/>
              </w:rPr>
            </w:pPr>
            <w:r w:rsidRPr="007F1F7B">
              <w:rPr>
                <w:b/>
                <w:bCs/>
              </w:rPr>
              <w:t>Proposed Change</w:t>
            </w:r>
          </w:p>
        </w:tc>
        <w:tc>
          <w:tcPr>
            <w:tcW w:w="3150" w:type="dxa"/>
            <w:hideMark/>
          </w:tcPr>
          <w:p w14:paraId="71061DA5" w14:textId="77777777" w:rsidR="007F1F7B" w:rsidRPr="007F1F7B" w:rsidRDefault="007F1F7B">
            <w:pPr>
              <w:rPr>
                <w:b/>
                <w:bCs/>
              </w:rPr>
            </w:pPr>
            <w:r w:rsidRPr="007F1F7B">
              <w:rPr>
                <w:b/>
                <w:bCs/>
              </w:rPr>
              <w:t>Resolution</w:t>
            </w:r>
          </w:p>
        </w:tc>
      </w:tr>
      <w:tr w:rsidR="00AA0F08" w:rsidRPr="007F1F7B" w14:paraId="7757C110" w14:textId="77777777" w:rsidTr="004221C4">
        <w:trPr>
          <w:trHeight w:val="4590"/>
        </w:trPr>
        <w:tc>
          <w:tcPr>
            <w:tcW w:w="840" w:type="dxa"/>
            <w:gridSpan w:val="2"/>
            <w:hideMark/>
          </w:tcPr>
          <w:p w14:paraId="31501BA7" w14:textId="77777777" w:rsidR="00AA0F08" w:rsidRPr="007F1F7B" w:rsidRDefault="00AA0F08" w:rsidP="00BD7381">
            <w:r w:rsidRPr="007F1F7B">
              <w:t>4285</w:t>
            </w:r>
          </w:p>
        </w:tc>
        <w:tc>
          <w:tcPr>
            <w:tcW w:w="1371" w:type="dxa"/>
            <w:hideMark/>
          </w:tcPr>
          <w:p w14:paraId="6941A1DE" w14:textId="77777777" w:rsidR="00AA0F08" w:rsidRPr="007F1F7B" w:rsidRDefault="00AA0F08" w:rsidP="00BD7381">
            <w:r w:rsidRPr="007F1F7B">
              <w:t>11.55.1.5.2.1</w:t>
            </w:r>
          </w:p>
        </w:tc>
        <w:tc>
          <w:tcPr>
            <w:tcW w:w="821" w:type="dxa"/>
            <w:hideMark/>
          </w:tcPr>
          <w:p w14:paraId="15EBB770" w14:textId="77777777" w:rsidR="00AA0F08" w:rsidRPr="007F1F7B" w:rsidRDefault="00AA0F08" w:rsidP="00BD7381">
            <w:r w:rsidRPr="007F1F7B">
              <w:t>143.20</w:t>
            </w:r>
          </w:p>
        </w:tc>
        <w:tc>
          <w:tcPr>
            <w:tcW w:w="2206" w:type="dxa"/>
            <w:hideMark/>
          </w:tcPr>
          <w:p w14:paraId="0EE90BD9" w14:textId="77777777" w:rsidR="00AA0F08" w:rsidRPr="007F1F7B" w:rsidRDefault="00AA0F08" w:rsidP="00BD7381">
            <w:r w:rsidRPr="007F1F7B">
              <w:t>While it is understandable that the AP needs to make sure that the participating sensing responders in a TB sensing session are present, the requirement for polling in each NDPA sounding exchange is disadvantageous from a power efficiency perspective and for privacy reasons. It should be sufficient to have a requirement that the AP STA shall poll sensing responders once per expiry period if they are not assigned to be polled and not asked to provide reports.</w:t>
            </w:r>
          </w:p>
        </w:tc>
        <w:tc>
          <w:tcPr>
            <w:tcW w:w="1440" w:type="dxa"/>
            <w:hideMark/>
          </w:tcPr>
          <w:p w14:paraId="1D78343D" w14:textId="77777777" w:rsidR="00AA0F08" w:rsidRPr="007F1F7B" w:rsidRDefault="00AA0F08" w:rsidP="00BD7381">
            <w:r w:rsidRPr="007F1F7B">
              <w:t>As in comment</w:t>
            </w:r>
          </w:p>
        </w:tc>
        <w:tc>
          <w:tcPr>
            <w:tcW w:w="3150" w:type="dxa"/>
            <w:hideMark/>
          </w:tcPr>
          <w:p w14:paraId="2778C8AD" w14:textId="77777777" w:rsidR="00AA0F08" w:rsidRDefault="00AA0F08" w:rsidP="00BD7381">
            <w:r>
              <w:t>Reject</w:t>
            </w:r>
          </w:p>
          <w:p w14:paraId="5FB75762" w14:textId="77777777" w:rsidR="00AA0F08" w:rsidRDefault="00AA0F08" w:rsidP="00BD7381"/>
          <w:p w14:paraId="17A02FD5" w14:textId="77777777" w:rsidR="00AA0F08" w:rsidRPr="007F1F7B" w:rsidRDefault="00AA0F08" w:rsidP="00BD7381">
            <w:r w:rsidRPr="006A6C8E">
              <w:t xml:space="preserve">Polling phase is part of </w:t>
            </w:r>
            <w:r>
              <w:t xml:space="preserve">the </w:t>
            </w:r>
            <w:r w:rsidRPr="006A6C8E">
              <w:t>TB sensing measurement exchange</w:t>
            </w:r>
            <w:r>
              <w:t xml:space="preserve"> and not part of NDPA sounding!</w:t>
            </w:r>
            <w:r w:rsidRPr="006A6C8E">
              <w:t xml:space="preserve"> Polling phase enables AP </w:t>
            </w:r>
            <w:r>
              <w:t xml:space="preserve">not only </w:t>
            </w:r>
            <w:r w:rsidRPr="006A6C8E">
              <w:t xml:space="preserve">to </w:t>
            </w:r>
            <w:r>
              <w:t xml:space="preserve">verify </w:t>
            </w:r>
            <w:r w:rsidRPr="006A6C8E">
              <w:t xml:space="preserve">the presence of </w:t>
            </w:r>
            <w:r>
              <w:t xml:space="preserve">the </w:t>
            </w:r>
            <w:r w:rsidRPr="006A6C8E">
              <w:t>sensing responder</w:t>
            </w:r>
            <w:r>
              <w:t xml:space="preserve"> during the Sensing Availability Window (S-AVW) as </w:t>
            </w:r>
            <w:r w:rsidRPr="006A6C8E">
              <w:t>to</w:t>
            </w:r>
            <w:r>
              <w:t xml:space="preserve"> manage the MS expiry timer, but also to </w:t>
            </w:r>
            <w:r w:rsidRPr="006A6C8E">
              <w:t xml:space="preserve">ensure that </w:t>
            </w:r>
            <w:r>
              <w:t>the a</w:t>
            </w:r>
            <w:r w:rsidRPr="006A6C8E">
              <w:t xml:space="preserve">ssigned resources </w:t>
            </w:r>
            <w:r>
              <w:t xml:space="preserve">for </w:t>
            </w:r>
            <w:r w:rsidRPr="006A6C8E">
              <w:t>NDP</w:t>
            </w:r>
            <w:r>
              <w:t>A</w:t>
            </w:r>
            <w:r w:rsidRPr="006A6C8E">
              <w:t xml:space="preserve"> sounding is</w:t>
            </w:r>
            <w:r>
              <w:t xml:space="preserve"> </w:t>
            </w:r>
            <w:proofErr w:type="gramStart"/>
            <w:r>
              <w:t>actually being</w:t>
            </w:r>
            <w:proofErr w:type="gramEnd"/>
            <w:r>
              <w:t xml:space="preserve"> utilized (a required inquiry for each TB measurement exchange)</w:t>
            </w:r>
            <w:r w:rsidRPr="006A6C8E">
              <w:t xml:space="preserve">. As commenter might be aware the inclusion of polling </w:t>
            </w:r>
            <w:r>
              <w:t xml:space="preserve">phase </w:t>
            </w:r>
            <w:r w:rsidRPr="006A6C8E">
              <w:t xml:space="preserve">is </w:t>
            </w:r>
            <w:r>
              <w:t>AP’s decision regardless of responder’s request.</w:t>
            </w:r>
            <w:r w:rsidRPr="006A6C8E">
              <w:t xml:space="preserve"> </w:t>
            </w:r>
            <w:r>
              <w:t xml:space="preserve">Essentially, </w:t>
            </w:r>
            <w:r w:rsidRPr="006A6C8E">
              <w:t xml:space="preserve">spec </w:t>
            </w:r>
            <w:r>
              <w:t xml:space="preserve">considers an efficient utilization of NDPA sounding as priority over the </w:t>
            </w:r>
            <w:r w:rsidRPr="006A6C8E">
              <w:t>responder</w:t>
            </w:r>
            <w:r>
              <w:t>’s</w:t>
            </w:r>
            <w:r w:rsidRPr="006A6C8E">
              <w:t xml:space="preserve"> </w:t>
            </w:r>
            <w:r>
              <w:t xml:space="preserve">“incremental” </w:t>
            </w:r>
            <w:r w:rsidRPr="006A6C8E">
              <w:t>power save</w:t>
            </w:r>
            <w:r>
              <w:t xml:space="preserve"> since responder must already be awake and ready to receive/participate in NDPA sounding not knowing when it would occur.</w:t>
            </w:r>
            <w:r w:rsidRPr="006A6C8E">
              <w:t xml:space="preserve"> </w:t>
            </w:r>
          </w:p>
        </w:tc>
      </w:tr>
      <w:tr w:rsidR="004221C4" w:rsidRPr="007F1F7B" w14:paraId="46065D57" w14:textId="77777777" w:rsidTr="00C55CD7">
        <w:trPr>
          <w:trHeight w:val="1790"/>
        </w:trPr>
        <w:tc>
          <w:tcPr>
            <w:tcW w:w="840" w:type="dxa"/>
            <w:gridSpan w:val="2"/>
            <w:hideMark/>
          </w:tcPr>
          <w:p w14:paraId="0A144086" w14:textId="77777777" w:rsidR="004221C4" w:rsidRPr="007F1F7B" w:rsidRDefault="004221C4" w:rsidP="00BD7381">
            <w:r w:rsidRPr="007F1F7B">
              <w:t>4295</w:t>
            </w:r>
          </w:p>
        </w:tc>
        <w:tc>
          <w:tcPr>
            <w:tcW w:w="1371" w:type="dxa"/>
            <w:hideMark/>
          </w:tcPr>
          <w:p w14:paraId="45FC065B" w14:textId="77777777" w:rsidR="004221C4" w:rsidRPr="007F1F7B" w:rsidRDefault="004221C4" w:rsidP="00BD7381">
            <w:r w:rsidRPr="007F1F7B">
              <w:t>11.55.1.5.2.1</w:t>
            </w:r>
          </w:p>
        </w:tc>
        <w:tc>
          <w:tcPr>
            <w:tcW w:w="821" w:type="dxa"/>
            <w:hideMark/>
          </w:tcPr>
          <w:p w14:paraId="708CBB4E" w14:textId="77777777" w:rsidR="004221C4" w:rsidRPr="007F1F7B" w:rsidRDefault="004221C4" w:rsidP="00BD7381">
            <w:r w:rsidRPr="007F1F7B">
              <w:t>143.20</w:t>
            </w:r>
          </w:p>
        </w:tc>
        <w:tc>
          <w:tcPr>
            <w:tcW w:w="2206" w:type="dxa"/>
            <w:hideMark/>
          </w:tcPr>
          <w:p w14:paraId="61FA8EE7" w14:textId="77777777" w:rsidR="004221C4" w:rsidRPr="007F1F7B" w:rsidRDefault="004221C4" w:rsidP="00BD7381">
            <w:r w:rsidRPr="007F1F7B">
              <w:t xml:space="preserve">In TB sensing mode, NDPA sounding which doesn't need reporting cannot be done without a polling phase. Removing the polling phase requirement can result in a low power mechanism to do sensing at the non-AP STA side. The polling phase is not needed for each sensing PPDU for the AP to make sure the STA is present during the availability windows. Since there is a requirement for sensing activity every session expiry period, </w:t>
            </w:r>
            <w:r w:rsidRPr="007F1F7B">
              <w:lastRenderedPageBreak/>
              <w:t xml:space="preserve">a polling response can be required once every session expiry </w:t>
            </w:r>
            <w:proofErr w:type="gramStart"/>
            <w:r w:rsidRPr="007F1F7B">
              <w:t>time period</w:t>
            </w:r>
            <w:proofErr w:type="gramEnd"/>
            <w:r w:rsidRPr="007F1F7B">
              <w:t>.</w:t>
            </w:r>
          </w:p>
        </w:tc>
        <w:tc>
          <w:tcPr>
            <w:tcW w:w="1440" w:type="dxa"/>
            <w:hideMark/>
          </w:tcPr>
          <w:p w14:paraId="64491F97" w14:textId="77777777" w:rsidR="004221C4" w:rsidRPr="007F1F7B" w:rsidRDefault="004221C4" w:rsidP="00BD7381">
            <w:r w:rsidRPr="007F1F7B">
              <w:lastRenderedPageBreak/>
              <w:t xml:space="preserve">Allow a TB session to consist of only NDPA sounding phase. In order for the AP to make sure the STA is </w:t>
            </w:r>
            <w:proofErr w:type="gramStart"/>
            <w:r w:rsidRPr="007F1F7B">
              <w:t>present,</w:t>
            </w:r>
            <w:proofErr w:type="gramEnd"/>
            <w:r w:rsidRPr="007F1F7B">
              <w:t xml:space="preserve"> a polling response can be required once in measurement session expiry time period.</w:t>
            </w:r>
          </w:p>
        </w:tc>
        <w:tc>
          <w:tcPr>
            <w:tcW w:w="3150" w:type="dxa"/>
            <w:hideMark/>
          </w:tcPr>
          <w:p w14:paraId="644DBE5E" w14:textId="77777777" w:rsidR="004221C4" w:rsidRDefault="004221C4" w:rsidP="00BD7381">
            <w:r>
              <w:t>Reject</w:t>
            </w:r>
          </w:p>
          <w:p w14:paraId="158D062D" w14:textId="77777777" w:rsidR="004221C4" w:rsidRDefault="004221C4" w:rsidP="00BD7381"/>
          <w:p w14:paraId="5E32A0A5" w14:textId="77777777" w:rsidR="004221C4" w:rsidRDefault="004221C4" w:rsidP="00BD7381">
            <w:r w:rsidRPr="006A6C8E">
              <w:t xml:space="preserve">Polling phase is part of </w:t>
            </w:r>
            <w:r>
              <w:t xml:space="preserve">the </w:t>
            </w:r>
            <w:r w:rsidRPr="006A6C8E">
              <w:t>TB sensing measurement exchange</w:t>
            </w:r>
            <w:r>
              <w:t xml:space="preserve"> and not part of NDPA sounding!</w:t>
            </w:r>
            <w:r w:rsidRPr="006A6C8E">
              <w:t xml:space="preserve"> Polling phase enables AP </w:t>
            </w:r>
            <w:r>
              <w:t xml:space="preserve">not only </w:t>
            </w:r>
            <w:r w:rsidRPr="006A6C8E">
              <w:t xml:space="preserve">to </w:t>
            </w:r>
            <w:r>
              <w:t xml:space="preserve">verify </w:t>
            </w:r>
            <w:r w:rsidRPr="006A6C8E">
              <w:t xml:space="preserve">the presence of </w:t>
            </w:r>
            <w:r>
              <w:t xml:space="preserve">the </w:t>
            </w:r>
            <w:r w:rsidRPr="006A6C8E">
              <w:t>sensing responder</w:t>
            </w:r>
            <w:r>
              <w:t xml:space="preserve"> during the Sensing Availability Window (S-AVW) as </w:t>
            </w:r>
            <w:r w:rsidRPr="006A6C8E">
              <w:t>to</w:t>
            </w:r>
            <w:r>
              <w:t xml:space="preserve"> manage the MS expiry timer, but also to </w:t>
            </w:r>
            <w:r w:rsidRPr="006A6C8E">
              <w:t xml:space="preserve">ensure that </w:t>
            </w:r>
            <w:r>
              <w:t>the a</w:t>
            </w:r>
            <w:r w:rsidRPr="006A6C8E">
              <w:t xml:space="preserve">ssigned resources </w:t>
            </w:r>
            <w:r>
              <w:t xml:space="preserve">for </w:t>
            </w:r>
            <w:r w:rsidRPr="006A6C8E">
              <w:t>NDP</w:t>
            </w:r>
            <w:r>
              <w:t>A</w:t>
            </w:r>
            <w:r w:rsidRPr="006A6C8E">
              <w:t xml:space="preserve"> sounding is</w:t>
            </w:r>
            <w:r>
              <w:t xml:space="preserve"> </w:t>
            </w:r>
            <w:proofErr w:type="gramStart"/>
            <w:r>
              <w:t>actually being</w:t>
            </w:r>
            <w:proofErr w:type="gramEnd"/>
            <w:r>
              <w:t xml:space="preserve"> utilized (a required inquiry for each TB measurement exchange)</w:t>
            </w:r>
            <w:r w:rsidRPr="006A6C8E">
              <w:t xml:space="preserve">. As commenter might be aware the inclusion of polling </w:t>
            </w:r>
            <w:r>
              <w:t xml:space="preserve">phase </w:t>
            </w:r>
            <w:r w:rsidRPr="006A6C8E">
              <w:t xml:space="preserve">is </w:t>
            </w:r>
            <w:r>
              <w:t>AP’s decision regardless of responder’s request.</w:t>
            </w:r>
            <w:r w:rsidRPr="006A6C8E">
              <w:t xml:space="preserve"> </w:t>
            </w:r>
            <w:r>
              <w:t xml:space="preserve">Essentially, </w:t>
            </w:r>
            <w:r w:rsidRPr="006A6C8E">
              <w:t xml:space="preserve">spec </w:t>
            </w:r>
            <w:r>
              <w:t xml:space="preserve">considers an efficient utilization of NDPA sounding as priority over the </w:t>
            </w:r>
            <w:r w:rsidRPr="006A6C8E">
              <w:lastRenderedPageBreak/>
              <w:t>responder</w:t>
            </w:r>
            <w:r>
              <w:t>’s</w:t>
            </w:r>
            <w:r w:rsidRPr="006A6C8E">
              <w:t xml:space="preserve"> </w:t>
            </w:r>
            <w:r>
              <w:t xml:space="preserve">“incremental” </w:t>
            </w:r>
            <w:r w:rsidRPr="006A6C8E">
              <w:t>power save</w:t>
            </w:r>
            <w:r>
              <w:t xml:space="preserve"> since responder must already be awake and ready to receive/participate in NDPA sounding not knowing when it would occur.</w:t>
            </w:r>
            <w:r w:rsidRPr="006A6C8E">
              <w:t xml:space="preserve"> </w:t>
            </w:r>
          </w:p>
          <w:p w14:paraId="5749D1E7" w14:textId="77777777" w:rsidR="004221C4" w:rsidRPr="007F1F7B" w:rsidRDefault="004221C4" w:rsidP="00BD7381">
            <w:r w:rsidRPr="006A6C8E">
              <w:t xml:space="preserve"> </w:t>
            </w:r>
          </w:p>
        </w:tc>
      </w:tr>
    </w:tbl>
    <w:p w14:paraId="2E9F4BDC" w14:textId="77777777" w:rsidR="00CA09B2" w:rsidRDefault="00CA09B2"/>
    <w:p w14:paraId="02384B9D" w14:textId="3507BA5F" w:rsidR="00CA09B2" w:rsidRPr="00FF3951" w:rsidRDefault="00CA09B2">
      <w:pPr>
        <w:rPr>
          <w:b/>
          <w:sz w:val="24"/>
        </w:rPr>
      </w:pPr>
      <w:r>
        <w:rPr>
          <w:b/>
          <w:sz w:val="24"/>
        </w:rPr>
        <w:t>References:</w:t>
      </w:r>
      <w:r w:rsidR="0019149B" w:rsidRPr="0019149B">
        <w:rPr>
          <w:b/>
          <w:sz w:val="24"/>
        </w:rPr>
        <w:t xml:space="preserve"> </w:t>
      </w:r>
      <w:r w:rsidR="0019149B">
        <w:rPr>
          <w:b/>
          <w:sz w:val="24"/>
        </w:rPr>
        <w:t>IEEE P802.11bf D4.0</w:t>
      </w:r>
    </w:p>
    <w:sectPr w:rsidR="00CA09B2" w:rsidRPr="00FF3951">
      <w:headerReference w:type="default" r:id="rId6"/>
      <w:footerReference w:type="default" r:id="rId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E2C4E" w14:textId="77777777" w:rsidR="00CC289C" w:rsidRDefault="00CC289C">
      <w:r>
        <w:separator/>
      </w:r>
    </w:p>
  </w:endnote>
  <w:endnote w:type="continuationSeparator" w:id="0">
    <w:p w14:paraId="653F1E05" w14:textId="77777777" w:rsidR="00CC289C" w:rsidRDefault="00CC2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DE897" w14:textId="6874A655" w:rsidR="0029020B" w:rsidRDefault="00BA437F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2309F9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2309F9">
      <w:t>Ali Raissinia, Qualcomm Inc.</w:t>
    </w:r>
    <w:r>
      <w:fldChar w:fldCharType="end"/>
    </w:r>
  </w:p>
  <w:p w14:paraId="49C0B5F5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6211C" w14:textId="77777777" w:rsidR="00CC289C" w:rsidRDefault="00CC289C">
      <w:r>
        <w:separator/>
      </w:r>
    </w:p>
  </w:footnote>
  <w:footnote w:type="continuationSeparator" w:id="0">
    <w:p w14:paraId="3D54485B" w14:textId="77777777" w:rsidR="00CC289C" w:rsidRDefault="00CC2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9C392" w14:textId="765CA290" w:rsidR="0029020B" w:rsidRDefault="00BA437F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6C4187">
      <w:t>March 2024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6C4187">
      <w:t>doc.: IEEE 802.11-24/0555r1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9F9"/>
    <w:rsid w:val="00006A52"/>
    <w:rsid w:val="000370F5"/>
    <w:rsid w:val="0004500D"/>
    <w:rsid w:val="000777E1"/>
    <w:rsid w:val="000A63C2"/>
    <w:rsid w:val="000A7A23"/>
    <w:rsid w:val="000B790B"/>
    <w:rsid w:val="000C2DC8"/>
    <w:rsid w:val="00103C60"/>
    <w:rsid w:val="00116F7D"/>
    <w:rsid w:val="0012256F"/>
    <w:rsid w:val="0015342F"/>
    <w:rsid w:val="00163B2F"/>
    <w:rsid w:val="00174C27"/>
    <w:rsid w:val="0019149B"/>
    <w:rsid w:val="001B2376"/>
    <w:rsid w:val="001B3EF9"/>
    <w:rsid w:val="001D723B"/>
    <w:rsid w:val="00221407"/>
    <w:rsid w:val="002309F9"/>
    <w:rsid w:val="00255C52"/>
    <w:rsid w:val="0029020B"/>
    <w:rsid w:val="00293E57"/>
    <w:rsid w:val="002C26D4"/>
    <w:rsid w:val="002D44BE"/>
    <w:rsid w:val="003845DD"/>
    <w:rsid w:val="003C5C86"/>
    <w:rsid w:val="004221C4"/>
    <w:rsid w:val="00441CC7"/>
    <w:rsid w:val="00442037"/>
    <w:rsid w:val="0046778B"/>
    <w:rsid w:val="00473547"/>
    <w:rsid w:val="004B064B"/>
    <w:rsid w:val="004B26A8"/>
    <w:rsid w:val="004F792A"/>
    <w:rsid w:val="00500B14"/>
    <w:rsid w:val="0050518A"/>
    <w:rsid w:val="00520200"/>
    <w:rsid w:val="0052199F"/>
    <w:rsid w:val="00526A69"/>
    <w:rsid w:val="005537B8"/>
    <w:rsid w:val="005716F4"/>
    <w:rsid w:val="00582DB3"/>
    <w:rsid w:val="005C6044"/>
    <w:rsid w:val="005C7F91"/>
    <w:rsid w:val="005E1054"/>
    <w:rsid w:val="005E3DCB"/>
    <w:rsid w:val="00612731"/>
    <w:rsid w:val="0062440B"/>
    <w:rsid w:val="006312A5"/>
    <w:rsid w:val="00667D0B"/>
    <w:rsid w:val="00675CAE"/>
    <w:rsid w:val="00676505"/>
    <w:rsid w:val="00693BBA"/>
    <w:rsid w:val="00693C16"/>
    <w:rsid w:val="00697921"/>
    <w:rsid w:val="006A154C"/>
    <w:rsid w:val="006A6C8E"/>
    <w:rsid w:val="006C01B0"/>
    <w:rsid w:val="006C0727"/>
    <w:rsid w:val="006C4187"/>
    <w:rsid w:val="006D3E9B"/>
    <w:rsid w:val="006E145F"/>
    <w:rsid w:val="006E60E0"/>
    <w:rsid w:val="007064E2"/>
    <w:rsid w:val="00713E46"/>
    <w:rsid w:val="00734C40"/>
    <w:rsid w:val="007562D2"/>
    <w:rsid w:val="00770572"/>
    <w:rsid w:val="00791107"/>
    <w:rsid w:val="007A2292"/>
    <w:rsid w:val="007A6B5E"/>
    <w:rsid w:val="007B04F4"/>
    <w:rsid w:val="007C7856"/>
    <w:rsid w:val="007E59BD"/>
    <w:rsid w:val="007E6018"/>
    <w:rsid w:val="007F1F7B"/>
    <w:rsid w:val="007F2868"/>
    <w:rsid w:val="00800AD3"/>
    <w:rsid w:val="008062AA"/>
    <w:rsid w:val="00822E0B"/>
    <w:rsid w:val="00823B8F"/>
    <w:rsid w:val="008262BA"/>
    <w:rsid w:val="008360E6"/>
    <w:rsid w:val="00871CE4"/>
    <w:rsid w:val="00887B6B"/>
    <w:rsid w:val="0089725F"/>
    <w:rsid w:val="008B57B3"/>
    <w:rsid w:val="008C3919"/>
    <w:rsid w:val="008D49FA"/>
    <w:rsid w:val="00916CD6"/>
    <w:rsid w:val="009203E6"/>
    <w:rsid w:val="0095733E"/>
    <w:rsid w:val="0096532A"/>
    <w:rsid w:val="009D1620"/>
    <w:rsid w:val="009D192C"/>
    <w:rsid w:val="009F2FBC"/>
    <w:rsid w:val="009F669A"/>
    <w:rsid w:val="00A11060"/>
    <w:rsid w:val="00A1534C"/>
    <w:rsid w:val="00A30B8D"/>
    <w:rsid w:val="00A3154A"/>
    <w:rsid w:val="00A3221E"/>
    <w:rsid w:val="00A35F7E"/>
    <w:rsid w:val="00A46759"/>
    <w:rsid w:val="00A94CD4"/>
    <w:rsid w:val="00A96AE7"/>
    <w:rsid w:val="00AA0F08"/>
    <w:rsid w:val="00AA427C"/>
    <w:rsid w:val="00B11722"/>
    <w:rsid w:val="00B22A78"/>
    <w:rsid w:val="00B423B2"/>
    <w:rsid w:val="00B57E9B"/>
    <w:rsid w:val="00B72CCE"/>
    <w:rsid w:val="00B74C60"/>
    <w:rsid w:val="00B804C7"/>
    <w:rsid w:val="00B81408"/>
    <w:rsid w:val="00B878BF"/>
    <w:rsid w:val="00BB6B3C"/>
    <w:rsid w:val="00BE68C2"/>
    <w:rsid w:val="00BE6D4F"/>
    <w:rsid w:val="00C03632"/>
    <w:rsid w:val="00C113EE"/>
    <w:rsid w:val="00C12B67"/>
    <w:rsid w:val="00C317E1"/>
    <w:rsid w:val="00C46E08"/>
    <w:rsid w:val="00C55CD7"/>
    <w:rsid w:val="00C649AA"/>
    <w:rsid w:val="00C70DFC"/>
    <w:rsid w:val="00C83269"/>
    <w:rsid w:val="00C949FE"/>
    <w:rsid w:val="00C9669F"/>
    <w:rsid w:val="00CA09B2"/>
    <w:rsid w:val="00CC289C"/>
    <w:rsid w:val="00CC4A28"/>
    <w:rsid w:val="00CE6914"/>
    <w:rsid w:val="00CF6E36"/>
    <w:rsid w:val="00D041AE"/>
    <w:rsid w:val="00D118CC"/>
    <w:rsid w:val="00D16B97"/>
    <w:rsid w:val="00D44D46"/>
    <w:rsid w:val="00D61A8C"/>
    <w:rsid w:val="00D6245F"/>
    <w:rsid w:val="00D74D0D"/>
    <w:rsid w:val="00D77926"/>
    <w:rsid w:val="00D90B27"/>
    <w:rsid w:val="00D962A7"/>
    <w:rsid w:val="00DA7A9F"/>
    <w:rsid w:val="00DB1CB4"/>
    <w:rsid w:val="00DC0C93"/>
    <w:rsid w:val="00DC5A7B"/>
    <w:rsid w:val="00DE380C"/>
    <w:rsid w:val="00DE3E11"/>
    <w:rsid w:val="00DE3F07"/>
    <w:rsid w:val="00DE7164"/>
    <w:rsid w:val="00E03A2F"/>
    <w:rsid w:val="00E040D9"/>
    <w:rsid w:val="00E0718B"/>
    <w:rsid w:val="00E272F6"/>
    <w:rsid w:val="00E6523D"/>
    <w:rsid w:val="00E73468"/>
    <w:rsid w:val="00E87DF0"/>
    <w:rsid w:val="00EB107E"/>
    <w:rsid w:val="00EB63AE"/>
    <w:rsid w:val="00EC292D"/>
    <w:rsid w:val="00EC4AEB"/>
    <w:rsid w:val="00EC65A1"/>
    <w:rsid w:val="00EC7D75"/>
    <w:rsid w:val="00ED6EF9"/>
    <w:rsid w:val="00ED7735"/>
    <w:rsid w:val="00EF428B"/>
    <w:rsid w:val="00EF56AF"/>
    <w:rsid w:val="00F2571B"/>
    <w:rsid w:val="00F2679C"/>
    <w:rsid w:val="00F46A85"/>
    <w:rsid w:val="00F926AB"/>
    <w:rsid w:val="00F94CF3"/>
    <w:rsid w:val="00FA566F"/>
    <w:rsid w:val="00FB014B"/>
    <w:rsid w:val="00FD3893"/>
    <w:rsid w:val="00FD73ED"/>
    <w:rsid w:val="00FF2F24"/>
    <w:rsid w:val="00FF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49ADF6"/>
  <w15:chartTrackingRefBased/>
  <w15:docId w15:val="{53AEED09-EC3B-4381-8505-0CEB7F6D3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B11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C78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rezar\OneDrive%20-%20Qualcomm\Documents\Standard%20Fil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3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802.11-24/0555r0</vt:lpstr>
    </vt:vector>
  </TitlesOfParts>
  <Company>Some Company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802.11-24/0555r1</dc:title>
  <dc:subject>Submission</dc:subject>
  <dc:creator>Ali Raissinia</dc:creator>
  <cp:keywords>March 2024</cp:keywords>
  <dc:description>Ali Raissinia, Qualcomm Inc.</dc:description>
  <cp:lastModifiedBy>Ali Raissinia</cp:lastModifiedBy>
  <cp:revision>2</cp:revision>
  <cp:lastPrinted>1900-01-01T08:00:00Z</cp:lastPrinted>
  <dcterms:created xsi:type="dcterms:W3CDTF">2024-03-12T00:08:00Z</dcterms:created>
  <dcterms:modified xsi:type="dcterms:W3CDTF">2024-03-12T00:08:00Z</dcterms:modified>
</cp:coreProperties>
</file>