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4D1F2CD3" w:rsidR="00DE584F" w:rsidRPr="00183F4C" w:rsidRDefault="00CE2504" w:rsidP="00A12A5A">
            <w:pPr>
              <w:pStyle w:val="T2"/>
            </w:pPr>
            <w:r w:rsidRPr="00CE2504">
              <w:rPr>
                <w:lang w:eastAsia="ko-KR"/>
              </w:rPr>
              <w:t>SA ballot: CR for 35.3.</w:t>
            </w:r>
            <w:r w:rsidR="00802565">
              <w:rPr>
                <w:lang w:eastAsia="ko-KR"/>
              </w:rPr>
              <w:t>21.</w:t>
            </w:r>
            <w:r w:rsidRPr="00CE2504">
              <w:rPr>
                <w:lang w:eastAsia="ko-KR"/>
              </w:rPr>
              <w:t>2</w:t>
            </w:r>
            <w:r w:rsidR="00802565">
              <w:rPr>
                <w:lang w:eastAsia="ko-KR"/>
              </w:rPr>
              <w:t xml:space="preserve"> </w:t>
            </w:r>
            <w:r w:rsidR="00802565" w:rsidRPr="00802565">
              <w:rPr>
                <w:lang w:eastAsia="ko-KR"/>
              </w:rPr>
              <w:t>TDLS direct link over a single link</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802565">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802565">
            <w:pPr>
              <w:pStyle w:val="T2"/>
              <w:spacing w:after="0"/>
              <w:ind w:left="0" w:right="0"/>
              <w:rPr>
                <w:sz w:val="20"/>
              </w:rPr>
            </w:pPr>
            <w:r w:rsidRPr="00183F4C">
              <w:rPr>
                <w:sz w:val="20"/>
              </w:rPr>
              <w:t>email</w:t>
            </w:r>
          </w:p>
        </w:tc>
      </w:tr>
      <w:tr w:rsidR="00662BE6" w14:paraId="4895A202" w14:textId="77777777" w:rsidTr="00802565">
        <w:trPr>
          <w:trHeight w:val="359"/>
          <w:jc w:val="center"/>
        </w:trPr>
        <w:tc>
          <w:tcPr>
            <w:tcW w:w="1548" w:type="dxa"/>
            <w:vAlign w:val="center"/>
          </w:tcPr>
          <w:p w14:paraId="0A449084" w14:textId="63AC9A92" w:rsidR="00662BE6" w:rsidRDefault="00802565"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7F5A98D0"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6D5BF17A" w:rsidR="00662BE6" w:rsidRDefault="00984747" w:rsidP="00662BE6">
            <w:pPr>
              <w:pStyle w:val="T2"/>
              <w:spacing w:after="0"/>
              <w:ind w:left="0" w:right="0"/>
              <w:jc w:val="left"/>
              <w:rPr>
                <w:b w:val="0"/>
                <w:sz w:val="18"/>
                <w:szCs w:val="18"/>
                <w:lang w:eastAsia="ko-KR"/>
              </w:rPr>
            </w:pPr>
            <w:hyperlink r:id="rId8" w:history="1">
              <w:r w:rsidR="00802565" w:rsidRPr="00BC43B8">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802565">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802565">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802565">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802565">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802565">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2586E3B3" w14:textId="77777777" w:rsidR="00802565"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802565">
        <w:rPr>
          <w:lang w:eastAsia="ko-KR"/>
        </w:rPr>
        <w:t>5</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431AEA4A" w14:textId="77777777" w:rsidR="00802565" w:rsidRDefault="00802565" w:rsidP="003E1769">
      <w:pPr>
        <w:rPr>
          <w:lang w:eastAsia="ko-KR"/>
        </w:rPr>
      </w:pPr>
    </w:p>
    <w:p w14:paraId="1B7B42D1" w14:textId="42DA1315" w:rsidR="003E1769" w:rsidRPr="003E1769" w:rsidRDefault="00802565" w:rsidP="003E1769">
      <w:pPr>
        <w:rPr>
          <w:rtl/>
          <w:lang w:eastAsia="ko-KR"/>
        </w:rPr>
      </w:pPr>
      <w:r w:rsidRPr="00802565">
        <w:rPr>
          <w:lang w:eastAsia="ko-KR"/>
        </w:rPr>
        <w:t xml:space="preserve">22106 22107 22108 </w:t>
      </w:r>
      <w:r w:rsidRPr="00494321">
        <w:rPr>
          <w:highlight w:val="yellow"/>
          <w:lang w:eastAsia="ko-KR"/>
          <w:rPrChange w:id="0" w:author="作者">
            <w:rPr>
              <w:lang w:eastAsia="ko-KR"/>
            </w:rPr>
          </w:rPrChange>
        </w:rPr>
        <w:t>22109 22351</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1875114D" w:rsidR="00C833E3" w:rsidRDefault="009008D2" w:rsidP="00574E74">
      <w:pPr>
        <w:pStyle w:val="af2"/>
        <w:numPr>
          <w:ilvl w:val="0"/>
          <w:numId w:val="1"/>
        </w:numPr>
        <w:rPr>
          <w:ins w:id="1" w:author="作者"/>
          <w:lang w:eastAsia="ko-KR"/>
        </w:rPr>
      </w:pPr>
      <w:r w:rsidRPr="004844DD">
        <w:t>Rev 0: Initial version of the document.</w:t>
      </w:r>
    </w:p>
    <w:p w14:paraId="5E855786" w14:textId="38A15F73" w:rsidR="00494321" w:rsidRPr="006E1A9D" w:rsidRDefault="00494321" w:rsidP="00494321">
      <w:pPr>
        <w:pStyle w:val="af2"/>
        <w:numPr>
          <w:ilvl w:val="0"/>
          <w:numId w:val="1"/>
        </w:numPr>
        <w:rPr>
          <w:ins w:id="2" w:author="作者"/>
          <w:lang w:eastAsia="ko-KR"/>
        </w:rPr>
      </w:pPr>
      <w:ins w:id="3" w:author="作者">
        <w:r w:rsidRPr="004844DD">
          <w:t xml:space="preserve">Rev </w:t>
        </w:r>
        <w:r>
          <w:t>1</w:t>
        </w:r>
        <w:r w:rsidRPr="004844DD">
          <w:t xml:space="preserve">: </w:t>
        </w:r>
        <w:r>
          <w:t>Revised based on received comments</w:t>
        </w:r>
        <w:r w:rsidRPr="004844DD">
          <w:t>.</w:t>
        </w:r>
      </w:ins>
    </w:p>
    <w:p w14:paraId="5E25784F" w14:textId="77777777" w:rsidR="00494321" w:rsidRPr="006E1A9D" w:rsidRDefault="00494321" w:rsidP="00574E74">
      <w:pPr>
        <w:pStyle w:val="af2"/>
        <w:numPr>
          <w:ilvl w:val="0"/>
          <w:numId w:val="1"/>
        </w:numPr>
        <w:rPr>
          <w:lang w:eastAsia="ko-KR"/>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74"/>
        <w:gridCol w:w="720"/>
        <w:gridCol w:w="900"/>
        <w:gridCol w:w="2790"/>
        <w:gridCol w:w="2737"/>
        <w:gridCol w:w="2123"/>
      </w:tblGrid>
      <w:tr w:rsidR="002B7C4C" w:rsidRPr="007E587A" w14:paraId="3720AD90" w14:textId="77777777" w:rsidTr="00212F75">
        <w:trPr>
          <w:trHeight w:val="220"/>
          <w:tblHeader/>
          <w:jc w:val="center"/>
        </w:trPr>
        <w:tc>
          <w:tcPr>
            <w:tcW w:w="988"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074"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5935BE25" w:rsidR="002B7C4C" w:rsidRPr="007E587A" w:rsidRDefault="00212F75" w:rsidP="005322E2">
            <w:pPr>
              <w:suppressAutoHyphens/>
              <w:rPr>
                <w:b/>
                <w:bCs/>
                <w:color w:val="000000"/>
                <w:sz w:val="16"/>
                <w:szCs w:val="16"/>
              </w:rPr>
            </w:pPr>
            <w:r>
              <w:rPr>
                <w:b/>
                <w:bCs/>
                <w:color w:val="000000"/>
                <w:sz w:val="16"/>
                <w:szCs w:val="16"/>
              </w:rPr>
              <w:t xml:space="preserve">Clause </w:t>
            </w:r>
          </w:p>
        </w:tc>
        <w:tc>
          <w:tcPr>
            <w:tcW w:w="900" w:type="dxa"/>
            <w:shd w:val="clear" w:color="auto" w:fill="BFBFBF" w:themeFill="background1" w:themeFillShade="BF"/>
            <w:vAlign w:val="center"/>
          </w:tcPr>
          <w:p w14:paraId="38E48052" w14:textId="211903E2" w:rsidR="002B7C4C" w:rsidRPr="007E587A" w:rsidRDefault="00212F75"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802565" w14:paraId="399D312F" w14:textId="77777777" w:rsidTr="00212F75">
        <w:trPr>
          <w:trHeight w:val="220"/>
          <w:jc w:val="center"/>
        </w:trPr>
        <w:tc>
          <w:tcPr>
            <w:tcW w:w="988" w:type="dxa"/>
            <w:shd w:val="clear" w:color="auto" w:fill="auto"/>
            <w:noWrap/>
          </w:tcPr>
          <w:p w14:paraId="2E334608" w14:textId="18E88636" w:rsidR="00802565" w:rsidRPr="00A65FF2" w:rsidRDefault="00802565" w:rsidP="00802565">
            <w:pPr>
              <w:suppressAutoHyphens/>
              <w:rPr>
                <w:sz w:val="16"/>
                <w:szCs w:val="16"/>
              </w:rPr>
            </w:pPr>
            <w:r w:rsidRPr="00A65FF2">
              <w:rPr>
                <w:sz w:val="16"/>
                <w:szCs w:val="16"/>
              </w:rPr>
              <w:t>22106</w:t>
            </w:r>
          </w:p>
        </w:tc>
        <w:tc>
          <w:tcPr>
            <w:tcW w:w="1074" w:type="dxa"/>
          </w:tcPr>
          <w:p w14:paraId="0012623F" w14:textId="2B7181B6"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5C4FCD59" w14:textId="3C89F085" w:rsidR="00802565" w:rsidRPr="00A65FF2" w:rsidRDefault="00802565" w:rsidP="00802565">
            <w:pPr>
              <w:suppressAutoHyphens/>
              <w:rPr>
                <w:sz w:val="16"/>
                <w:szCs w:val="16"/>
              </w:rPr>
            </w:pPr>
            <w:r w:rsidRPr="00A65FF2">
              <w:rPr>
                <w:sz w:val="16"/>
                <w:szCs w:val="16"/>
              </w:rPr>
              <w:t>35.3.21.2</w:t>
            </w:r>
          </w:p>
        </w:tc>
        <w:tc>
          <w:tcPr>
            <w:tcW w:w="900" w:type="dxa"/>
          </w:tcPr>
          <w:p w14:paraId="7C85AD97" w14:textId="12DCEA26" w:rsidR="00802565" w:rsidRPr="00A65FF2" w:rsidRDefault="00802565" w:rsidP="00802565">
            <w:pPr>
              <w:suppressAutoHyphens/>
              <w:rPr>
                <w:sz w:val="16"/>
                <w:szCs w:val="16"/>
              </w:rPr>
            </w:pPr>
            <w:r w:rsidRPr="00A65FF2">
              <w:rPr>
                <w:sz w:val="16"/>
                <w:szCs w:val="16"/>
              </w:rPr>
              <w:t>585.52</w:t>
            </w:r>
          </w:p>
        </w:tc>
        <w:tc>
          <w:tcPr>
            <w:tcW w:w="2790" w:type="dxa"/>
            <w:shd w:val="clear" w:color="auto" w:fill="auto"/>
            <w:noWrap/>
          </w:tcPr>
          <w:p w14:paraId="2F6174AA" w14:textId="400F6063" w:rsidR="00802565" w:rsidRPr="00A65FF2" w:rsidRDefault="00802565" w:rsidP="00802565">
            <w:pPr>
              <w:suppressAutoHyphens/>
              <w:rPr>
                <w:sz w:val="16"/>
                <w:szCs w:val="16"/>
              </w:rPr>
            </w:pPr>
            <w:r w:rsidRPr="00A65FF2">
              <w:rPr>
                <w:sz w:val="16"/>
                <w:szCs w:val="16"/>
              </w:rPr>
              <w:t>Please also include the case for TDLS Discovery Response frame.</w:t>
            </w:r>
          </w:p>
        </w:tc>
        <w:tc>
          <w:tcPr>
            <w:tcW w:w="2737" w:type="dxa"/>
            <w:shd w:val="clear" w:color="auto" w:fill="auto"/>
            <w:noWrap/>
          </w:tcPr>
          <w:p w14:paraId="48C56C82" w14:textId="28F192BA"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4132972E" w14:textId="7516603A" w:rsidR="00802565" w:rsidRDefault="001B2B8C" w:rsidP="00F342B2">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w:t>
            </w:r>
            <w:r w:rsidR="00393E24">
              <w:rPr>
                <w:rFonts w:eastAsia="宋体"/>
                <w:sz w:val="16"/>
                <w:szCs w:val="16"/>
                <w:lang w:eastAsia="zh-CN"/>
              </w:rPr>
              <w:t>jected</w:t>
            </w:r>
          </w:p>
          <w:p w14:paraId="647C8C8F" w14:textId="672FE4DA" w:rsidR="00F342B2" w:rsidRDefault="00F342B2" w:rsidP="00F342B2">
            <w:pPr>
              <w:suppressAutoHyphens/>
              <w:rPr>
                <w:rFonts w:eastAsia="宋体"/>
                <w:sz w:val="16"/>
                <w:szCs w:val="16"/>
                <w:lang w:eastAsia="zh-CN"/>
              </w:rPr>
            </w:pPr>
          </w:p>
          <w:p w14:paraId="1AC2DBC3" w14:textId="0D363EDD" w:rsidR="001B2B8C" w:rsidRDefault="00F342B2" w:rsidP="00F342B2">
            <w:pPr>
              <w:suppressAutoHyphens/>
              <w:rPr>
                <w:rFonts w:eastAsia="宋体"/>
                <w:sz w:val="16"/>
                <w:szCs w:val="16"/>
                <w:lang w:eastAsia="zh-CN"/>
              </w:rPr>
            </w:pPr>
            <w:r>
              <w:rPr>
                <w:rFonts w:eastAsia="宋体"/>
                <w:sz w:val="16"/>
                <w:szCs w:val="16"/>
                <w:lang w:eastAsia="zh-CN"/>
              </w:rPr>
              <w:t>T</w:t>
            </w:r>
            <w:r w:rsidR="00284B23">
              <w:rPr>
                <w:rFonts w:eastAsia="宋体"/>
                <w:sz w:val="16"/>
                <w:szCs w:val="16"/>
                <w:lang w:eastAsia="zh-CN"/>
              </w:rPr>
              <w:t>he receiver doesn’t need to respond with any frame regardless</w:t>
            </w:r>
            <w:r>
              <w:rPr>
                <w:rFonts w:eastAsia="宋体"/>
                <w:sz w:val="16"/>
                <w:szCs w:val="16"/>
                <w:lang w:eastAsia="zh-CN"/>
              </w:rPr>
              <w:t xml:space="preserve"> of whether</w:t>
            </w:r>
            <w:r w:rsidR="00284B23">
              <w:rPr>
                <w:rFonts w:eastAsia="宋体"/>
                <w:sz w:val="16"/>
                <w:szCs w:val="16"/>
                <w:lang w:eastAsia="zh-CN"/>
              </w:rPr>
              <w:t xml:space="preserve"> the received TDLS Discovery Response frame is valid or not.</w:t>
            </w:r>
          </w:p>
          <w:p w14:paraId="40758907" w14:textId="77777777" w:rsidR="00F342B2" w:rsidRDefault="00F342B2" w:rsidP="00F342B2">
            <w:pPr>
              <w:suppressAutoHyphens/>
              <w:rPr>
                <w:rFonts w:eastAsia="宋体"/>
                <w:sz w:val="16"/>
                <w:szCs w:val="16"/>
                <w:lang w:eastAsia="zh-CN"/>
              </w:rPr>
            </w:pPr>
          </w:p>
          <w:p w14:paraId="58E08D65" w14:textId="336B6EC4" w:rsidR="00F342B2" w:rsidRPr="00393E24" w:rsidRDefault="00F342B2" w:rsidP="00F342B2">
            <w:pPr>
              <w:suppressAutoHyphens/>
              <w:rPr>
                <w:rFonts w:eastAsia="宋体"/>
                <w:sz w:val="16"/>
                <w:szCs w:val="16"/>
                <w:lang w:eastAsia="zh-CN"/>
              </w:rPr>
            </w:pPr>
            <w:r>
              <w:rPr>
                <w:rFonts w:eastAsia="宋体"/>
                <w:sz w:val="16"/>
                <w:szCs w:val="16"/>
                <w:lang w:eastAsia="zh-CN"/>
              </w:rPr>
              <w:t xml:space="preserve">The intent of this paragraph is to emphasize that the receiver shall not respond an invalid request. </w:t>
            </w:r>
          </w:p>
        </w:tc>
      </w:tr>
      <w:tr w:rsidR="00802565" w14:paraId="303665F7" w14:textId="77777777" w:rsidTr="00212F75">
        <w:trPr>
          <w:trHeight w:val="220"/>
          <w:jc w:val="center"/>
        </w:trPr>
        <w:tc>
          <w:tcPr>
            <w:tcW w:w="988" w:type="dxa"/>
            <w:shd w:val="clear" w:color="auto" w:fill="auto"/>
            <w:noWrap/>
          </w:tcPr>
          <w:p w14:paraId="3C544C9D" w14:textId="5696BE77" w:rsidR="00802565" w:rsidRPr="00A65FF2" w:rsidRDefault="00802565" w:rsidP="00802565">
            <w:pPr>
              <w:suppressAutoHyphens/>
              <w:rPr>
                <w:sz w:val="16"/>
                <w:szCs w:val="16"/>
              </w:rPr>
            </w:pPr>
            <w:r w:rsidRPr="00A65FF2">
              <w:rPr>
                <w:sz w:val="16"/>
                <w:szCs w:val="16"/>
              </w:rPr>
              <w:t>22107</w:t>
            </w:r>
          </w:p>
        </w:tc>
        <w:tc>
          <w:tcPr>
            <w:tcW w:w="1074" w:type="dxa"/>
          </w:tcPr>
          <w:p w14:paraId="090BF310" w14:textId="7015AD59"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2A785FFD" w14:textId="0AA83289" w:rsidR="00802565" w:rsidRPr="00A65FF2" w:rsidRDefault="00802565" w:rsidP="00802565">
            <w:pPr>
              <w:suppressAutoHyphens/>
              <w:rPr>
                <w:sz w:val="16"/>
                <w:szCs w:val="16"/>
              </w:rPr>
            </w:pPr>
            <w:r w:rsidRPr="00A65FF2">
              <w:rPr>
                <w:sz w:val="16"/>
                <w:szCs w:val="16"/>
              </w:rPr>
              <w:t>35.3.21.2</w:t>
            </w:r>
          </w:p>
        </w:tc>
        <w:tc>
          <w:tcPr>
            <w:tcW w:w="900" w:type="dxa"/>
          </w:tcPr>
          <w:p w14:paraId="67074912" w14:textId="71A76757" w:rsidR="00802565" w:rsidRPr="00A65FF2" w:rsidRDefault="00802565" w:rsidP="00802565">
            <w:pPr>
              <w:suppressAutoHyphens/>
              <w:rPr>
                <w:sz w:val="16"/>
                <w:szCs w:val="16"/>
              </w:rPr>
            </w:pPr>
            <w:r w:rsidRPr="00A65FF2">
              <w:rPr>
                <w:sz w:val="16"/>
                <w:szCs w:val="16"/>
              </w:rPr>
              <w:t>585.46</w:t>
            </w:r>
          </w:p>
        </w:tc>
        <w:tc>
          <w:tcPr>
            <w:tcW w:w="2790" w:type="dxa"/>
            <w:shd w:val="clear" w:color="auto" w:fill="auto"/>
            <w:noWrap/>
          </w:tcPr>
          <w:p w14:paraId="1D8B216A" w14:textId="3E346FF0" w:rsidR="00802565" w:rsidRPr="00A65FF2" w:rsidRDefault="00802565" w:rsidP="00802565">
            <w:pPr>
              <w:suppressAutoHyphens/>
              <w:rPr>
                <w:sz w:val="16"/>
                <w:szCs w:val="16"/>
              </w:rPr>
            </w:pPr>
            <w:r w:rsidRPr="00A65FF2">
              <w:rPr>
                <w:sz w:val="16"/>
                <w:szCs w:val="16"/>
              </w:rPr>
              <w:t>Clarify here that the "non-AP MLD" here applies to both the TDLS initiator non-AP MLD and the TDLS responder non-AP MLD, i.e. both will use this BSSID.</w:t>
            </w:r>
          </w:p>
        </w:tc>
        <w:tc>
          <w:tcPr>
            <w:tcW w:w="2737" w:type="dxa"/>
            <w:shd w:val="clear" w:color="auto" w:fill="auto"/>
            <w:noWrap/>
          </w:tcPr>
          <w:p w14:paraId="7D8DAC3B" w14:textId="7CB7236C"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27434D6E" w14:textId="77777777" w:rsidR="00802565" w:rsidRPr="00A65FF2" w:rsidRDefault="00A51939" w:rsidP="00802565">
            <w:pPr>
              <w:suppressAutoHyphens/>
              <w:rPr>
                <w:rFonts w:eastAsia="宋体"/>
                <w:bCs/>
                <w:sz w:val="16"/>
                <w:szCs w:val="16"/>
                <w:lang w:eastAsia="zh-CN"/>
              </w:rPr>
            </w:pPr>
            <w:r w:rsidRPr="00A65FF2">
              <w:rPr>
                <w:rFonts w:eastAsia="宋体" w:hint="eastAsia"/>
                <w:bCs/>
                <w:sz w:val="16"/>
                <w:szCs w:val="16"/>
                <w:lang w:eastAsia="zh-CN"/>
              </w:rPr>
              <w:t>R</w:t>
            </w:r>
            <w:r w:rsidRPr="00A65FF2">
              <w:rPr>
                <w:rFonts w:eastAsia="宋体"/>
                <w:bCs/>
                <w:sz w:val="16"/>
                <w:szCs w:val="16"/>
                <w:lang w:eastAsia="zh-CN"/>
              </w:rPr>
              <w:t>ejected</w:t>
            </w:r>
          </w:p>
          <w:p w14:paraId="45CE83E5" w14:textId="77777777" w:rsidR="00A51939" w:rsidRPr="00A65FF2" w:rsidRDefault="00A51939" w:rsidP="00802565">
            <w:pPr>
              <w:suppressAutoHyphens/>
              <w:rPr>
                <w:rFonts w:eastAsia="宋体"/>
                <w:bCs/>
                <w:sz w:val="16"/>
                <w:szCs w:val="16"/>
                <w:lang w:eastAsia="zh-CN"/>
              </w:rPr>
            </w:pPr>
          </w:p>
          <w:p w14:paraId="3F1553A3" w14:textId="43465A96" w:rsidR="00A51939" w:rsidRPr="00A51939" w:rsidRDefault="00A51939" w:rsidP="00802565">
            <w:pPr>
              <w:suppressAutoHyphens/>
              <w:rPr>
                <w:rFonts w:eastAsia="宋体"/>
                <w:b/>
                <w:bCs/>
                <w:sz w:val="16"/>
                <w:szCs w:val="16"/>
                <w:lang w:eastAsia="zh-CN"/>
              </w:rPr>
            </w:pPr>
            <w:r w:rsidRPr="00A65FF2">
              <w:rPr>
                <w:rFonts w:eastAsia="宋体"/>
                <w:bCs/>
                <w:sz w:val="16"/>
                <w:szCs w:val="16"/>
                <w:lang w:eastAsia="zh-CN"/>
              </w:rPr>
              <w:t xml:space="preserve">Considering </w:t>
            </w:r>
            <w:r w:rsidR="00F342B2">
              <w:rPr>
                <w:rFonts w:eastAsia="宋体"/>
                <w:bCs/>
                <w:sz w:val="16"/>
                <w:szCs w:val="16"/>
                <w:lang w:eastAsia="zh-CN"/>
              </w:rPr>
              <w:t xml:space="preserve">that </w:t>
            </w:r>
            <w:r w:rsidRPr="00A65FF2">
              <w:rPr>
                <w:rFonts w:eastAsia="宋体"/>
                <w:bCs/>
                <w:sz w:val="16"/>
                <w:szCs w:val="16"/>
                <w:lang w:eastAsia="zh-CN"/>
              </w:rPr>
              <w:t>the TDLS peer may be a non-MLD non-AP STA, it’s better to keep the current text.</w:t>
            </w:r>
          </w:p>
        </w:tc>
      </w:tr>
      <w:tr w:rsidR="00802565" w14:paraId="4AE77F97" w14:textId="77777777" w:rsidTr="00212F75">
        <w:trPr>
          <w:trHeight w:val="220"/>
          <w:jc w:val="center"/>
        </w:trPr>
        <w:tc>
          <w:tcPr>
            <w:tcW w:w="988" w:type="dxa"/>
            <w:shd w:val="clear" w:color="auto" w:fill="auto"/>
            <w:noWrap/>
          </w:tcPr>
          <w:p w14:paraId="5ACED911" w14:textId="18D6F341" w:rsidR="00802565" w:rsidRPr="00A65FF2" w:rsidRDefault="00802565" w:rsidP="00802565">
            <w:pPr>
              <w:suppressAutoHyphens/>
              <w:rPr>
                <w:sz w:val="16"/>
                <w:szCs w:val="16"/>
              </w:rPr>
            </w:pPr>
            <w:r w:rsidRPr="00A65FF2">
              <w:rPr>
                <w:sz w:val="16"/>
                <w:szCs w:val="16"/>
              </w:rPr>
              <w:t>22108</w:t>
            </w:r>
          </w:p>
        </w:tc>
        <w:tc>
          <w:tcPr>
            <w:tcW w:w="1074" w:type="dxa"/>
          </w:tcPr>
          <w:p w14:paraId="4C6A352C" w14:textId="093EB266"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2186A437" w14:textId="454EA5DB" w:rsidR="00802565" w:rsidRPr="00A65FF2" w:rsidRDefault="00802565" w:rsidP="00802565">
            <w:pPr>
              <w:suppressAutoHyphens/>
              <w:rPr>
                <w:sz w:val="16"/>
                <w:szCs w:val="16"/>
              </w:rPr>
            </w:pPr>
            <w:r w:rsidRPr="00A65FF2">
              <w:rPr>
                <w:sz w:val="16"/>
                <w:szCs w:val="16"/>
              </w:rPr>
              <w:t>35.3.21.2</w:t>
            </w:r>
          </w:p>
        </w:tc>
        <w:tc>
          <w:tcPr>
            <w:tcW w:w="900" w:type="dxa"/>
          </w:tcPr>
          <w:p w14:paraId="4556938B" w14:textId="753DA23D" w:rsidR="00802565" w:rsidRPr="00A65FF2" w:rsidRDefault="00802565" w:rsidP="00802565">
            <w:pPr>
              <w:suppressAutoHyphens/>
              <w:rPr>
                <w:sz w:val="16"/>
                <w:szCs w:val="16"/>
              </w:rPr>
            </w:pPr>
            <w:r w:rsidRPr="00A65FF2">
              <w:rPr>
                <w:sz w:val="16"/>
                <w:szCs w:val="16"/>
              </w:rPr>
              <w:t>585.40</w:t>
            </w:r>
          </w:p>
        </w:tc>
        <w:tc>
          <w:tcPr>
            <w:tcW w:w="2790" w:type="dxa"/>
            <w:shd w:val="clear" w:color="auto" w:fill="auto"/>
            <w:noWrap/>
          </w:tcPr>
          <w:p w14:paraId="256712DD" w14:textId="5885FCA3" w:rsidR="00802565" w:rsidRPr="00A65FF2" w:rsidRDefault="00802565" w:rsidP="00802565">
            <w:pPr>
              <w:suppressAutoHyphens/>
              <w:rPr>
                <w:sz w:val="16"/>
                <w:szCs w:val="16"/>
              </w:rPr>
            </w:pPr>
            <w:r w:rsidRPr="00A65FF2">
              <w:rPr>
                <w:sz w:val="16"/>
                <w:szCs w:val="16"/>
              </w:rPr>
              <w:t>The condition depicted in this paragraph should not have happened in the first place since the TDLS Discovery Request frame is transmitted through the AP MLD and the AP MLD won't forward a frame to any non-AP MLD that is not associated with that AP MLD. Initiator non-AP MLD should set the MLD MAC Address appropriately.</w:t>
            </w:r>
          </w:p>
        </w:tc>
        <w:tc>
          <w:tcPr>
            <w:tcW w:w="2737" w:type="dxa"/>
            <w:shd w:val="clear" w:color="auto" w:fill="auto"/>
            <w:noWrap/>
          </w:tcPr>
          <w:p w14:paraId="7E4B7A2E" w14:textId="2739EA6F" w:rsidR="00802565" w:rsidRPr="00A65FF2" w:rsidRDefault="00802565" w:rsidP="00802565">
            <w:pPr>
              <w:suppressAutoHyphens/>
              <w:rPr>
                <w:sz w:val="16"/>
                <w:szCs w:val="16"/>
              </w:rPr>
            </w:pPr>
            <w:r w:rsidRPr="00A65FF2">
              <w:rPr>
                <w:sz w:val="16"/>
                <w:szCs w:val="16"/>
              </w:rPr>
              <w:t>Please revise this paragraph</w:t>
            </w:r>
          </w:p>
        </w:tc>
        <w:tc>
          <w:tcPr>
            <w:tcW w:w="2123" w:type="dxa"/>
            <w:shd w:val="clear" w:color="auto" w:fill="auto"/>
          </w:tcPr>
          <w:p w14:paraId="53A33CDF" w14:textId="77777777" w:rsidR="00802565" w:rsidRDefault="000A58B7"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4D0E5B68" w14:textId="77777777" w:rsidR="000A58B7" w:rsidRDefault="000A58B7" w:rsidP="00802565">
            <w:pPr>
              <w:suppressAutoHyphens/>
              <w:rPr>
                <w:rFonts w:eastAsia="宋体"/>
                <w:sz w:val="16"/>
                <w:szCs w:val="16"/>
                <w:lang w:eastAsia="zh-CN"/>
              </w:rPr>
            </w:pPr>
          </w:p>
          <w:p w14:paraId="309B2502" w14:textId="02989145" w:rsidR="000A58B7" w:rsidRPr="000A58B7" w:rsidRDefault="009919D0" w:rsidP="00F342B2">
            <w:pPr>
              <w:suppressAutoHyphens/>
              <w:rPr>
                <w:rFonts w:eastAsia="宋体"/>
                <w:sz w:val="16"/>
                <w:szCs w:val="16"/>
                <w:lang w:eastAsia="zh-CN"/>
              </w:rPr>
            </w:pPr>
            <w:r>
              <w:rPr>
                <w:rFonts w:eastAsia="宋体"/>
                <w:sz w:val="16"/>
                <w:szCs w:val="16"/>
                <w:lang w:eastAsia="zh-CN"/>
              </w:rPr>
              <w:t>Th</w:t>
            </w:r>
            <w:r w:rsidR="00F342B2">
              <w:rPr>
                <w:rFonts w:eastAsia="宋体"/>
                <w:sz w:val="16"/>
                <w:szCs w:val="16"/>
                <w:lang w:eastAsia="zh-CN"/>
              </w:rPr>
              <w:t xml:space="preserve">e condition </w:t>
            </w:r>
            <w:r>
              <w:rPr>
                <w:rFonts w:eastAsia="宋体"/>
                <w:sz w:val="16"/>
                <w:szCs w:val="16"/>
                <w:lang w:eastAsia="zh-CN"/>
              </w:rPr>
              <w:t>may</w:t>
            </w:r>
            <w:r w:rsidR="00F342B2">
              <w:rPr>
                <w:rFonts w:eastAsia="宋体"/>
                <w:sz w:val="16"/>
                <w:szCs w:val="16"/>
                <w:lang w:eastAsia="zh-CN"/>
              </w:rPr>
              <w:t xml:space="preserve"> </w:t>
            </w:r>
            <w:r w:rsidR="00251F40">
              <w:rPr>
                <w:rFonts w:eastAsia="宋体"/>
                <w:sz w:val="16"/>
                <w:szCs w:val="16"/>
                <w:lang w:eastAsia="zh-CN"/>
              </w:rPr>
              <w:t>be</w:t>
            </w:r>
            <w:r>
              <w:rPr>
                <w:rFonts w:eastAsia="宋体"/>
                <w:sz w:val="16"/>
                <w:szCs w:val="16"/>
                <w:lang w:eastAsia="zh-CN"/>
              </w:rPr>
              <w:t xml:space="preserve"> happened. </w:t>
            </w:r>
            <w:r w:rsidR="00F342B2">
              <w:rPr>
                <w:rFonts w:eastAsia="宋体"/>
                <w:sz w:val="16"/>
                <w:szCs w:val="16"/>
                <w:lang w:eastAsia="zh-CN"/>
              </w:rPr>
              <w:t xml:space="preserve">It is because </w:t>
            </w:r>
            <w:r>
              <w:rPr>
                <w:rFonts w:eastAsia="宋体"/>
                <w:sz w:val="16"/>
                <w:szCs w:val="16"/>
                <w:lang w:eastAsia="zh-CN"/>
              </w:rPr>
              <w:t>t</w:t>
            </w:r>
            <w:r w:rsidR="000A58B7" w:rsidRPr="000A58B7">
              <w:rPr>
                <w:rFonts w:eastAsia="宋体"/>
                <w:sz w:val="16"/>
                <w:szCs w:val="16"/>
                <w:lang w:eastAsia="zh-CN"/>
              </w:rPr>
              <w:t>he TDLS Discovery Request Action field is encapsulated in a Data frame and transmitted to a TDLS peer</w:t>
            </w:r>
            <w:r w:rsidR="000A58B7">
              <w:rPr>
                <w:rFonts w:eastAsia="宋体" w:hint="eastAsia"/>
                <w:sz w:val="16"/>
                <w:szCs w:val="16"/>
                <w:lang w:eastAsia="zh-CN"/>
              </w:rPr>
              <w:t xml:space="preserve"> </w:t>
            </w:r>
            <w:r w:rsidR="000A58B7" w:rsidRPr="000A58B7">
              <w:rPr>
                <w:rFonts w:eastAsia="宋体"/>
                <w:sz w:val="16"/>
                <w:szCs w:val="16"/>
                <w:lang w:eastAsia="zh-CN"/>
              </w:rPr>
              <w:t>STA through the AP</w:t>
            </w:r>
            <w:r w:rsidR="001B2B8C">
              <w:rPr>
                <w:rFonts w:eastAsia="宋体"/>
                <w:sz w:val="16"/>
                <w:szCs w:val="16"/>
                <w:lang w:eastAsia="zh-CN"/>
              </w:rPr>
              <w:t xml:space="preserve"> MLD. </w:t>
            </w:r>
            <w:r>
              <w:rPr>
                <w:rFonts w:eastAsia="宋体"/>
                <w:sz w:val="16"/>
                <w:szCs w:val="16"/>
                <w:lang w:eastAsia="zh-CN"/>
              </w:rPr>
              <w:t>T</w:t>
            </w:r>
            <w:r>
              <w:rPr>
                <w:rFonts w:eastAsia="宋体" w:hint="eastAsia"/>
                <w:sz w:val="16"/>
                <w:szCs w:val="16"/>
                <w:lang w:eastAsia="zh-CN"/>
              </w:rPr>
              <w:t>he</w:t>
            </w:r>
            <w:r>
              <w:rPr>
                <w:rFonts w:eastAsia="宋体"/>
                <w:sz w:val="16"/>
                <w:szCs w:val="16"/>
                <w:lang w:eastAsia="zh-CN"/>
              </w:rPr>
              <w:t xml:space="preserve"> </w:t>
            </w:r>
            <w:r>
              <w:rPr>
                <w:rFonts w:eastAsia="宋体" w:hint="eastAsia"/>
                <w:sz w:val="16"/>
                <w:szCs w:val="16"/>
                <w:lang w:eastAsia="zh-CN"/>
              </w:rPr>
              <w:t>AP</w:t>
            </w:r>
            <w:r>
              <w:rPr>
                <w:rFonts w:eastAsia="宋体"/>
                <w:sz w:val="16"/>
                <w:szCs w:val="16"/>
                <w:lang w:eastAsia="zh-CN"/>
              </w:rPr>
              <w:t xml:space="preserve"> MLD will not check the received TDLS Discovery Request frame. </w:t>
            </w:r>
          </w:p>
        </w:tc>
      </w:tr>
      <w:tr w:rsidR="00802565" w14:paraId="1276EC14" w14:textId="77777777" w:rsidTr="00212F75">
        <w:trPr>
          <w:trHeight w:val="220"/>
          <w:jc w:val="center"/>
        </w:trPr>
        <w:tc>
          <w:tcPr>
            <w:tcW w:w="988" w:type="dxa"/>
            <w:shd w:val="clear" w:color="auto" w:fill="auto"/>
            <w:noWrap/>
          </w:tcPr>
          <w:p w14:paraId="09CAA3B2" w14:textId="73E36968" w:rsidR="00802565" w:rsidRPr="00C63393" w:rsidRDefault="00802565" w:rsidP="00802565">
            <w:pPr>
              <w:suppressAutoHyphens/>
              <w:rPr>
                <w:sz w:val="16"/>
                <w:szCs w:val="16"/>
                <w:highlight w:val="yellow"/>
                <w:rPrChange w:id="4" w:author="作者">
                  <w:rPr>
                    <w:sz w:val="16"/>
                    <w:szCs w:val="16"/>
                  </w:rPr>
                </w:rPrChange>
              </w:rPr>
            </w:pPr>
            <w:r w:rsidRPr="00C63393">
              <w:rPr>
                <w:sz w:val="16"/>
                <w:szCs w:val="16"/>
                <w:highlight w:val="yellow"/>
                <w:rPrChange w:id="5" w:author="作者">
                  <w:rPr>
                    <w:sz w:val="16"/>
                    <w:szCs w:val="16"/>
                  </w:rPr>
                </w:rPrChange>
              </w:rPr>
              <w:t>22109</w:t>
            </w:r>
          </w:p>
        </w:tc>
        <w:tc>
          <w:tcPr>
            <w:tcW w:w="1074" w:type="dxa"/>
          </w:tcPr>
          <w:p w14:paraId="3DF68861" w14:textId="764FA6C0"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35DACB3A" w14:textId="68BD0A36" w:rsidR="00802565" w:rsidRPr="00A65FF2" w:rsidRDefault="00802565" w:rsidP="00802565">
            <w:pPr>
              <w:suppressAutoHyphens/>
              <w:rPr>
                <w:sz w:val="16"/>
                <w:szCs w:val="16"/>
              </w:rPr>
            </w:pPr>
            <w:r w:rsidRPr="00A65FF2">
              <w:rPr>
                <w:sz w:val="16"/>
                <w:szCs w:val="16"/>
              </w:rPr>
              <w:t>35.3.21.2</w:t>
            </w:r>
          </w:p>
        </w:tc>
        <w:tc>
          <w:tcPr>
            <w:tcW w:w="900" w:type="dxa"/>
          </w:tcPr>
          <w:p w14:paraId="25B34FAE" w14:textId="373D9A33" w:rsidR="00802565" w:rsidRPr="00A65FF2" w:rsidRDefault="00802565" w:rsidP="00802565">
            <w:pPr>
              <w:suppressAutoHyphens/>
              <w:rPr>
                <w:sz w:val="16"/>
                <w:szCs w:val="16"/>
              </w:rPr>
            </w:pPr>
            <w:r w:rsidRPr="00A65FF2">
              <w:rPr>
                <w:sz w:val="16"/>
                <w:szCs w:val="16"/>
              </w:rPr>
              <w:t>585.22</w:t>
            </w:r>
          </w:p>
        </w:tc>
        <w:tc>
          <w:tcPr>
            <w:tcW w:w="2790" w:type="dxa"/>
            <w:shd w:val="clear" w:color="auto" w:fill="auto"/>
            <w:noWrap/>
          </w:tcPr>
          <w:p w14:paraId="6B04975B" w14:textId="51517589" w:rsidR="00802565" w:rsidRPr="00A65FF2" w:rsidRDefault="00802565" w:rsidP="00802565">
            <w:pPr>
              <w:suppressAutoHyphens/>
              <w:rPr>
                <w:sz w:val="16"/>
                <w:szCs w:val="16"/>
              </w:rPr>
            </w:pPr>
            <w:r w:rsidRPr="00A65FF2">
              <w:rPr>
                <w:sz w:val="16"/>
                <w:szCs w:val="16"/>
              </w:rPr>
              <w:t>The underlying assumption for sending multiple TDLS Discovery frames with different BSSID each time is that the initiating non-AP MLD is open to establishing the TDLS link on either of the multiple links that non-AP MLD is operating on. If the non-AP MLD has only a certain link over which it intends to establish the TDLS direct link, then the non-AP MLD shall send only a single TDLS discovery request frame whose BSSID in the LI will match the BSSID of the AP operating on that link. This fact needs to be clarified here.</w:t>
            </w:r>
          </w:p>
        </w:tc>
        <w:tc>
          <w:tcPr>
            <w:tcW w:w="2737" w:type="dxa"/>
            <w:shd w:val="clear" w:color="auto" w:fill="auto"/>
            <w:noWrap/>
          </w:tcPr>
          <w:p w14:paraId="2A2F7366" w14:textId="3D16EEE6"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0E7FECD4" w14:textId="77777777" w:rsidR="00802565" w:rsidRDefault="00A65FF2"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7EFF7232" w14:textId="77777777" w:rsidR="00A65FF2" w:rsidRDefault="00A65FF2" w:rsidP="00802565">
            <w:pPr>
              <w:suppressAutoHyphens/>
              <w:rPr>
                <w:rFonts w:eastAsia="宋体"/>
                <w:sz w:val="16"/>
                <w:szCs w:val="16"/>
                <w:lang w:eastAsia="zh-CN"/>
              </w:rPr>
            </w:pPr>
          </w:p>
          <w:p w14:paraId="59354190" w14:textId="15439009" w:rsidR="00410BED" w:rsidRDefault="00A65FF2" w:rsidP="00F37573">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410BED">
              <w:rPr>
                <w:rFonts w:eastAsia="宋体"/>
                <w:sz w:val="16"/>
                <w:szCs w:val="16"/>
                <w:lang w:eastAsia="zh-CN"/>
              </w:rPr>
              <w:t>Th</w:t>
            </w:r>
            <w:r w:rsidR="00F37573">
              <w:rPr>
                <w:rFonts w:eastAsia="宋体"/>
                <w:sz w:val="16"/>
                <w:szCs w:val="16"/>
                <w:lang w:eastAsia="zh-CN"/>
              </w:rPr>
              <w:t xml:space="preserve">is paragraph </w:t>
            </w:r>
            <w:r w:rsidR="00410BED">
              <w:rPr>
                <w:rFonts w:eastAsia="宋体"/>
                <w:sz w:val="16"/>
                <w:szCs w:val="16"/>
                <w:lang w:eastAsia="zh-CN"/>
              </w:rPr>
              <w:t>is revised</w:t>
            </w:r>
            <w:r w:rsidR="00F37573">
              <w:rPr>
                <w:rFonts w:eastAsia="宋体"/>
                <w:sz w:val="16"/>
                <w:szCs w:val="16"/>
                <w:lang w:eastAsia="zh-CN"/>
              </w:rPr>
              <w:t xml:space="preserve"> to address this comment</w:t>
            </w:r>
            <w:r w:rsidR="00F37573">
              <w:rPr>
                <w:rFonts w:eastAsia="宋体" w:hint="eastAsia"/>
                <w:sz w:val="16"/>
                <w:szCs w:val="16"/>
                <w:lang w:eastAsia="zh-CN"/>
              </w:rPr>
              <w:t>.</w:t>
            </w:r>
            <w:r w:rsidR="00F37573">
              <w:rPr>
                <w:rFonts w:eastAsia="宋体"/>
                <w:sz w:val="16"/>
                <w:szCs w:val="16"/>
                <w:lang w:eastAsia="zh-CN"/>
              </w:rPr>
              <w:t xml:space="preserve"> </w:t>
            </w:r>
          </w:p>
          <w:p w14:paraId="6CD2930E" w14:textId="77777777" w:rsidR="00410BED" w:rsidRDefault="00410BED" w:rsidP="00802565">
            <w:pPr>
              <w:suppressAutoHyphens/>
              <w:rPr>
                <w:rFonts w:eastAsia="宋体"/>
                <w:sz w:val="16"/>
                <w:szCs w:val="16"/>
                <w:lang w:eastAsia="zh-CN"/>
              </w:rPr>
            </w:pPr>
          </w:p>
          <w:p w14:paraId="796AD4E9" w14:textId="36EAB9AA" w:rsidR="00410BED" w:rsidRPr="00A65FF2" w:rsidRDefault="00410BED" w:rsidP="00802565">
            <w:pPr>
              <w:suppressAutoHyphens/>
              <w:rPr>
                <w:rFonts w:eastAsia="宋体"/>
                <w:sz w:val="16"/>
                <w:szCs w:val="16"/>
                <w:lang w:eastAsia="zh-CN"/>
              </w:rPr>
            </w:pPr>
            <w:proofErr w:type="spellStart"/>
            <w:r>
              <w:rPr>
                <w:b/>
                <w:sz w:val="16"/>
                <w:szCs w:val="16"/>
              </w:rPr>
              <w:t>TGbe</w:t>
            </w:r>
            <w:proofErr w:type="spellEnd"/>
            <w:r>
              <w:rPr>
                <w:b/>
                <w:sz w:val="16"/>
                <w:szCs w:val="16"/>
              </w:rPr>
              <w:t xml:space="preserve"> editor please implement changes as shown in doc 11-24/0357r</w:t>
            </w:r>
            <w:r w:rsidR="00D82581">
              <w:rPr>
                <w:b/>
                <w:sz w:val="16"/>
                <w:szCs w:val="16"/>
              </w:rPr>
              <w:t>1</w:t>
            </w:r>
            <w:r>
              <w:rPr>
                <w:b/>
                <w:sz w:val="16"/>
                <w:szCs w:val="16"/>
              </w:rPr>
              <w:t xml:space="preserve"> tagged as 22109.</w:t>
            </w:r>
          </w:p>
        </w:tc>
      </w:tr>
      <w:tr w:rsidR="00802565" w14:paraId="1398521A" w14:textId="77777777" w:rsidTr="00212F75">
        <w:trPr>
          <w:trHeight w:val="220"/>
          <w:jc w:val="center"/>
        </w:trPr>
        <w:tc>
          <w:tcPr>
            <w:tcW w:w="988" w:type="dxa"/>
            <w:shd w:val="clear" w:color="auto" w:fill="auto"/>
            <w:noWrap/>
          </w:tcPr>
          <w:p w14:paraId="3741392B" w14:textId="33D7B723" w:rsidR="00802565" w:rsidRPr="00C63393" w:rsidRDefault="00802565" w:rsidP="00802565">
            <w:pPr>
              <w:suppressAutoHyphens/>
              <w:rPr>
                <w:sz w:val="16"/>
                <w:szCs w:val="16"/>
                <w:highlight w:val="yellow"/>
                <w:rPrChange w:id="6" w:author="作者">
                  <w:rPr>
                    <w:sz w:val="16"/>
                    <w:szCs w:val="16"/>
                  </w:rPr>
                </w:rPrChange>
              </w:rPr>
            </w:pPr>
            <w:r w:rsidRPr="00C63393">
              <w:rPr>
                <w:sz w:val="16"/>
                <w:szCs w:val="16"/>
                <w:highlight w:val="yellow"/>
                <w:rPrChange w:id="7" w:author="作者">
                  <w:rPr>
                    <w:sz w:val="16"/>
                    <w:szCs w:val="16"/>
                  </w:rPr>
                </w:rPrChange>
              </w:rPr>
              <w:t>22351</w:t>
            </w:r>
          </w:p>
        </w:tc>
        <w:tc>
          <w:tcPr>
            <w:tcW w:w="1074" w:type="dxa"/>
          </w:tcPr>
          <w:p w14:paraId="5C3AF020" w14:textId="75997B6D" w:rsidR="00802565" w:rsidRPr="00A65FF2" w:rsidRDefault="00802565" w:rsidP="00802565">
            <w:pPr>
              <w:suppressAutoHyphens/>
              <w:rPr>
                <w:sz w:val="16"/>
                <w:szCs w:val="16"/>
              </w:rPr>
            </w:pPr>
            <w:r w:rsidRPr="00A65FF2">
              <w:rPr>
                <w:sz w:val="16"/>
                <w:szCs w:val="16"/>
              </w:rPr>
              <w:t>Alfred Asterjadhi</w:t>
            </w:r>
          </w:p>
        </w:tc>
        <w:tc>
          <w:tcPr>
            <w:tcW w:w="720" w:type="dxa"/>
            <w:shd w:val="clear" w:color="auto" w:fill="auto"/>
            <w:noWrap/>
          </w:tcPr>
          <w:p w14:paraId="5C1ADCBB" w14:textId="1C20E9E7" w:rsidR="00802565" w:rsidRPr="00A65FF2" w:rsidRDefault="00802565" w:rsidP="00802565">
            <w:pPr>
              <w:suppressAutoHyphens/>
              <w:rPr>
                <w:sz w:val="16"/>
                <w:szCs w:val="16"/>
              </w:rPr>
            </w:pPr>
            <w:r w:rsidRPr="00A65FF2">
              <w:rPr>
                <w:sz w:val="16"/>
                <w:szCs w:val="16"/>
              </w:rPr>
              <w:t>35.3.21.2</w:t>
            </w:r>
          </w:p>
        </w:tc>
        <w:tc>
          <w:tcPr>
            <w:tcW w:w="900" w:type="dxa"/>
          </w:tcPr>
          <w:p w14:paraId="0D92DB5C" w14:textId="35BA0C93" w:rsidR="00802565" w:rsidRPr="00A65FF2" w:rsidRDefault="00802565" w:rsidP="00802565">
            <w:pPr>
              <w:suppressAutoHyphens/>
              <w:rPr>
                <w:sz w:val="16"/>
                <w:szCs w:val="16"/>
              </w:rPr>
            </w:pPr>
            <w:r w:rsidRPr="00A65FF2">
              <w:rPr>
                <w:sz w:val="16"/>
                <w:szCs w:val="16"/>
              </w:rPr>
              <w:t>586.58</w:t>
            </w:r>
          </w:p>
        </w:tc>
        <w:tc>
          <w:tcPr>
            <w:tcW w:w="2790" w:type="dxa"/>
            <w:shd w:val="clear" w:color="auto" w:fill="auto"/>
            <w:noWrap/>
          </w:tcPr>
          <w:p w14:paraId="55F621B3" w14:textId="3D812C15" w:rsidR="00802565" w:rsidRPr="00A65FF2" w:rsidRDefault="00802565" w:rsidP="00802565">
            <w:pPr>
              <w:suppressAutoHyphens/>
              <w:rPr>
                <w:sz w:val="16"/>
                <w:szCs w:val="16"/>
              </w:rPr>
            </w:pPr>
            <w:r w:rsidRPr="00A65FF2">
              <w:rPr>
                <w:sz w:val="16"/>
                <w:szCs w:val="16"/>
              </w:rPr>
              <w:t xml:space="preserve">[Romain </w:t>
            </w:r>
            <w:proofErr w:type="spellStart"/>
            <w:r w:rsidRPr="00A65FF2">
              <w:rPr>
                <w:sz w:val="16"/>
                <w:szCs w:val="16"/>
              </w:rPr>
              <w:t>Guignard</w:t>
            </w:r>
            <w:proofErr w:type="spellEnd"/>
            <w:r w:rsidRPr="00A65FF2">
              <w:rPr>
                <w:sz w:val="16"/>
                <w:szCs w:val="16"/>
              </w:rPr>
              <w:t>] The in-device coexistence was initially proposed to solve coexistence problem with P2P and BSS transmissions concurrently operating on EMLSR links. But it is not clear how the non-AP STA with TDLS transmission should set this in-device coexistence.</w:t>
            </w:r>
          </w:p>
        </w:tc>
        <w:tc>
          <w:tcPr>
            <w:tcW w:w="2737" w:type="dxa"/>
            <w:shd w:val="clear" w:color="auto" w:fill="auto"/>
            <w:noWrap/>
          </w:tcPr>
          <w:p w14:paraId="5E77C297" w14:textId="1F8502D0" w:rsidR="00802565" w:rsidRPr="00A65FF2" w:rsidRDefault="00802565" w:rsidP="00802565">
            <w:pPr>
              <w:suppressAutoHyphens/>
              <w:rPr>
                <w:sz w:val="16"/>
                <w:szCs w:val="16"/>
              </w:rPr>
            </w:pPr>
            <w:r w:rsidRPr="00A65FF2">
              <w:rPr>
                <w:sz w:val="16"/>
                <w:szCs w:val="16"/>
              </w:rPr>
              <w:t>Please clarify. For example, add the following sentence in the section 35,3,21,2: "A non-AP STA affiliated with a non-AP MLD that operates TDLS direct link on one of the EMLSR links should transmit an EML Operating Mode Notification with the in-device coexistence activities field set to 1 to its associated AP MLD as defined in 35.3.17."</w:t>
            </w:r>
          </w:p>
        </w:tc>
        <w:tc>
          <w:tcPr>
            <w:tcW w:w="2123" w:type="dxa"/>
            <w:shd w:val="clear" w:color="auto" w:fill="auto"/>
          </w:tcPr>
          <w:p w14:paraId="03B99898" w14:textId="2F94526D" w:rsidR="00802565" w:rsidRDefault="00412D88" w:rsidP="00802565">
            <w:pPr>
              <w:suppressAutoHyphens/>
              <w:rPr>
                <w:rFonts w:eastAsia="宋体"/>
                <w:sz w:val="16"/>
                <w:szCs w:val="16"/>
                <w:lang w:eastAsia="zh-CN"/>
              </w:rPr>
            </w:pPr>
            <w:r>
              <w:rPr>
                <w:rFonts w:eastAsia="宋体"/>
                <w:sz w:val="16"/>
                <w:szCs w:val="16"/>
                <w:lang w:eastAsia="zh-CN"/>
              </w:rPr>
              <w:t>Rejected</w:t>
            </w:r>
          </w:p>
          <w:p w14:paraId="16A3D67E" w14:textId="77777777" w:rsidR="00123395" w:rsidRDefault="00123395" w:rsidP="00802565">
            <w:pPr>
              <w:suppressAutoHyphens/>
              <w:rPr>
                <w:rFonts w:eastAsia="宋体"/>
                <w:sz w:val="16"/>
                <w:szCs w:val="16"/>
                <w:lang w:eastAsia="zh-CN"/>
              </w:rPr>
            </w:pPr>
          </w:p>
          <w:p w14:paraId="337110A5" w14:textId="72178B65" w:rsidR="00123395" w:rsidRPr="00305BD7" w:rsidRDefault="00412D88" w:rsidP="00802565">
            <w:pPr>
              <w:suppressAutoHyphens/>
              <w:rPr>
                <w:rFonts w:eastAsia="宋体"/>
                <w:sz w:val="16"/>
                <w:szCs w:val="16"/>
                <w:lang w:eastAsia="zh-CN"/>
              </w:rPr>
            </w:pPr>
            <w:r>
              <w:rPr>
                <w:rFonts w:eastAsia="宋体"/>
                <w:sz w:val="16"/>
                <w:szCs w:val="16"/>
                <w:lang w:eastAsia="zh-CN"/>
              </w:rPr>
              <w:t xml:space="preserve">The proposed resolution alone cannot </w:t>
            </w:r>
            <w:r w:rsidRPr="00412D88">
              <w:rPr>
                <w:rFonts w:eastAsia="宋体"/>
                <w:sz w:val="16"/>
                <w:szCs w:val="16"/>
                <w:lang w:eastAsia="zh-CN"/>
              </w:rPr>
              <w:t>solve the issue</w:t>
            </w:r>
            <w:r>
              <w:rPr>
                <w:rFonts w:eastAsia="宋体"/>
                <w:sz w:val="16"/>
                <w:szCs w:val="16"/>
                <w:lang w:eastAsia="zh-CN"/>
              </w:rPr>
              <w:t xml:space="preserve">. Suggest to </w:t>
            </w:r>
            <w:r w:rsidR="00213CE2">
              <w:rPr>
                <w:rFonts w:eastAsia="宋体"/>
                <w:sz w:val="16"/>
                <w:szCs w:val="16"/>
                <w:lang w:eastAsia="zh-CN"/>
              </w:rPr>
              <w:t xml:space="preserve">address </w:t>
            </w:r>
            <w:r>
              <w:rPr>
                <w:rFonts w:eastAsia="宋体"/>
                <w:sz w:val="16"/>
                <w:szCs w:val="16"/>
                <w:lang w:eastAsia="zh-CN"/>
              </w:rPr>
              <w:t xml:space="preserve">this </w:t>
            </w:r>
            <w:r w:rsidR="00213CE2">
              <w:rPr>
                <w:rFonts w:eastAsia="宋体"/>
                <w:sz w:val="16"/>
                <w:szCs w:val="16"/>
                <w:lang w:eastAsia="zh-CN"/>
              </w:rPr>
              <w:t>issue</w:t>
            </w:r>
            <w:r w:rsidR="00213CE2">
              <w:rPr>
                <w:rFonts w:eastAsia="宋体"/>
                <w:sz w:val="16"/>
                <w:szCs w:val="16"/>
                <w:lang w:eastAsia="zh-CN"/>
              </w:rPr>
              <w:t xml:space="preserve"> </w:t>
            </w:r>
            <w:r>
              <w:rPr>
                <w:rFonts w:eastAsia="宋体"/>
                <w:sz w:val="16"/>
                <w:szCs w:val="16"/>
                <w:lang w:eastAsia="zh-CN"/>
              </w:rPr>
              <w:t xml:space="preserve">in 11bn. </w:t>
            </w:r>
          </w:p>
        </w:tc>
      </w:tr>
    </w:tbl>
    <w:p w14:paraId="2E308FDD" w14:textId="77777777" w:rsidR="00A23736" w:rsidRDefault="00A23736">
      <w:pPr>
        <w:widowControl/>
        <w:autoSpaceDE/>
        <w:autoSpaceDN/>
        <w:rPr>
          <w:bCs/>
          <w:i/>
          <w:iCs/>
          <w:sz w:val="20"/>
          <w:highlight w:val="yellow"/>
          <w:lang w:val="en-GB"/>
        </w:rPr>
      </w:pPr>
    </w:p>
    <w:p w14:paraId="1911E149" w14:textId="28727A6F" w:rsidR="00A23736" w:rsidRDefault="00A23736">
      <w:pPr>
        <w:widowControl/>
        <w:autoSpaceDE/>
        <w:autoSpaceDN/>
        <w:rPr>
          <w:bCs/>
          <w:i/>
          <w:iCs/>
          <w:sz w:val="20"/>
          <w:highlight w:val="yellow"/>
          <w:lang w:val="en-GB"/>
        </w:rPr>
      </w:pPr>
    </w:p>
    <w:p w14:paraId="4ACFC180" w14:textId="1F3F28CA" w:rsidR="00123395" w:rsidRDefault="00123395">
      <w:pPr>
        <w:widowControl/>
        <w:autoSpaceDE/>
        <w:autoSpaceDN/>
        <w:rPr>
          <w:bCs/>
          <w:i/>
          <w:iCs/>
          <w:sz w:val="20"/>
          <w:highlight w:val="yellow"/>
          <w:lang w:val="en-GB"/>
        </w:rPr>
      </w:pPr>
    </w:p>
    <w:p w14:paraId="550C8654" w14:textId="77777777" w:rsidR="00123395" w:rsidRDefault="00123395">
      <w:pPr>
        <w:widowControl/>
        <w:autoSpaceDE/>
        <w:autoSpaceDN/>
        <w:rPr>
          <w:bCs/>
          <w:i/>
          <w:iCs/>
          <w:sz w:val="20"/>
          <w:highlight w:val="yellow"/>
          <w:lang w:val="en-GB"/>
        </w:rPr>
      </w:pPr>
    </w:p>
    <w:p w14:paraId="4DED5425" w14:textId="7EB42430" w:rsidR="002E5A61" w:rsidRPr="00123395" w:rsidRDefault="002E5A61" w:rsidP="002E5A61">
      <w:pPr>
        <w:jc w:val="both"/>
      </w:pPr>
      <w:r w:rsidRPr="002E5A61">
        <w:rPr>
          <w:rFonts w:ascii="Arial" w:hAnsi="Arial" w:cs="Arial"/>
          <w:b/>
          <w:bCs/>
          <w:color w:val="000000"/>
          <w:sz w:val="20"/>
          <w:szCs w:val="20"/>
        </w:rPr>
        <w:t>35.3.21.2 TDLS direct link over a single link</w:t>
      </w:r>
      <w:r w:rsidRPr="002E5A61">
        <w:t xml:space="preserve"> </w:t>
      </w:r>
    </w:p>
    <w:p w14:paraId="2A280C4F" w14:textId="52BFC058" w:rsidR="00F37573" w:rsidRDefault="00123395" w:rsidP="00123395">
      <w:pPr>
        <w:pStyle w:val="H2"/>
        <w:rPr>
          <w:sz w:val="20"/>
          <w:lang w:eastAsia="zh-CN"/>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make the following change on the fourth paragraph </w:t>
      </w:r>
      <w:r w:rsidRPr="00845765">
        <w:rPr>
          <w:rFonts w:ascii="Times New Roman" w:hAnsi="Times New Roman" w:cs="Times New Roman"/>
          <w:bCs w:val="0"/>
          <w:i/>
          <w:iCs/>
          <w:color w:val="auto"/>
          <w:w w:val="100"/>
          <w:sz w:val="20"/>
          <w:highlight w:val="yellow"/>
          <w:lang w:val="en-GB"/>
        </w:rPr>
        <w:t xml:space="preserve">of </w:t>
      </w:r>
      <w:r w:rsidR="00845765" w:rsidRPr="00845765">
        <w:rPr>
          <w:rFonts w:ascii="Times New Roman" w:hAnsi="Times New Roman" w:cs="Times New Roman"/>
          <w:bCs w:val="0"/>
          <w:i/>
          <w:iCs/>
          <w:color w:val="auto"/>
          <w:w w:val="100"/>
          <w:sz w:val="20"/>
          <w:highlight w:val="yellow"/>
          <w:lang w:val="en-GB"/>
        </w:rPr>
        <w:t>11be D5.0</w:t>
      </w:r>
      <w:r w:rsidR="00845765">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P587</w:t>
      </w:r>
      <w:bookmarkStart w:id="8" w:name="6.3.8.2.1_Function"/>
      <w:bookmarkStart w:id="9" w:name="6.3.8.2.2_Semantics_of_the_service_primi"/>
      <w:bookmarkEnd w:id="8"/>
      <w:bookmarkEnd w:id="9"/>
      <w:r w:rsidR="00F37573">
        <w:rPr>
          <w:rFonts w:ascii="宋体" w:eastAsia="宋体" w:hAnsi="宋体" w:cs="Times New Roman" w:hint="eastAsia"/>
          <w:bCs w:val="0"/>
          <w:i/>
          <w:iCs/>
          <w:color w:val="auto"/>
          <w:w w:val="100"/>
          <w:sz w:val="20"/>
          <w:highlight w:val="yellow"/>
          <w:lang w:val="en-GB" w:eastAsia="zh-CN"/>
        </w:rPr>
        <w:t>（#</w:t>
      </w:r>
      <w:r w:rsidR="00F37573">
        <w:rPr>
          <w:rFonts w:ascii="宋体" w:eastAsia="宋体" w:hAnsi="宋体" w:cs="Times New Roman"/>
          <w:bCs w:val="0"/>
          <w:i/>
          <w:iCs/>
          <w:color w:val="auto"/>
          <w:w w:val="100"/>
          <w:sz w:val="20"/>
          <w:highlight w:val="yellow"/>
          <w:lang w:val="en-GB" w:eastAsia="zh-CN"/>
        </w:rPr>
        <w:t>22109</w:t>
      </w:r>
      <w:r w:rsidR="00F37573">
        <w:rPr>
          <w:rFonts w:ascii="宋体" w:eastAsia="宋体" w:hAnsi="宋体" w:cs="Times New Roman" w:hint="eastAsia"/>
          <w:bCs w:val="0"/>
          <w:i/>
          <w:iCs/>
          <w:color w:val="auto"/>
          <w:w w:val="100"/>
          <w:sz w:val="20"/>
          <w:highlight w:val="yellow"/>
          <w:lang w:val="en-GB" w:eastAsia="zh-CN"/>
        </w:rPr>
        <w:t>）</w:t>
      </w:r>
    </w:p>
    <w:p w14:paraId="064D4CEE" w14:textId="0713BCA7" w:rsidR="00F37573" w:rsidRDefault="00F37573" w:rsidP="00F37573">
      <w:pPr>
        <w:jc w:val="both"/>
        <w:rPr>
          <w:sz w:val="20"/>
        </w:rPr>
      </w:pPr>
      <w:r w:rsidRPr="00F37573">
        <w:rPr>
          <w:sz w:val="20"/>
        </w:rPr>
        <w:t xml:space="preserve">A non-AP MLD that initiates a TDLS discovery might not know the AP (i.e., the BSSID) with whom the intended peer STA is associated with (see NOTE 1 below). Therefore, when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w:t>
      </w:r>
      <w:ins w:id="10" w:author="作者">
        <w:r>
          <w:rPr>
            <w:sz w:val="20"/>
          </w:rPr>
          <w:t xml:space="preserve">that is </w:t>
        </w:r>
      </w:ins>
      <w:r w:rsidRPr="00F37573">
        <w:rPr>
          <w:sz w:val="20"/>
        </w:rPr>
        <w:t xml:space="preserve">affiliated with </w:t>
      </w:r>
      <w:del w:id="11" w:author="作者">
        <w:r w:rsidRPr="00F37573" w:rsidDel="00F37573">
          <w:rPr>
            <w:sz w:val="20"/>
          </w:rPr>
          <w:delText xml:space="preserve">the </w:delText>
        </w:r>
      </w:del>
      <w:ins w:id="12" w:author="作者">
        <w:r>
          <w:rPr>
            <w:sz w:val="20"/>
          </w:rPr>
          <w:t>its associated</w:t>
        </w:r>
        <w:r w:rsidRPr="00F37573">
          <w:rPr>
            <w:sz w:val="20"/>
          </w:rPr>
          <w:t xml:space="preserve"> </w:t>
        </w:r>
      </w:ins>
      <w:r w:rsidRPr="00F37573">
        <w:rPr>
          <w:sz w:val="20"/>
        </w:rPr>
        <w:t>AP MLD</w:t>
      </w:r>
      <w:ins w:id="13" w:author="作者">
        <w:r>
          <w:rPr>
            <w:sz w:val="20"/>
          </w:rPr>
          <w:t xml:space="preserve"> and is part of the ML setup with the AP MLD</w:t>
        </w:r>
      </w:ins>
      <w:r w:rsidRPr="00F37573">
        <w:rPr>
          <w:sz w:val="20"/>
        </w:rPr>
        <w:t xml:space="preserve">. Since the TDLS Discovery Response frame is received over the direct link, the initiating non-AP MLD shall be able to determine the </w:t>
      </w:r>
      <w:del w:id="14" w:author="作者">
        <w:r w:rsidRPr="00F37573" w:rsidDel="00F37573">
          <w:rPr>
            <w:sz w:val="20"/>
          </w:rPr>
          <w:delText>link</w:delText>
        </w:r>
      </w:del>
      <w:ins w:id="15" w:author="作者">
        <w:r>
          <w:rPr>
            <w:sz w:val="20"/>
          </w:rPr>
          <w:t>BSSID</w:t>
        </w:r>
      </w:ins>
      <w:r w:rsidRPr="00F37573">
        <w:rPr>
          <w:sz w:val="20"/>
        </w:rPr>
        <w:t xml:space="preserve">(s) </w:t>
      </w:r>
      <w:del w:id="16" w:author="作者">
        <w:r w:rsidRPr="00F37573" w:rsidDel="00F37573">
          <w:rPr>
            <w:sz w:val="20"/>
          </w:rPr>
          <w:delText>on which</w:delText>
        </w:r>
      </w:del>
      <w:ins w:id="17" w:author="作者">
        <w:r>
          <w:rPr>
            <w:sz w:val="20"/>
          </w:rPr>
          <w:t>where</w:t>
        </w:r>
      </w:ins>
      <w:r w:rsidRPr="00F37573">
        <w:rPr>
          <w:sz w:val="20"/>
        </w:rPr>
        <w:t xml:space="preserve"> the peer non-AP STA or non-AP MLD is </w:t>
      </w:r>
      <w:del w:id="18" w:author="作者">
        <w:r w:rsidRPr="00F37573" w:rsidDel="00F37573">
          <w:rPr>
            <w:sz w:val="20"/>
          </w:rPr>
          <w:delText>operating on</w:delText>
        </w:r>
      </w:del>
      <w:ins w:id="19" w:author="作者">
        <w:r>
          <w:rPr>
            <w:sz w:val="20"/>
          </w:rPr>
          <w:t>reachable</w:t>
        </w:r>
      </w:ins>
      <w:r w:rsidRPr="00F37573">
        <w:rPr>
          <w:sz w:val="20"/>
        </w:rPr>
        <w:t>.</w:t>
      </w:r>
    </w:p>
    <w:p w14:paraId="1784DE53" w14:textId="77777777" w:rsidR="00F37573" w:rsidRPr="00F37573" w:rsidRDefault="00F37573" w:rsidP="00F37573">
      <w:pPr>
        <w:jc w:val="both"/>
        <w:rPr>
          <w:sz w:val="20"/>
        </w:rPr>
      </w:pPr>
    </w:p>
    <w:p w14:paraId="277F58A4" w14:textId="65E1890B" w:rsidR="00410BED" w:rsidRDefault="00F37573" w:rsidP="002E5A61">
      <w:pPr>
        <w:jc w:val="both"/>
        <w:rPr>
          <w:sz w:val="20"/>
        </w:rPr>
      </w:pPr>
      <w:r w:rsidRPr="00F37573">
        <w:rPr>
          <w:sz w:val="20"/>
        </w:rPr>
        <w:t>NOTE 1—Due to the nature of MLO, when a Data frame that is transmitted by a non-AP STA affiliated with a non-AP MLD and that is directed towards a peer TDLS STA (i.e., the DA field is set to the target’s MAC address) traverses an AP MLD, it can be relayed</w:t>
      </w:r>
      <w:ins w:id="20" w:author="作者">
        <w:r w:rsidR="00213CE2">
          <w:rPr>
            <w:sz w:val="20"/>
          </w:rPr>
          <w:t xml:space="preserve"> by the AP MLD</w:t>
        </w:r>
      </w:ins>
      <w:r w:rsidRPr="00F37573">
        <w:rPr>
          <w:sz w:val="20"/>
        </w:rPr>
        <w:t xml:space="preserve"> (i.e., transmitted by an AP affiliated with the AP MLD) on </w:t>
      </w:r>
      <w:del w:id="21" w:author="作者">
        <w:r w:rsidRPr="00F37573" w:rsidDel="00213CE2">
          <w:rPr>
            <w:sz w:val="20"/>
          </w:rPr>
          <w:delText xml:space="preserve">any </w:delText>
        </w:r>
      </w:del>
      <w:ins w:id="22" w:author="作者">
        <w:r w:rsidR="00213CE2">
          <w:rPr>
            <w:sz w:val="20"/>
          </w:rPr>
          <w:t>a</w:t>
        </w:r>
        <w:r w:rsidR="00213CE2" w:rsidRPr="00F37573">
          <w:rPr>
            <w:sz w:val="20"/>
          </w:rPr>
          <w:t xml:space="preserve"> </w:t>
        </w:r>
      </w:ins>
      <w:r w:rsidRPr="00F37573">
        <w:rPr>
          <w:sz w:val="20"/>
        </w:rPr>
        <w:t xml:space="preserve">link where the target is reachable. Furthermore, when a frame that was transmitted by a non-AP STA affiliated with a non-AP MLD traverses an AP MLD, the AP MLD sets the SA field to the transmitting non-AP MLD’s MLD MAC address. Therefore, when a non-AP STA affiliated with a non-AP MLD receives a frame from its </w:t>
      </w:r>
      <w:del w:id="23" w:author="作者">
        <w:r w:rsidRPr="00F37573" w:rsidDel="00213CE2">
          <w:rPr>
            <w:sz w:val="20"/>
          </w:rPr>
          <w:delText xml:space="preserve">corresponding </w:delText>
        </w:r>
      </w:del>
      <w:r w:rsidRPr="00F37573">
        <w:rPr>
          <w:sz w:val="20"/>
        </w:rPr>
        <w:t xml:space="preserve">associated AP that is affiliated with </w:t>
      </w:r>
      <w:del w:id="24" w:author="作者">
        <w:r w:rsidRPr="00F37573" w:rsidDel="00213CE2">
          <w:rPr>
            <w:sz w:val="20"/>
          </w:rPr>
          <w:delText xml:space="preserve">an </w:delText>
        </w:r>
      </w:del>
      <w:ins w:id="25" w:author="作者">
        <w:r w:rsidR="00213CE2">
          <w:rPr>
            <w:sz w:val="20"/>
          </w:rPr>
          <w:t>the</w:t>
        </w:r>
        <w:r w:rsidR="00213CE2" w:rsidRPr="00F37573">
          <w:rPr>
            <w:sz w:val="20"/>
          </w:rPr>
          <w:t xml:space="preserve"> </w:t>
        </w:r>
      </w:ins>
      <w:r w:rsidRPr="00F37573">
        <w:rPr>
          <w:sz w:val="20"/>
        </w:rPr>
        <w:t>AP MLD</w:t>
      </w:r>
      <w:ins w:id="26" w:author="作者">
        <w:r w:rsidR="00213CE2">
          <w:rPr>
            <w:sz w:val="20"/>
          </w:rPr>
          <w:t xml:space="preserve"> with whom the non-AP MLD has performed ML setup</w:t>
        </w:r>
      </w:ins>
      <w:r w:rsidRPr="00F37573">
        <w:rPr>
          <w:sz w:val="20"/>
        </w:rPr>
        <w:t xml:space="preserve">, </w:t>
      </w:r>
      <w:del w:id="27" w:author="作者">
        <w:r w:rsidRPr="00F37573" w:rsidDel="00213CE2">
          <w:rPr>
            <w:sz w:val="20"/>
          </w:rPr>
          <w:delText xml:space="preserve">it </w:delText>
        </w:r>
      </w:del>
      <w:ins w:id="28" w:author="作者">
        <w:r w:rsidR="00213CE2">
          <w:rPr>
            <w:sz w:val="20"/>
          </w:rPr>
          <w:t>the non-AP MLD</w:t>
        </w:r>
        <w:r w:rsidR="00213CE2" w:rsidRPr="00F37573">
          <w:rPr>
            <w:sz w:val="20"/>
          </w:rPr>
          <w:t xml:space="preserve"> </w:t>
        </w:r>
      </w:ins>
      <w:r w:rsidRPr="00F37573">
        <w:rPr>
          <w:sz w:val="20"/>
        </w:rPr>
        <w:t>cannot determine the BSSID where the frame originated from or determine if the initiating non-AP STA is affiliated with a non-AP MLD or is a non-MLD non-AP STA.</w:t>
      </w:r>
      <w:bookmarkStart w:id="29" w:name="_GoBack"/>
      <w:bookmarkEnd w:id="29"/>
    </w:p>
    <w:sectPr w:rsidR="00410BE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52DD" w14:textId="77777777" w:rsidR="00984747" w:rsidRDefault="00984747">
      <w:r>
        <w:separator/>
      </w:r>
    </w:p>
  </w:endnote>
  <w:endnote w:type="continuationSeparator" w:id="0">
    <w:p w14:paraId="741B3129" w14:textId="77777777" w:rsidR="00984747" w:rsidRDefault="0098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1E121A4" w:rsidR="00BD33BC" w:rsidRDefault="00984747">
    <w:pPr>
      <w:pStyle w:val="a3"/>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6E6502">
      <w:rPr>
        <w:noProof/>
      </w:rPr>
      <w:t>2</w:t>
    </w:r>
    <w:r w:rsidR="00BD33BC">
      <w:rPr>
        <w:noProof/>
      </w:rPr>
      <w:fldChar w:fldCharType="end"/>
    </w:r>
    <w:r w:rsidR="00BD33BC">
      <w:tab/>
    </w:r>
    <w:proofErr w:type="spellStart"/>
    <w:r w:rsidR="00802565">
      <w:t>Guogang</w:t>
    </w:r>
    <w:proofErr w:type="spellEnd"/>
    <w:r w:rsidR="00802565">
      <w:t xml:space="preserve"> Huang</w:t>
    </w:r>
    <w:r w:rsidR="00BD33BC">
      <w:t>,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EFB3" w14:textId="77777777" w:rsidR="00984747" w:rsidRDefault="00984747">
      <w:r>
        <w:separator/>
      </w:r>
    </w:p>
  </w:footnote>
  <w:footnote w:type="continuationSeparator" w:id="0">
    <w:p w14:paraId="0E72F2CD" w14:textId="77777777" w:rsidR="00984747" w:rsidRDefault="0098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A2920DD" w:rsidR="00BD33BC" w:rsidRDefault="00CE2504" w:rsidP="00317931">
    <w:pPr>
      <w:pStyle w:val="a4"/>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r w:rsidR="00984747">
      <w:fldChar w:fldCharType="begin"/>
    </w:r>
    <w:r w:rsidR="00984747">
      <w:instrText xml:space="preserve"> TITLE  \* MERGEFORMAT </w:instrText>
    </w:r>
    <w:r w:rsidR="00984747">
      <w:fldChar w:fldCharType="separate"/>
    </w:r>
    <w:r w:rsidR="00BD33BC">
      <w:t>doc.: IEEE 802.11-2</w:t>
    </w:r>
    <w:r>
      <w:t>4</w:t>
    </w:r>
    <w:r w:rsidR="00BD33BC">
      <w:t>/</w:t>
    </w:r>
    <w:r>
      <w:t>0</w:t>
    </w:r>
    <w:r w:rsidR="00802565">
      <w:t>357</w:t>
    </w:r>
    <w:r w:rsidR="00BD33BC">
      <w:rPr>
        <w:lang w:eastAsia="ko-KR"/>
      </w:rPr>
      <w:t>r</w:t>
    </w:r>
    <w:r w:rsidR="00984747">
      <w:rPr>
        <w:lang w:eastAsia="ko-KR"/>
      </w:rPr>
      <w:fldChar w:fldCharType="end"/>
    </w:r>
    <w:r w:rsidR="00412D8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890"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5"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7"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8"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9"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1"/>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4"/>
  </w:num>
  <w:num w:numId="10">
    <w:abstractNumId w:val="23"/>
  </w:num>
  <w:num w:numId="11">
    <w:abstractNumId w:val="7"/>
  </w:num>
  <w:num w:numId="12">
    <w:abstractNumId w:val="8"/>
  </w:num>
  <w:num w:numId="13">
    <w:abstractNumId w:val="3"/>
  </w:num>
  <w:num w:numId="14">
    <w:abstractNumId w:val="22"/>
  </w:num>
  <w:num w:numId="15">
    <w:abstractNumId w:val="4"/>
  </w:num>
  <w:num w:numId="16">
    <w:abstractNumId w:val="16"/>
  </w:num>
  <w:num w:numId="17">
    <w:abstractNumId w:val="14"/>
  </w:num>
  <w:num w:numId="18">
    <w:abstractNumId w:val="18"/>
  </w:num>
  <w:num w:numId="19">
    <w:abstractNumId w:val="19"/>
  </w:num>
  <w:num w:numId="20">
    <w:abstractNumId w:val="15"/>
  </w:num>
  <w:num w:numId="21">
    <w:abstractNumId w:val="13"/>
  </w:num>
  <w:num w:numId="22">
    <w:abstractNumId w:val="12"/>
  </w:num>
  <w:num w:numId="23">
    <w:abstractNumId w:val="17"/>
  </w:num>
  <w:num w:numId="24">
    <w:abstractNumId w:val="20"/>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203"/>
    <w:rsid w:val="000634B0"/>
    <w:rsid w:val="000642FC"/>
    <w:rsid w:val="0006469A"/>
    <w:rsid w:val="00065432"/>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58B7"/>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395"/>
    <w:rsid w:val="00123807"/>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2B8C"/>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2F75"/>
    <w:rsid w:val="00213773"/>
    <w:rsid w:val="0021396A"/>
    <w:rsid w:val="00213CE2"/>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494F"/>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1F40"/>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974"/>
    <w:rsid w:val="00284B23"/>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5A61"/>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BD7"/>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3E2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0BED"/>
    <w:rsid w:val="004110BE"/>
    <w:rsid w:val="0041147F"/>
    <w:rsid w:val="00411A99"/>
    <w:rsid w:val="00411C03"/>
    <w:rsid w:val="00411E59"/>
    <w:rsid w:val="004123A1"/>
    <w:rsid w:val="004123D8"/>
    <w:rsid w:val="00412D8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6FD5"/>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21"/>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146"/>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EC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6502"/>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4A9"/>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4FDF"/>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565"/>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765"/>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4747"/>
    <w:rsid w:val="009862A7"/>
    <w:rsid w:val="009865C0"/>
    <w:rsid w:val="009877D2"/>
    <w:rsid w:val="00987845"/>
    <w:rsid w:val="0099024F"/>
    <w:rsid w:val="009907C0"/>
    <w:rsid w:val="00990E5A"/>
    <w:rsid w:val="0099139B"/>
    <w:rsid w:val="009919D0"/>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939"/>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5FF2"/>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3393"/>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6E2E"/>
    <w:rsid w:val="00C975ED"/>
    <w:rsid w:val="00C97798"/>
    <w:rsid w:val="00CA1130"/>
    <w:rsid w:val="00CA1A8F"/>
    <w:rsid w:val="00CA1F8F"/>
    <w:rsid w:val="00CA224C"/>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581"/>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768"/>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A7DAE"/>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B2"/>
    <w:rsid w:val="00F342FD"/>
    <w:rsid w:val="00F34E9E"/>
    <w:rsid w:val="00F351F5"/>
    <w:rsid w:val="00F365C8"/>
    <w:rsid w:val="00F36922"/>
    <w:rsid w:val="00F36B50"/>
    <w:rsid w:val="00F36DC0"/>
    <w:rsid w:val="00F37573"/>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2F4"/>
    <w:pPr>
      <w:widowControl w:val="0"/>
      <w:autoSpaceDE w:val="0"/>
      <w:autoSpaceDN w:val="0"/>
    </w:pPr>
    <w:rPr>
      <w:rFonts w:eastAsia="Times New Roman"/>
      <w:sz w:val="22"/>
      <w:szCs w:val="22"/>
      <w:lang w:eastAsia="en-US"/>
    </w:rPr>
  </w:style>
  <w:style w:type="paragraph" w:styleId="1">
    <w:name w:val="heading 1"/>
    <w:basedOn w:val="a"/>
    <w:link w:val="10"/>
    <w:uiPriority w:val="9"/>
    <w:qFormat/>
    <w:rsid w:val="00D5429E"/>
    <w:pPr>
      <w:ind w:left="769" w:hanging="609"/>
      <w:outlineLvl w:val="0"/>
    </w:pPr>
    <w:rPr>
      <w:rFonts w:ascii="Arial" w:eastAsia="Arial" w:hAnsi="Arial" w:cs="Arial"/>
      <w:b/>
      <w:bCs/>
    </w:rPr>
  </w:style>
  <w:style w:type="paragraph" w:styleId="2">
    <w:name w:val="heading 2"/>
    <w:basedOn w:val="a"/>
    <w:link w:val="20"/>
    <w:uiPriority w:val="9"/>
    <w:unhideWhenUsed/>
    <w:qFormat/>
    <w:rsid w:val="00D5429E"/>
    <w:pPr>
      <w:ind w:left="202"/>
      <w:outlineLvl w:val="1"/>
    </w:pPr>
    <w:rPr>
      <w:rFonts w:ascii="Calibri" w:eastAsia="Calibri" w:hAnsi="Calibri" w:cs="Calibri"/>
      <w:sz w:val="21"/>
      <w:szCs w:val="21"/>
    </w:rPr>
  </w:style>
  <w:style w:type="paragraph" w:styleId="3">
    <w:name w:val="heading 3"/>
    <w:basedOn w:val="a"/>
    <w:link w:val="30"/>
    <w:uiPriority w:val="9"/>
    <w:unhideWhenUsed/>
    <w:qFormat/>
    <w:rsid w:val="00D5429E"/>
    <w:pPr>
      <w:ind w:left="322"/>
      <w:outlineLvl w:val="2"/>
    </w:pPr>
    <w:rPr>
      <w:rFonts w:ascii="Calibri" w:eastAsia="Calibri" w:hAnsi="Calibri" w:cs="Calibri"/>
      <w:sz w:val="21"/>
      <w:szCs w:val="21"/>
    </w:rPr>
  </w:style>
  <w:style w:type="paragraph" w:styleId="4">
    <w:name w:val="heading 4"/>
    <w:basedOn w:val="a"/>
    <w:link w:val="40"/>
    <w:uiPriority w:val="9"/>
    <w:unhideWhenUsed/>
    <w:qFormat/>
    <w:rsid w:val="00D5429E"/>
    <w:pPr>
      <w:ind w:left="934" w:hanging="774"/>
      <w:outlineLvl w:val="3"/>
    </w:pPr>
    <w:rPr>
      <w:rFonts w:ascii="Arial" w:eastAsia="Arial" w:hAnsi="Arial" w:cs="Arial"/>
      <w:b/>
      <w:bCs/>
      <w:sz w:val="20"/>
      <w:szCs w:val="20"/>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D5429E"/>
    <w:pPr>
      <w:spacing w:before="70"/>
      <w:ind w:left="759" w:hanging="400"/>
      <w:jc w:val="both"/>
    </w:p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D5429E"/>
    <w:rPr>
      <w:sz w:val="20"/>
      <w:szCs w:val="20"/>
    </w:rPr>
  </w:style>
  <w:style w:type="character" w:customStyle="1" w:styleId="af6">
    <w:name w:val="正文文本 字符"/>
    <w:basedOn w:val="a0"/>
    <w:link w:val="af5"/>
    <w:uiPriority w:val="1"/>
    <w:rsid w:val="00E60693"/>
    <w:rPr>
      <w:rFonts w:eastAsia="Times New Roman"/>
      <w:lang w:eastAsia="en-US"/>
    </w:rPr>
  </w:style>
  <w:style w:type="paragraph" w:customStyle="1" w:styleId="TableParagraph">
    <w:name w:val="Table Paragraph"/>
    <w:basedOn w:val="a"/>
    <w:uiPriority w:val="1"/>
    <w:qFormat/>
    <w:rsid w:val="00D5429E"/>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link w:val="afa"/>
    <w:uiPriority w:val="10"/>
    <w:qFormat/>
    <w:rsid w:val="00D5429E"/>
    <w:pPr>
      <w:ind w:left="557" w:hanging="397"/>
    </w:pPr>
    <w:rPr>
      <w:rFonts w:ascii="Arial" w:eastAsia="Arial" w:hAnsi="Arial" w:cs="Arial"/>
      <w:b/>
      <w:bCs/>
      <w:sz w:val="24"/>
      <w:szCs w:val="24"/>
    </w:rPr>
  </w:style>
  <w:style w:type="character" w:customStyle="1" w:styleId="afa">
    <w:name w:val="标题 字符"/>
    <w:basedOn w:val="a0"/>
    <w:link w:val="af9"/>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9"/>
    <w:rsid w:val="00E60693"/>
    <w:rPr>
      <w:rFonts w:ascii="Arial" w:eastAsia="Arial" w:hAnsi="Arial" w:cs="Arial"/>
      <w:b/>
      <w:bCs/>
      <w:sz w:val="22"/>
      <w:szCs w:val="22"/>
      <w:lang w:eastAsia="en-US"/>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ascii="Calibri" w:eastAsia="Calibri" w:hAnsi="Calibri" w:cs="Calibri"/>
      <w:sz w:val="21"/>
      <w:szCs w:val="21"/>
      <w:lang w:eastAsia="en-US"/>
    </w:rPr>
  </w:style>
  <w:style w:type="character" w:customStyle="1" w:styleId="30">
    <w:name w:val="标题 3 字符"/>
    <w:basedOn w:val="a0"/>
    <w:link w:val="3"/>
    <w:uiPriority w:val="9"/>
    <w:rsid w:val="00E60693"/>
    <w:rPr>
      <w:rFonts w:ascii="Calibri" w:eastAsia="Calibri" w:hAnsi="Calibri" w:cs="Calibri"/>
      <w:sz w:val="21"/>
      <w:szCs w:val="21"/>
      <w:lang w:eastAsia="en-US"/>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customStyle="1" w:styleId="11">
    <w:name w:val="未处理的提及1"/>
    <w:basedOn w:val="a0"/>
    <w:uiPriority w:val="99"/>
    <w:semiHidden/>
    <w:unhideWhenUsed/>
    <w:rsid w:val="0080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33E9BE3F-2790-404F-A96D-DE30A205DF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2024-04-22T09:35:00Z</dcterms:created>
  <dcterms:modified xsi:type="dcterms:W3CDTF">2024-05-07T12:08:00Z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(3)erUV0J4Jd4f92OHsc+oWV40tH5KXeLHo/tOlnUH8sWEuc8yxlS0hHJEvmXNYxS6zr7Y2cy/w
J5DyJrwKC1kqIoBkNYQTa4m5CmWvuR8F7piUXwHO8S+2mXwtBB5lAPV+DtYYYZSArx7rr3KA
aMRmbGQu2n9HpSFYxLgwa2GD+mJ00HKuM+/ZB8tW2JNZwSSo6QcMvqybmEoRnz7KDQSlnJAu
MtkpD8I+aSIWcbg0ce</vt:lpwstr>
  </property>
  <property fmtid="{D5CDD505-2E9C-101B-9397-08002B2CF9AE}" pid="9" name="_2015_ms_pID_7253431">
    <vt:lpwstr>UP7xWRZnQ+N8ECUciQtHLrHjHcyKyFIQutNvaYZot7mbnLILJwUYJC
+CActATGft7+imwSWF5TzkxckGv9uvHsmu55cfgpg4y1281VEdLsZ0NA2lsSrBnVw56Qn5at
bYTH/XmhcjWTukIYcPJ3pSTdIeHayjxwoSa7fYwA0ANN+plgUbzbc790zao/mT+aPGLbF6Js
yfH9JxQCIjBt9RcfxUVerRnL7ZOm6NgF1cRp</vt:lpwstr>
  </property>
  <property fmtid="{D5CDD505-2E9C-101B-9397-08002B2CF9AE}" pid="10" name="_2015_ms_pID_7253432">
    <vt:lpwstr>tw==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1714977146</vt:lpwstr>
  </property>
</Properties>
</file>