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23752151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6343C5">
              <w:rPr>
                <w:lang w:val="en-US" w:eastAsia="ko-KR"/>
              </w:rPr>
              <w:t xml:space="preserve"> </w:t>
            </w:r>
            <w:r w:rsidR="00C734BB">
              <w:rPr>
                <w:lang w:val="en-US" w:eastAsia="ko-KR"/>
              </w:rPr>
              <w:t>no clause number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F3A3C3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734BB">
              <w:rPr>
                <w:b w:val="0"/>
                <w:sz w:val="20"/>
                <w:lang w:eastAsia="ko-KR"/>
              </w:rPr>
              <w:t>1</w:t>
            </w:r>
            <w:r w:rsidR="00104F85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42BCEAF5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7502A8D2" w14:textId="040A3B9A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0213799A" w14:textId="179D346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108991E" w:rsidR="00C734BB" w:rsidRPr="002A7D64" w:rsidRDefault="00000000" w:rsidP="00C734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734BB" w:rsidRPr="00AA2A0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56FA19A" w:rsidR="009D488E" w:rsidRDefault="009D488E" w:rsidP="00C476B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C734BB">
        <w:rPr>
          <w:lang w:eastAsia="ko-KR"/>
        </w:rPr>
        <w:t>1282, 1331</w:t>
      </w:r>
      <w:r w:rsidR="00E41B83">
        <w:rPr>
          <w:lang w:eastAsia="ko-KR"/>
        </w:rPr>
        <w:t xml:space="preserve">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531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630"/>
        <w:gridCol w:w="2880"/>
        <w:gridCol w:w="2250"/>
        <w:gridCol w:w="3330"/>
      </w:tblGrid>
      <w:tr w:rsidR="00344704" w:rsidRPr="00677427" w14:paraId="5AF7BC48" w14:textId="77777777" w:rsidTr="00843EDD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63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8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30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734BB" w:rsidRPr="00055EB2" w14:paraId="30EEA07B" w14:textId="77777777" w:rsidTr="00843EDD">
        <w:trPr>
          <w:trHeight w:val="1002"/>
        </w:trPr>
        <w:tc>
          <w:tcPr>
            <w:tcW w:w="721" w:type="dxa"/>
          </w:tcPr>
          <w:p w14:paraId="6CFF05F2" w14:textId="129F9827" w:rsidR="00C734BB" w:rsidRPr="000070F9" w:rsidRDefault="00C734BB" w:rsidP="00C734BB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1282</w:t>
            </w:r>
          </w:p>
        </w:tc>
        <w:tc>
          <w:tcPr>
            <w:tcW w:w="720" w:type="dxa"/>
          </w:tcPr>
          <w:p w14:paraId="0E94156B" w14:textId="034FC220" w:rsidR="00C734BB" w:rsidRDefault="00C734BB" w:rsidP="00C734B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630" w:type="dxa"/>
          </w:tcPr>
          <w:p w14:paraId="62067120" w14:textId="4D072A1B" w:rsidR="00C734BB" w:rsidRDefault="00C734BB" w:rsidP="00C73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880" w:type="dxa"/>
          </w:tcPr>
          <w:p w14:paraId="2C2ECEDD" w14:textId="4FAE0B64" w:rsidR="00C734BB" w:rsidRPr="000070F9" w:rsidRDefault="00C734BB" w:rsidP="00C734BB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F6829">
              <w:t xml:space="preserve">I'm not sure "HE/EHT Ranging NDP" is clear as "HE </w:t>
            </w:r>
            <w:proofErr w:type="gramStart"/>
            <w:r w:rsidRPr="00DF6829">
              <w:t>Ranging</w:t>
            </w:r>
            <w:proofErr w:type="gramEnd"/>
            <w:r w:rsidRPr="00DF6829">
              <w:t xml:space="preserve"> NDP or EHT Ranging NDP, whatever".  But then why do we sometimes have "HE </w:t>
            </w:r>
            <w:proofErr w:type="gramStart"/>
            <w:r w:rsidRPr="00DF6829">
              <w:t>Ranging</w:t>
            </w:r>
            <w:proofErr w:type="gramEnd"/>
            <w:r w:rsidRPr="00DF6829">
              <w:t xml:space="preserve"> NDP or EHT Ranging NDP"?</w:t>
            </w:r>
          </w:p>
        </w:tc>
        <w:tc>
          <w:tcPr>
            <w:tcW w:w="2250" w:type="dxa"/>
          </w:tcPr>
          <w:p w14:paraId="1AC2BFE4" w14:textId="62F7E041" w:rsidR="00C734BB" w:rsidRPr="000070F9" w:rsidRDefault="00C734BB" w:rsidP="00C734BB">
            <w:pPr>
              <w:rPr>
                <w:rFonts w:ascii="Arial" w:hAnsi="Arial" w:cs="Arial"/>
                <w:color w:val="000000"/>
                <w:szCs w:val="18"/>
              </w:rPr>
            </w:pPr>
            <w:r w:rsidRPr="00DF6829">
              <w:t>As it says in the comment</w:t>
            </w:r>
          </w:p>
        </w:tc>
        <w:tc>
          <w:tcPr>
            <w:tcW w:w="3330" w:type="dxa"/>
          </w:tcPr>
          <w:p w14:paraId="116F42BF" w14:textId="21BE07B1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rPr>
                <w:b/>
                <w:bCs/>
              </w:rPr>
              <w:t>Revised</w:t>
            </w:r>
            <w:r w:rsidRPr="00C734BB">
              <w:t>.</w:t>
            </w:r>
          </w:p>
          <w:p w14:paraId="5041354E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</w:p>
          <w:p w14:paraId="42ED9EB7" w14:textId="546B7D0D" w:rsidR="00C734BB" w:rsidRPr="00C734BB" w:rsidRDefault="00C734BB" w:rsidP="00C734BB">
            <w:proofErr w:type="spellStart"/>
            <w:r w:rsidRPr="00C734BB">
              <w:t>TGbk</w:t>
            </w:r>
            <w:proofErr w:type="spellEnd"/>
            <w:r w:rsidRPr="00C734BB">
              <w:t xml:space="preserve"> editor replace all instances of HE/EHT Ranging NDP with HE </w:t>
            </w:r>
            <w:proofErr w:type="gramStart"/>
            <w:r w:rsidRPr="00C734BB">
              <w:t>Ranging</w:t>
            </w:r>
            <w:proofErr w:type="gramEnd"/>
            <w:r w:rsidRPr="00C734BB">
              <w:t xml:space="preserve"> NDP or EHT Ranging NDP. (27 instances)."</w:t>
            </w:r>
          </w:p>
        </w:tc>
      </w:tr>
      <w:tr w:rsidR="00C734BB" w:rsidRPr="00300194" w14:paraId="78896AF6" w14:textId="77777777" w:rsidTr="00843EDD">
        <w:trPr>
          <w:trHeight w:val="1002"/>
        </w:trPr>
        <w:tc>
          <w:tcPr>
            <w:tcW w:w="721" w:type="dxa"/>
          </w:tcPr>
          <w:p w14:paraId="4D8F6BE5" w14:textId="452C06DD" w:rsidR="00C734BB" w:rsidRPr="009D488E" w:rsidRDefault="00C734BB" w:rsidP="00C734BB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D2F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331</w:t>
            </w:r>
          </w:p>
        </w:tc>
        <w:tc>
          <w:tcPr>
            <w:tcW w:w="720" w:type="dxa"/>
          </w:tcPr>
          <w:p w14:paraId="122B0889" w14:textId="0069CF0B" w:rsidR="00C734BB" w:rsidRDefault="00C734BB" w:rsidP="00C734B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630" w:type="dxa"/>
          </w:tcPr>
          <w:p w14:paraId="17F3292B" w14:textId="041BD433" w:rsidR="00C734BB" w:rsidRPr="009D488E" w:rsidRDefault="00C734BB" w:rsidP="00C73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880" w:type="dxa"/>
          </w:tcPr>
          <w:p w14:paraId="667F0F57" w14:textId="724EAD1C" w:rsidR="00C734BB" w:rsidRPr="00EF0313" w:rsidRDefault="00C734BB" w:rsidP="00C734BB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006477">
              <w:t>"will" should not be used except in very specific situations</w:t>
            </w:r>
          </w:p>
        </w:tc>
        <w:tc>
          <w:tcPr>
            <w:tcW w:w="2250" w:type="dxa"/>
          </w:tcPr>
          <w:p w14:paraId="337C69B4" w14:textId="4F53F053" w:rsidR="00C734BB" w:rsidRPr="00EF0313" w:rsidRDefault="00C734BB" w:rsidP="00C734BB">
            <w:pPr>
              <w:rPr>
                <w:rFonts w:ascii="Arial" w:hAnsi="Arial" w:cs="Arial"/>
                <w:color w:val="000000"/>
                <w:szCs w:val="18"/>
              </w:rPr>
            </w:pPr>
            <w:r w:rsidRPr="00006477">
              <w:t xml:space="preserve">Change to "are to" at 33.22; "needs to" at 39.12, "uses" at 48.38, page 83 (3x), page 84, "shall" at 87.25, "is" at 90.15.  Delete "The TXVECTOR parameters LTF_KEY, NUM_STS and LTF_REP will be in array form 29 with NUM_USERS entries. " </w:t>
            </w:r>
            <w:proofErr w:type="gramStart"/>
            <w:r w:rsidRPr="00006477">
              <w:t>at</w:t>
            </w:r>
            <w:proofErr w:type="gramEnd"/>
            <w:r w:rsidRPr="00006477">
              <w:t xml:space="preserve"> 87.28 (duplicates table)</w:t>
            </w:r>
          </w:p>
        </w:tc>
        <w:tc>
          <w:tcPr>
            <w:tcW w:w="3330" w:type="dxa"/>
          </w:tcPr>
          <w:p w14:paraId="5E12D5FE" w14:textId="53C93D70" w:rsidR="00C734BB" w:rsidRPr="00C734BB" w:rsidRDefault="00C734BB" w:rsidP="00C734B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34BB">
              <w:rPr>
                <w:b/>
                <w:bCs/>
              </w:rPr>
              <w:t>Revised.</w:t>
            </w:r>
          </w:p>
          <w:p w14:paraId="3845B3DD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</w:p>
          <w:p w14:paraId="13A860C5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proofErr w:type="spellStart"/>
            <w:r w:rsidRPr="00C734BB">
              <w:t>TGbk</w:t>
            </w:r>
            <w:proofErr w:type="spellEnd"/>
            <w:r w:rsidRPr="00C734BB">
              <w:t xml:space="preserve"> editor make the following changes:</w:t>
            </w:r>
          </w:p>
          <w:p w14:paraId="3D9523D5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>P.33L.22 delete 'will'.</w:t>
            </w:r>
          </w:p>
          <w:p w14:paraId="1D8C7A0C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>P.39L.12 change: 'will need"" to 'needs'.</w:t>
            </w:r>
          </w:p>
          <w:p w14:paraId="3132E5C4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>P.48L.38 change 'will' to 'shall'</w:t>
            </w:r>
          </w:p>
          <w:p w14:paraId="08A56E04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>P.83 change (</w:t>
            </w:r>
            <w:proofErr w:type="gramStart"/>
            <w:r w:rsidRPr="00C734BB">
              <w:t>twice)  '</w:t>
            </w:r>
            <w:proofErr w:type="gramEnd"/>
            <w:r w:rsidRPr="00C734BB">
              <w:t>will use' to  'uses' from the sentence ""Set to 1 when the EHT Ranging NDP or EHT TB Ranging</w:t>
            </w:r>
          </w:p>
          <w:p w14:paraId="4D7A52D0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 xml:space="preserve">NDP will use secure EHT-LTF."" </w:t>
            </w:r>
          </w:p>
          <w:p w14:paraId="68C7DAB7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>P.84 row 'TX_WINDOW_FLAG' delete 'will' and change 'use' to 'uses'.</w:t>
            </w:r>
          </w:p>
          <w:p w14:paraId="561E8090" w14:textId="77777777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 xml:space="preserve">P.87L.25 change ""will be"" to ""shall be"". </w:t>
            </w:r>
          </w:p>
          <w:p w14:paraId="391BBF5F" w14:textId="6B36E53C" w:rsidR="00C734BB" w:rsidRPr="00C734BB" w:rsidRDefault="00C734BB" w:rsidP="00C734BB">
            <w:pPr>
              <w:autoSpaceDE w:val="0"/>
              <w:autoSpaceDN w:val="0"/>
              <w:adjustRightInd w:val="0"/>
            </w:pPr>
            <w:r w:rsidRPr="00C734BB">
              <w:t>P.90L.15 change ""will be"" to ""shall be""."</w:t>
            </w:r>
          </w:p>
        </w:tc>
      </w:tr>
    </w:tbl>
    <w:p w14:paraId="4DF949EF" w14:textId="77777777" w:rsidR="00E26CBE" w:rsidRDefault="00E26CBE" w:rsidP="00BC2A52">
      <w:pPr>
        <w:pStyle w:val="BodyText"/>
        <w:rPr>
          <w:sz w:val="20"/>
        </w:rPr>
      </w:pPr>
    </w:p>
    <w:bookmarkEnd w:id="0"/>
    <w:p w14:paraId="6F963A4D" w14:textId="77777777" w:rsidR="00E26CBE" w:rsidRDefault="00E26CBE" w:rsidP="00BC2A52">
      <w:pPr>
        <w:pStyle w:val="BodyText"/>
        <w:rPr>
          <w:sz w:val="20"/>
        </w:rPr>
      </w:pPr>
    </w:p>
    <w:sectPr w:rsidR="00E26C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726E" w14:textId="77777777" w:rsidR="004811DC" w:rsidRDefault="004811DC">
      <w:r>
        <w:separator/>
      </w:r>
    </w:p>
  </w:endnote>
  <w:endnote w:type="continuationSeparator" w:id="0">
    <w:p w14:paraId="064A0C3E" w14:textId="77777777" w:rsidR="004811DC" w:rsidRDefault="004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2F6A" w14:textId="52FEFC2B" w:rsidR="00E45F0E" w:rsidRDefault="00000000" w:rsidP="00C734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C734BB">
      <w:rPr>
        <w:lang w:eastAsia="ko-KR"/>
      </w:rPr>
      <w:t>Jonathan Segev (Intel corporation)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FE78" w14:textId="77777777" w:rsidR="004811DC" w:rsidRDefault="004811DC">
      <w:r>
        <w:separator/>
      </w:r>
    </w:p>
  </w:footnote>
  <w:footnote w:type="continuationSeparator" w:id="0">
    <w:p w14:paraId="72E70B11" w14:textId="77777777" w:rsidR="004811DC" w:rsidRDefault="0048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5642DC64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&quot;doc.: IEEE 802.11-24/0152r&quot;  \* MERGEFORMAT ">
      <w:r w:rsidR="002D0441">
        <w:t>doc.: IEEE 802.11-24/0152r</w:t>
      </w:r>
    </w:fldSimple>
    <w:r w:rsidR="00843ED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082"/>
    <w:multiLevelType w:val="hybridMultilevel"/>
    <w:tmpl w:val="6384373A"/>
    <w:lvl w:ilvl="0" w:tplc="887440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1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5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733233712">
    <w:abstractNumId w:val="14"/>
  </w:num>
  <w:num w:numId="18" w16cid:durableId="254362366">
    <w:abstractNumId w:val="10"/>
  </w:num>
  <w:num w:numId="19" w16cid:durableId="1118639681">
    <w:abstractNumId w:val="14"/>
  </w:num>
  <w:num w:numId="20" w16cid:durableId="20087296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6DA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837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428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87849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08B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7FE"/>
    <w:rsid w:val="002C7CB7"/>
    <w:rsid w:val="002D001B"/>
    <w:rsid w:val="002D0441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3A1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CA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1DC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D2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140A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4E66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3C5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1EB4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59C3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4E93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5B72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03D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3EDD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6C16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8DE"/>
    <w:rsid w:val="0094091B"/>
    <w:rsid w:val="009409F4"/>
    <w:rsid w:val="00940CB8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1605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1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30C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7A1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5DD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4BA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B25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6B2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4BB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5CD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29E0"/>
    <w:rsid w:val="00E22EDA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1B83"/>
    <w:rsid w:val="00E420EF"/>
    <w:rsid w:val="00E4329F"/>
    <w:rsid w:val="00E437FA"/>
    <w:rsid w:val="00E451A9"/>
    <w:rsid w:val="00E45780"/>
    <w:rsid w:val="00E45902"/>
    <w:rsid w:val="00E45F0E"/>
    <w:rsid w:val="00E465DC"/>
    <w:rsid w:val="00E466D6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41A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936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527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FC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uiPriority w:val="99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uiPriority w:val="99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uiPriority w:val="99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uiPriority w:val="99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uiPriority w:val="99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uiPriority w:val="99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uiPriority w:val="99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uiPriority w:val="99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uiPriority w:val="99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9D26D1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9D26D1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hAnsi="Arial" w:cs="Arial"/>
      <w:b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802.11-24/0152r</vt:lpstr>
    </vt:vector>
  </TitlesOfParts>
  <Company>Marvell</Company>
  <LinksUpToDate>false</LinksUpToDate>
  <CharactersWithSpaces>2424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802.11-24/0152r</dc:title>
  <dc:subject>Submission</dc:subject>
  <dc:creator>Segev, Jonathan</dc:creator>
  <cp:keywords>Nov 2017</cp:keywords>
  <dc:description>Christian Berger, NXP</dc:description>
  <cp:lastModifiedBy>Segev, Jonathan</cp:lastModifiedBy>
  <cp:revision>2</cp:revision>
  <cp:lastPrinted>2010-05-04T03:47:00Z</cp:lastPrinted>
  <dcterms:created xsi:type="dcterms:W3CDTF">2024-01-18T19:26:00Z</dcterms:created>
  <dcterms:modified xsi:type="dcterms:W3CDTF">2024-01-18T19:26:00Z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