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79FF9BD">
                <wp:simplePos x="0" y="0"/>
                <wp:positionH relativeFrom="column">
                  <wp:posOffset>316230</wp:posOffset>
                </wp:positionH>
                <wp:positionV relativeFrom="paragraph">
                  <wp:posOffset>414020</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597036FF"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Pr>
                                <w:b w:val="0"/>
                                <w:bCs/>
                                <w:sz w:val="24"/>
                                <w:szCs w:val="18"/>
                              </w:rPr>
                              <w:t xml:space="preserve">108, </w:t>
                            </w:r>
                            <w:r w:rsidR="006869A7" w:rsidRPr="006869A7">
                              <w:rPr>
                                <w:b w:val="0"/>
                                <w:bCs/>
                                <w:strike/>
                                <w:sz w:val="24"/>
                                <w:szCs w:val="18"/>
                              </w:rPr>
                              <w:t xml:space="preserve">7, </w:t>
                            </w:r>
                            <w:r w:rsidR="005F31C1" w:rsidRPr="006869A7">
                              <w:rPr>
                                <w:b w:val="0"/>
                                <w:bCs/>
                                <w:strike/>
                                <w:sz w:val="24"/>
                                <w:szCs w:val="18"/>
                              </w:rPr>
                              <w:t>112, 113, 55, 56, 220, 79, 71, 206, 36, 228</w:t>
                            </w:r>
                            <w:r w:rsidR="005F31C1">
                              <w:rPr>
                                <w:b w:val="0"/>
                                <w:bCs/>
                                <w:sz w:val="24"/>
                                <w:szCs w:val="18"/>
                              </w:rPr>
                              <w:t xml:space="preserve">,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77777777" w:rsidR="00B83EDD" w:rsidRDefault="00B83EDD" w:rsidP="00AF1DB0">
                            <w:pPr>
                              <w:pStyle w:val="T1"/>
                              <w:spacing w:after="120"/>
                              <w:jc w:val="left"/>
                              <w:rPr>
                                <w:b w:val="0"/>
                                <w:bCs/>
                                <w:sz w:val="24"/>
                                <w:szCs w:val="18"/>
                              </w:rPr>
                            </w:pPr>
                            <w:r>
                              <w:rPr>
                                <w:b w:val="0"/>
                                <w:bCs/>
                                <w:sz w:val="24"/>
                                <w:szCs w:val="18"/>
                              </w:rPr>
                              <w:t xml:space="preserve">Rev 8 – Resolved second set of </w:t>
                            </w:r>
                            <w:proofErr w:type="gramStart"/>
                            <w:r>
                              <w:rPr>
                                <w:b w:val="0"/>
                                <w:bCs/>
                                <w:sz w:val="24"/>
                                <w:szCs w:val="18"/>
                              </w:rPr>
                              <w:t>CIDs</w:t>
                            </w:r>
                            <w:proofErr w:type="gramEnd"/>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" o:allowincell="f" stroked="f">
                <v:textbo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597036FF"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Pr>
                          <w:b w:val="0"/>
                          <w:bCs/>
                          <w:sz w:val="24"/>
                          <w:szCs w:val="18"/>
                        </w:rPr>
                        <w:t xml:space="preserve">108, </w:t>
                      </w:r>
                      <w:r w:rsidR="006869A7" w:rsidRPr="006869A7">
                        <w:rPr>
                          <w:b w:val="0"/>
                          <w:bCs/>
                          <w:strike/>
                          <w:sz w:val="24"/>
                          <w:szCs w:val="18"/>
                        </w:rPr>
                        <w:t xml:space="preserve">7, </w:t>
                      </w:r>
                      <w:r w:rsidR="005F31C1" w:rsidRPr="006869A7">
                        <w:rPr>
                          <w:b w:val="0"/>
                          <w:bCs/>
                          <w:strike/>
                          <w:sz w:val="24"/>
                          <w:szCs w:val="18"/>
                        </w:rPr>
                        <w:t>112, 113, 55, 56, 220, 79, 71, 206, 36, 228</w:t>
                      </w:r>
                      <w:r w:rsidR="005F31C1">
                        <w:rPr>
                          <w:b w:val="0"/>
                          <w:bCs/>
                          <w:sz w:val="24"/>
                          <w:szCs w:val="18"/>
                        </w:rPr>
                        <w:t xml:space="preserve">,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77777777" w:rsidR="00B83EDD" w:rsidRDefault="00B83EDD" w:rsidP="00AF1DB0">
                      <w:pPr>
                        <w:pStyle w:val="T1"/>
                        <w:spacing w:after="120"/>
                        <w:jc w:val="left"/>
                        <w:rPr>
                          <w:b w:val="0"/>
                          <w:bCs/>
                          <w:sz w:val="24"/>
                          <w:szCs w:val="18"/>
                        </w:rPr>
                      </w:pPr>
                      <w:r>
                        <w:rPr>
                          <w:b w:val="0"/>
                          <w:bCs/>
                          <w:sz w:val="24"/>
                          <w:szCs w:val="18"/>
                        </w:rPr>
                        <w:t xml:space="preserve">Rev 8 – Resolved second set of </w:t>
                      </w:r>
                      <w:proofErr w:type="gramStart"/>
                      <w:r>
                        <w:rPr>
                          <w:b w:val="0"/>
                          <w:bCs/>
                          <w:sz w:val="24"/>
                          <w:szCs w:val="18"/>
                        </w:rPr>
                        <w:t>CIDs</w:t>
                      </w:r>
                      <w:proofErr w:type="gramEnd"/>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4CE2725B"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Pr>
          <w:rFonts w:eastAsia="TimesNewRoman"/>
          <w:sz w:val="24"/>
          <w:szCs w:val="24"/>
          <w:lang w:val="en-US" w:eastAsia="ja-JP"/>
        </w:rPr>
        <w:t>“…</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DD7EDE">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186779">
        <w:rPr>
          <w:b w:val="0"/>
          <w:bCs/>
          <w:sz w:val="24"/>
          <w:szCs w:val="18"/>
          <w:highlight w:val="green"/>
        </w:rPr>
        <w:t>REVISE</w:t>
      </w:r>
    </w:p>
    <w:p w14:paraId="783744ED" w14:textId="43BF2958" w:rsidR="00217DEB"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w:t>
      </w:r>
    </w:p>
    <w:p w14:paraId="664DCC62" w14:textId="77777777" w:rsidR="00DD7EDE" w:rsidRDefault="00DD7EDE" w:rsidP="00DD7EDE">
      <w:pPr>
        <w:pStyle w:val="T1"/>
        <w:spacing w:after="120"/>
        <w:jc w:val="left"/>
        <w:rPr>
          <w:b w:val="0"/>
          <w:bCs/>
          <w:sz w:val="24"/>
          <w:szCs w:val="18"/>
        </w:rPr>
      </w:pPr>
      <w:r>
        <w:rPr>
          <w:b w:val="0"/>
          <w:bCs/>
          <w:sz w:val="24"/>
          <w:szCs w:val="18"/>
        </w:rPr>
        <w:t xml:space="preserve">Replace </w:t>
      </w:r>
    </w:p>
    <w:p w14:paraId="793DD410" w14:textId="5D036530" w:rsidR="00DD7EDE" w:rsidRPr="00DD7EDE" w:rsidRDefault="00DD7EDE" w:rsidP="00DD7EDE">
      <w:pPr>
        <w:pStyle w:val="T1"/>
        <w:spacing w:after="120"/>
        <w:jc w:val="left"/>
        <w:rPr>
          <w:rFonts w:eastAsia="TimesNewRoman"/>
          <w:b w:val="0"/>
          <w:bCs/>
          <w:sz w:val="24"/>
          <w:szCs w:val="24"/>
          <w:lang w:val="en-US" w:eastAsia="ja-JP"/>
        </w:rPr>
      </w:pPr>
      <w:r w:rsidRPr="00DD7EDE">
        <w:rPr>
          <w:rFonts w:eastAsia="TimesNewRoman"/>
          <w:b w:val="0"/>
          <w:bCs/>
          <w:sz w:val="24"/>
          <w:szCs w:val="24"/>
          <w:lang w:val="en-US" w:eastAsia="ja-JP"/>
        </w:rPr>
        <w:t>“…which allows the network to recognize the STA while mitigating the abilities of third parties to do tracking or traffic analysis.”</w:t>
      </w:r>
    </w:p>
    <w:p w14:paraId="04CAF5A1" w14:textId="7C9072B2" w:rsidR="00DD7EDE" w:rsidRPr="0011589A" w:rsidRDefault="00DD7EDE" w:rsidP="00C119E2">
      <w:pPr>
        <w:pStyle w:val="T1"/>
        <w:spacing w:after="120"/>
        <w:jc w:val="left"/>
        <w:rPr>
          <w:b w:val="0"/>
          <w:bCs/>
          <w:sz w:val="24"/>
          <w:szCs w:val="18"/>
        </w:rPr>
      </w:pPr>
      <w:r>
        <w:rPr>
          <w:b w:val="0"/>
          <w:bCs/>
          <w:sz w:val="24"/>
          <w:szCs w:val="18"/>
        </w:rPr>
        <w:t>With</w:t>
      </w:r>
    </w:p>
    <w:p w14:paraId="654C7ABC" w14:textId="4B47A6F0"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7EDE">
        <w:rPr>
          <w:rFonts w:eastAsia="TimesNewRoman"/>
          <w:sz w:val="24"/>
          <w:szCs w:val="24"/>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w:t>
      </w:r>
      <w:r w:rsidR="00186779">
        <w:rPr>
          <w:rFonts w:eastAsia="TimesNewRoman"/>
          <w:sz w:val="24"/>
          <w:szCs w:val="24"/>
          <w:lang w:val="en-US" w:eastAsia="ja-JP"/>
        </w:rPr>
        <w:t>y</w:t>
      </w:r>
      <w:r>
        <w:rPr>
          <w:rFonts w:eastAsia="TimesNewRoman"/>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r w:rsidR="00DD7EDE">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lastRenderedPageBreak/>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sidRPr="00186779">
        <w:rPr>
          <w:b w:val="0"/>
          <w:bCs/>
          <w:sz w:val="24"/>
          <w:szCs w:val="18"/>
          <w:highlight w:val="green"/>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sidRPr="00186779">
        <w:rPr>
          <w:b w:val="0"/>
          <w:bCs/>
          <w:sz w:val="24"/>
          <w:szCs w:val="18"/>
          <w:highlight w:val="green"/>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4E5D2C6" w:rsidR="00940B35" w:rsidRPr="00940B35" w:rsidRDefault="00940B35" w:rsidP="006A1E43">
      <w:pPr>
        <w:pStyle w:val="T1"/>
        <w:spacing w:after="120"/>
        <w:jc w:val="left"/>
        <w:rPr>
          <w:sz w:val="24"/>
          <w:szCs w:val="18"/>
        </w:rPr>
      </w:pPr>
      <w:r w:rsidRPr="00940B35">
        <w:rPr>
          <w:sz w:val="24"/>
          <w:szCs w:val="18"/>
        </w:rPr>
        <w:t>RES</w:t>
      </w:r>
      <w:r w:rsidR="00186779">
        <w:rPr>
          <w:sz w:val="24"/>
          <w:szCs w:val="18"/>
        </w:rPr>
        <w:t>O</w:t>
      </w:r>
      <w:r w:rsidRPr="00940B35">
        <w:rPr>
          <w:sz w:val="24"/>
          <w:szCs w:val="18"/>
        </w:rPr>
        <w:t>LUTION for CID 109</w:t>
      </w:r>
    </w:p>
    <w:p w14:paraId="3AC93666" w14:textId="3C64C5CA" w:rsidR="00940B35" w:rsidRDefault="00940B35" w:rsidP="006A1E43">
      <w:pPr>
        <w:pStyle w:val="T1"/>
        <w:spacing w:after="120"/>
        <w:jc w:val="left"/>
        <w:rPr>
          <w:b w:val="0"/>
          <w:bCs/>
          <w:sz w:val="24"/>
          <w:szCs w:val="18"/>
        </w:rPr>
      </w:pPr>
      <w:r w:rsidRPr="00186779">
        <w:rPr>
          <w:b w:val="0"/>
          <w:bCs/>
          <w:sz w:val="24"/>
          <w:szCs w:val="18"/>
          <w:highlight w:val="green"/>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0D26334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by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186779">
        <w:rPr>
          <w:b w:val="0"/>
          <w:bCs/>
          <w:sz w:val="24"/>
          <w:szCs w:val="18"/>
          <w:highlight w:val="green"/>
        </w:rPr>
        <w:t>RE</w:t>
      </w:r>
      <w:r w:rsidR="004E07C7" w:rsidRPr="00186779">
        <w:rPr>
          <w:b w:val="0"/>
          <w:bCs/>
          <w:sz w:val="24"/>
          <w:szCs w:val="18"/>
          <w:highlight w:val="green"/>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7C7B6C5E"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 xml:space="preserve">are not </w:t>
      </w:r>
      <w:r w:rsidR="00186779">
        <w:rPr>
          <w:b w:val="0"/>
          <w:bCs/>
          <w:sz w:val="24"/>
          <w:szCs w:val="18"/>
        </w:rPr>
        <w:t xml:space="preserve">specified for </w:t>
      </w:r>
      <w:r>
        <w:rPr>
          <w:b w:val="0"/>
          <w:bCs/>
          <w:sz w:val="24"/>
          <w:szCs w:val="18"/>
        </w:rPr>
        <w:t>use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sidRPr="00376367">
        <w:rPr>
          <w:b w:val="0"/>
          <w:bCs/>
          <w:sz w:val="24"/>
          <w:szCs w:val="18"/>
          <w:highlight w:val="green"/>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3E5EDAFA" w14:textId="77777777" w:rsidR="00326545" w:rsidRDefault="00326545" w:rsidP="00326545">
      <w:pPr>
        <w:pStyle w:val="T1"/>
        <w:spacing w:after="120"/>
        <w:jc w:val="left"/>
      </w:pPr>
      <w:r>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6C9A2740" w:rsidR="00326545" w:rsidRDefault="00326545" w:rsidP="00326545">
      <w:pPr>
        <w:pStyle w:val="T1"/>
        <w:spacing w:after="120"/>
        <w:jc w:val="left"/>
        <w:rPr>
          <w:b w:val="0"/>
          <w:bCs/>
          <w:sz w:val="24"/>
          <w:szCs w:val="18"/>
        </w:rPr>
      </w:pPr>
      <w:r w:rsidRPr="00914058">
        <w:rPr>
          <w:b w:val="0"/>
          <w:bCs/>
          <w:sz w:val="24"/>
          <w:szCs w:val="18"/>
        </w:rPr>
        <w:lastRenderedPageBreak/>
        <w:t xml:space="preserve">P 27 has the Measurement ID element.  </w:t>
      </w:r>
      <w:r>
        <w:rPr>
          <w:b w:val="0"/>
          <w:bCs/>
          <w:sz w:val="24"/>
          <w:szCs w:val="18"/>
        </w:rPr>
        <w:t>I don’t think that the comme</w:t>
      </w:r>
      <w:r w:rsidR="005733A8">
        <w:rPr>
          <w:b w:val="0"/>
          <w:bCs/>
          <w:sz w:val="24"/>
          <w:szCs w:val="18"/>
        </w:rPr>
        <w:t>n</w:t>
      </w:r>
      <w:r>
        <w:rPr>
          <w:b w:val="0"/>
          <w:bCs/>
          <w:sz w:val="24"/>
          <w:szCs w:val="18"/>
        </w:rPr>
        <w:t xml:space="preserve">tor is referring to this.  Probably </w:t>
      </w:r>
      <w:proofErr w:type="gramStart"/>
      <w:r>
        <w:rPr>
          <w:b w:val="0"/>
          <w:bCs/>
          <w:sz w:val="24"/>
          <w:szCs w:val="18"/>
        </w:rPr>
        <w:t>similar to</w:t>
      </w:r>
      <w:proofErr w:type="gramEnd"/>
      <w:r>
        <w:rPr>
          <w:b w:val="0"/>
          <w:bCs/>
          <w:sz w:val="24"/>
          <w:szCs w:val="18"/>
        </w:rPr>
        <w:t xml:space="preserve"> CIDs 55 and 56 for the IRM element.</w:t>
      </w:r>
      <w:r w:rsidRPr="00B0726C">
        <w:rPr>
          <w:b w:val="0"/>
          <w:bCs/>
          <w:sz w:val="24"/>
          <w:szCs w:val="18"/>
        </w:rPr>
        <w:t xml:space="preserve"> </w:t>
      </w:r>
      <w:r>
        <w:rPr>
          <w:b w:val="0"/>
          <w:bCs/>
          <w:sz w:val="24"/>
          <w:szCs w:val="18"/>
        </w:rPr>
        <w:t>(See also CIDs 55 and 56).</w:t>
      </w:r>
    </w:p>
    <w:p w14:paraId="5F402B09" w14:textId="77777777" w:rsidR="00326545" w:rsidRDefault="00326545" w:rsidP="00326545">
      <w:pPr>
        <w:pStyle w:val="T1"/>
        <w:spacing w:after="120"/>
        <w:jc w:val="left"/>
        <w:rPr>
          <w:b w:val="0"/>
          <w:bCs/>
          <w:sz w:val="24"/>
          <w:szCs w:val="18"/>
        </w:rPr>
      </w:pPr>
    </w:p>
    <w:p w14:paraId="3BBFE13F" w14:textId="54CAE8B7" w:rsidR="00326545" w:rsidRDefault="00326545" w:rsidP="00326545">
      <w:pPr>
        <w:pStyle w:val="T1"/>
        <w:spacing w:after="120"/>
        <w:jc w:val="left"/>
        <w:rPr>
          <w:b w:val="0"/>
          <w:bCs/>
          <w:sz w:val="24"/>
          <w:szCs w:val="18"/>
        </w:rPr>
      </w:pPr>
      <w:r>
        <w:rPr>
          <w:b w:val="0"/>
          <w:bCs/>
          <w:sz w:val="24"/>
          <w:szCs w:val="18"/>
        </w:rPr>
        <w:t>Personally I think the text is clear once we make the changes 0-6 octets for the IRM field and also change the text to “the fi</w:t>
      </w:r>
      <w:r w:rsidR="005733A8">
        <w:rPr>
          <w:b w:val="0"/>
          <w:bCs/>
          <w:sz w:val="24"/>
          <w:szCs w:val="18"/>
        </w:rPr>
        <w:t>eld</w:t>
      </w:r>
      <w:r>
        <w:rPr>
          <w:b w:val="0"/>
          <w:bCs/>
          <w:sz w:val="24"/>
          <w:szCs w:val="18"/>
        </w:rPr>
        <w:t xml:space="preserve"> is omitted when…” (see CID </w:t>
      </w:r>
      <w:proofErr w:type="gramStart"/>
      <w:r>
        <w:rPr>
          <w:b w:val="0"/>
          <w:bCs/>
          <w:sz w:val="24"/>
          <w:szCs w:val="18"/>
        </w:rPr>
        <w:t>35 )</w:t>
      </w:r>
      <w:proofErr w:type="gramEnd"/>
    </w:p>
    <w:p w14:paraId="4B30F3B8" w14:textId="77777777" w:rsidR="00326545" w:rsidRPr="007D09F9" w:rsidRDefault="00326545" w:rsidP="00326545">
      <w:pPr>
        <w:pStyle w:val="T1"/>
        <w:spacing w:after="120"/>
        <w:jc w:val="left"/>
        <w:rPr>
          <w:b w:val="0"/>
          <w:bCs/>
          <w:sz w:val="24"/>
          <w:szCs w:val="24"/>
        </w:rPr>
      </w:pPr>
      <w:r w:rsidRPr="007D09F9">
        <w:rPr>
          <w:b w:val="0"/>
          <w:bCs/>
          <w:color w:val="000000"/>
          <w:sz w:val="24"/>
          <w:szCs w:val="24"/>
        </w:rPr>
        <w:t xml:space="preserve">CID 35 Change cited text P27.25 to "The IRM field is not present when sent from an AP to a non-AP STA." and in Figure 9-1054b under "IRM" box change octets to "0 or </w:t>
      </w:r>
      <w:proofErr w:type="gramStart"/>
      <w:r w:rsidRPr="007D09F9">
        <w:rPr>
          <w:b w:val="0"/>
          <w:bCs/>
          <w:color w:val="000000"/>
          <w:sz w:val="24"/>
          <w:szCs w:val="24"/>
        </w:rPr>
        <w:t>6</w:t>
      </w:r>
      <w:proofErr w:type="gramEnd"/>
      <w:r w:rsidRPr="007D09F9">
        <w:rPr>
          <w:b w:val="0"/>
          <w:bCs/>
          <w:color w:val="000000"/>
          <w:sz w:val="24"/>
          <w:szCs w:val="24"/>
        </w:rPr>
        <w:t>"</w:t>
      </w:r>
    </w:p>
    <w:p w14:paraId="05BDC281" w14:textId="4B3B80DB" w:rsidR="00376367" w:rsidRPr="007D09F9" w:rsidRDefault="007D09F9" w:rsidP="00326545">
      <w:pPr>
        <w:pStyle w:val="T1"/>
        <w:spacing w:after="120"/>
        <w:jc w:val="left"/>
        <w:rPr>
          <w:rFonts w:eastAsia="TimesNewRoman"/>
          <w:b w:val="0"/>
          <w:bCs/>
          <w:sz w:val="24"/>
          <w:szCs w:val="24"/>
          <w:lang w:val="en-US" w:eastAsia="ja-JP"/>
        </w:rPr>
      </w:pPr>
      <w:r w:rsidRPr="007D09F9">
        <w:rPr>
          <w:rFonts w:eastAsia="TimesNewRoman"/>
          <w:b w:val="0"/>
          <w:bCs/>
          <w:sz w:val="24"/>
          <w:szCs w:val="24"/>
          <w:lang w:val="en-US" w:eastAsia="ja-JP"/>
        </w:rPr>
        <w:t xml:space="preserve">Need to also </w:t>
      </w:r>
      <w:r>
        <w:rPr>
          <w:rFonts w:eastAsia="TimesNewRoman"/>
          <w:b w:val="0"/>
          <w:bCs/>
          <w:sz w:val="24"/>
          <w:szCs w:val="24"/>
          <w:lang w:val="en-US" w:eastAsia="ja-JP"/>
        </w:rPr>
        <w:t>to carry out similar for</w:t>
      </w:r>
      <w:r w:rsidRPr="007D09F9">
        <w:rPr>
          <w:rFonts w:eastAsia="TimesNewRoman"/>
          <w:b w:val="0"/>
          <w:bCs/>
          <w:sz w:val="24"/>
          <w:szCs w:val="24"/>
          <w:lang w:val="en-US" w:eastAsia="ja-JP"/>
        </w:rPr>
        <w:t xml:space="preserve"> the IRM Status field.</w:t>
      </w:r>
    </w:p>
    <w:p w14:paraId="3002BEC6" w14:textId="3F249F44" w:rsidR="00326545" w:rsidRPr="007D09F9" w:rsidRDefault="007D09F9" w:rsidP="00326545">
      <w:pPr>
        <w:pStyle w:val="T1"/>
        <w:spacing w:after="120"/>
        <w:jc w:val="left"/>
        <w:rPr>
          <w:b w:val="0"/>
          <w:bCs/>
          <w:sz w:val="24"/>
          <w:szCs w:val="24"/>
        </w:rPr>
      </w:pPr>
      <w:r w:rsidRPr="007D09F9">
        <w:rPr>
          <w:rFonts w:eastAsia="TimesNewRoman"/>
          <w:b w:val="0"/>
          <w:bCs/>
          <w:sz w:val="24"/>
          <w:szCs w:val="24"/>
          <w:lang w:val="en-US" w:eastAsia="ja-JP"/>
        </w:rPr>
        <w:t>At P27.1 “</w:t>
      </w:r>
      <w:r w:rsidR="00376367" w:rsidRPr="007D09F9">
        <w:rPr>
          <w:rFonts w:eastAsia="TimesNewRoman"/>
          <w:b w:val="0"/>
          <w:bCs/>
          <w:sz w:val="24"/>
          <w:szCs w:val="24"/>
          <w:lang w:val="en-US" w:eastAsia="ja-JP"/>
        </w:rPr>
        <w:t>When sent from a non-AP STA to an AP, the IRM Status field is reserved.</w:t>
      </w: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t>RE</w:t>
      </w:r>
      <w:r>
        <w:rPr>
          <w:b w:val="0"/>
          <w:bCs/>
          <w:sz w:val="24"/>
          <w:szCs w:val="24"/>
        </w:rPr>
        <w:t>VISE</w:t>
      </w:r>
    </w:p>
    <w:p w14:paraId="17F6D41B" w14:textId="21396208" w:rsidR="00326545" w:rsidRPr="007D09F9" w:rsidRDefault="00326545" w:rsidP="00326545">
      <w:pPr>
        <w:pStyle w:val="T1"/>
        <w:spacing w:after="120"/>
        <w:jc w:val="left"/>
        <w:rPr>
          <w:b w:val="0"/>
          <w:bCs/>
          <w:color w:val="000000"/>
          <w:sz w:val="24"/>
          <w:szCs w:val="24"/>
        </w:rPr>
      </w:pPr>
      <w:r w:rsidRPr="007D09F9">
        <w:rPr>
          <w:b w:val="0"/>
          <w:bCs/>
          <w:color w:val="000000"/>
          <w:sz w:val="24"/>
          <w:szCs w:val="24"/>
        </w:rPr>
        <w:t>Change text at P27.25 to "The IRM field is not present when sent from an AP to a non-AP STA." and in Figure 9-1054b under "IRM" box change octets to "0 or 6”.</w:t>
      </w:r>
    </w:p>
    <w:p w14:paraId="7333CC0C" w14:textId="77777777" w:rsidR="00326545" w:rsidRDefault="00326545" w:rsidP="00326545">
      <w:pPr>
        <w:pStyle w:val="T1"/>
        <w:spacing w:after="120"/>
        <w:jc w:val="left"/>
        <w:rPr>
          <w:b w:val="0"/>
          <w:bCs/>
          <w:i/>
          <w:iCs/>
          <w:color w:val="000000"/>
          <w:sz w:val="24"/>
          <w:szCs w:val="24"/>
        </w:rPr>
      </w:pPr>
      <w:r w:rsidRPr="007D09F9">
        <w:rPr>
          <w:b w:val="0"/>
          <w:bCs/>
          <w:i/>
          <w:iCs/>
          <w:color w:val="000000"/>
          <w:sz w:val="24"/>
          <w:szCs w:val="24"/>
        </w:rPr>
        <w:t>Note to editor – this is same as CID 35.</w:t>
      </w:r>
    </w:p>
    <w:p w14:paraId="07F1EA4B" w14:textId="4DED533B" w:rsidR="007D09F9" w:rsidRPr="007D09F9" w:rsidRDefault="007D09F9" w:rsidP="00326545">
      <w:pPr>
        <w:pStyle w:val="T1"/>
        <w:spacing w:after="120"/>
        <w:jc w:val="left"/>
        <w:rPr>
          <w:b w:val="0"/>
          <w:bCs/>
          <w:color w:val="000000"/>
          <w:sz w:val="24"/>
          <w:szCs w:val="24"/>
        </w:rPr>
      </w:pPr>
      <w:r w:rsidRPr="007D09F9">
        <w:rPr>
          <w:b w:val="0"/>
          <w:bCs/>
          <w:color w:val="000000"/>
          <w:sz w:val="24"/>
          <w:szCs w:val="24"/>
        </w:rPr>
        <w:t>ALSO</w:t>
      </w:r>
    </w:p>
    <w:p w14:paraId="75987B54" w14:textId="249EE8D5" w:rsidR="007D09F9" w:rsidRDefault="007D09F9" w:rsidP="00326545">
      <w:pPr>
        <w:pStyle w:val="T1"/>
        <w:spacing w:after="120"/>
        <w:jc w:val="left"/>
        <w:rPr>
          <w:b w:val="0"/>
          <w:bCs/>
          <w:color w:val="000000"/>
          <w:sz w:val="24"/>
          <w:szCs w:val="24"/>
        </w:rPr>
      </w:pPr>
      <w:r>
        <w:rPr>
          <w:b w:val="0"/>
          <w:bCs/>
          <w:color w:val="000000"/>
          <w:sz w:val="24"/>
          <w:szCs w:val="24"/>
        </w:rPr>
        <w:t>Change text at P27.1 to “The IRM Status field is not present when sent from a non-AP STA to an AP.”</w:t>
      </w:r>
    </w:p>
    <w:p w14:paraId="157105CB" w14:textId="7F570A84" w:rsidR="007D09F9" w:rsidRPr="007D09F9" w:rsidRDefault="007D09F9" w:rsidP="00326545">
      <w:pPr>
        <w:pStyle w:val="T1"/>
        <w:spacing w:after="120"/>
        <w:jc w:val="left"/>
        <w:rPr>
          <w:b w:val="0"/>
          <w:bCs/>
          <w:color w:val="000000"/>
          <w:sz w:val="24"/>
          <w:szCs w:val="24"/>
        </w:rPr>
      </w:pPr>
      <w:r>
        <w:rPr>
          <w:b w:val="0"/>
          <w:bCs/>
          <w:color w:val="000000"/>
          <w:sz w:val="24"/>
          <w:szCs w:val="24"/>
        </w:rPr>
        <w:t>In Figure 9-1054b under the “IRM Status” box, change octets to “0 or 1”.</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074E9E0F" w:rsidR="00D86F19" w:rsidRDefault="00AA4A38" w:rsidP="006A1E43">
      <w:pPr>
        <w:pStyle w:val="T1"/>
        <w:spacing w:after="120"/>
        <w:jc w:val="left"/>
        <w:rPr>
          <w:b w:val="0"/>
          <w:bCs/>
          <w:sz w:val="24"/>
          <w:szCs w:val="18"/>
        </w:rPr>
      </w:pPr>
      <w:r>
        <w:rPr>
          <w:b w:val="0"/>
          <w:bCs/>
          <w:sz w:val="24"/>
          <w:szCs w:val="18"/>
        </w:rPr>
        <w:t>CID 112 questions the “authenticated” in that to associate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FC05733" w14:textId="77777777" w:rsidR="00EC55A8" w:rsidRDefault="00EC55A8" w:rsidP="006A1E43">
      <w:pPr>
        <w:pStyle w:val="T1"/>
        <w:spacing w:after="120"/>
        <w:jc w:val="left"/>
        <w:rPr>
          <w:b w:val="0"/>
          <w:bCs/>
          <w:sz w:val="24"/>
          <w:szCs w:val="18"/>
        </w:rPr>
      </w:pPr>
    </w:p>
    <w:p w14:paraId="389BE221" w14:textId="25874331" w:rsidR="00EC55A8" w:rsidRDefault="00EC55A8" w:rsidP="006A1E43">
      <w:pPr>
        <w:pStyle w:val="T1"/>
        <w:spacing w:after="120"/>
        <w:jc w:val="left"/>
        <w:rPr>
          <w:b w:val="0"/>
          <w:bCs/>
          <w:sz w:val="24"/>
          <w:szCs w:val="18"/>
        </w:rPr>
      </w:pPr>
      <w:r>
        <w:rPr>
          <w:b w:val="0"/>
          <w:bCs/>
          <w:sz w:val="24"/>
          <w:szCs w:val="18"/>
        </w:rPr>
        <w:t>This text maybe should not be in clause 9.  It is covered in P33.39.</w:t>
      </w:r>
    </w:p>
    <w:p w14:paraId="77988AB6" w14:textId="5742C1D5"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 xml:space="preserve">LUTION for CID </w:t>
      </w:r>
      <w:r w:rsidR="006B137B">
        <w:rPr>
          <w:sz w:val="24"/>
          <w:szCs w:val="18"/>
        </w:rPr>
        <w:t xml:space="preserve">7, </w:t>
      </w:r>
      <w:r w:rsidRPr="00940B35">
        <w:rPr>
          <w:sz w:val="24"/>
          <w:szCs w:val="18"/>
        </w:rPr>
        <w:t>1</w:t>
      </w:r>
      <w:r>
        <w:rPr>
          <w:sz w:val="24"/>
          <w:szCs w:val="18"/>
        </w:rPr>
        <w:t>12</w:t>
      </w:r>
      <w:r w:rsidR="00EC55A8">
        <w:rPr>
          <w:sz w:val="24"/>
          <w:szCs w:val="18"/>
        </w:rPr>
        <w:t xml:space="preserve"> and 113</w:t>
      </w:r>
      <w:r>
        <w:rPr>
          <w:sz w:val="24"/>
          <w:szCs w:val="18"/>
        </w:rPr>
        <w:t xml:space="preserve"> </w:t>
      </w:r>
    </w:p>
    <w:p w14:paraId="46C94B74" w14:textId="3155F27E" w:rsidR="00AA4A38" w:rsidRPr="00AA4A38" w:rsidRDefault="00AA4A38" w:rsidP="00AA4A38">
      <w:pPr>
        <w:pStyle w:val="T1"/>
        <w:spacing w:after="120"/>
        <w:jc w:val="left"/>
        <w:rPr>
          <w:b w:val="0"/>
          <w:bCs/>
          <w:sz w:val="24"/>
          <w:szCs w:val="18"/>
        </w:rPr>
      </w:pPr>
      <w:r w:rsidRPr="00EC55A8">
        <w:rPr>
          <w:b w:val="0"/>
          <w:bCs/>
          <w:sz w:val="24"/>
          <w:szCs w:val="18"/>
          <w:highlight w:val="green"/>
        </w:rPr>
        <w:t>REVISED</w:t>
      </w:r>
    </w:p>
    <w:p w14:paraId="66A40B76" w14:textId="5C5DCD29" w:rsidR="00AA4A38" w:rsidRPr="00AA4A38" w:rsidRDefault="00AA4A38" w:rsidP="00AA4A38">
      <w:pPr>
        <w:pStyle w:val="T1"/>
        <w:spacing w:after="120"/>
        <w:jc w:val="left"/>
        <w:rPr>
          <w:b w:val="0"/>
          <w:bCs/>
          <w:sz w:val="24"/>
          <w:szCs w:val="18"/>
        </w:rPr>
      </w:pPr>
      <w:r w:rsidRPr="00AA4A38">
        <w:rPr>
          <w:b w:val="0"/>
          <w:bCs/>
          <w:sz w:val="24"/>
          <w:szCs w:val="18"/>
        </w:rPr>
        <w:t xml:space="preserve">At P28.17 </w:t>
      </w:r>
      <w:r w:rsidR="00EC55A8">
        <w:rPr>
          <w:b w:val="0"/>
          <w:bCs/>
          <w:sz w:val="24"/>
          <w:szCs w:val="18"/>
        </w:rPr>
        <w:t>delete</w:t>
      </w:r>
      <w:r w:rsidRPr="00AA4A38">
        <w:rPr>
          <w:b w:val="0"/>
          <w:bCs/>
          <w:sz w:val="24"/>
          <w:szCs w:val="18"/>
        </w:rPr>
        <w:t>:</w:t>
      </w:r>
    </w:p>
    <w:p w14:paraId="23DEAF3D" w14:textId="77777777" w:rsidR="00EC55A8" w:rsidRPr="00AA4A38" w:rsidRDefault="00EC55A8" w:rsidP="00EC55A8">
      <w:pPr>
        <w:autoSpaceDE w:val="0"/>
        <w:autoSpaceDN w:val="0"/>
        <w:adjustRightInd w:val="0"/>
        <w:rPr>
          <w:b/>
          <w:bCs/>
          <w:sz w:val="32"/>
          <w:szCs w:val="22"/>
        </w:rPr>
      </w:pPr>
      <w:r>
        <w:rPr>
          <w:rFonts w:eastAsia="TimesNewRoman"/>
          <w:sz w:val="24"/>
          <w:szCs w:val="24"/>
          <w:lang w:val="en-US" w:eastAsia="ja-JP"/>
        </w:rPr>
        <w:lastRenderedPageBreak/>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5D9C38F7" w14:textId="77777777" w:rsidR="00EC55A8" w:rsidRDefault="00EC55A8" w:rsidP="00376367">
      <w:pPr>
        <w:autoSpaceDE w:val="0"/>
        <w:autoSpaceDN w:val="0"/>
        <w:adjustRightInd w:val="0"/>
        <w:rPr>
          <w:rFonts w:eastAsia="TimesNewRoman"/>
          <w:sz w:val="24"/>
          <w:szCs w:val="24"/>
          <w:lang w:val="en-US" w:eastAsia="ja-JP"/>
        </w:rPr>
      </w:pPr>
    </w:p>
    <w:p w14:paraId="6EA4E02A" w14:textId="65E50C2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At P28.36 delete:</w:t>
      </w:r>
    </w:p>
    <w:p w14:paraId="5A742861" w14:textId="4BE2F1F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6B137B">
        <w:rPr>
          <w:rFonts w:eastAsia="TimesNewRoman"/>
          <w:sz w:val="24"/>
          <w:szCs w:val="24"/>
          <w:lang w:val="en-US" w:eastAsia="ja-JP"/>
        </w:rPr>
        <w:t>The New IRM frame is transmitted from a non-AP STA to an AP in response to a Duplicate IRM frame</w:t>
      </w:r>
      <w:r>
        <w:rPr>
          <w:rFonts w:eastAsia="TimesNewRoman"/>
          <w:sz w:val="24"/>
          <w:szCs w:val="24"/>
          <w:lang w:val="en-US" w:eastAsia="ja-JP"/>
        </w:rPr>
        <w:t>.”</w:t>
      </w:r>
    </w:p>
    <w:p w14:paraId="644F8F3A" w14:textId="77777777" w:rsidR="006B137B" w:rsidRPr="006B137B" w:rsidRDefault="006B137B" w:rsidP="00376367">
      <w:pPr>
        <w:autoSpaceDE w:val="0"/>
        <w:autoSpaceDN w:val="0"/>
        <w:adjustRightInd w:val="0"/>
        <w:rPr>
          <w:rFonts w:eastAsia="TimesNewRoman"/>
          <w:sz w:val="32"/>
          <w:szCs w:val="32"/>
          <w:lang w:val="en-US" w:eastAsia="ja-JP"/>
        </w:rPr>
      </w:pPr>
    </w:p>
    <w:p w14:paraId="46777F05" w14:textId="0E5A734D" w:rsidR="00EC55A8" w:rsidRDefault="00EC55A8" w:rsidP="006A1E43">
      <w:pPr>
        <w:pStyle w:val="T1"/>
        <w:spacing w:after="120"/>
        <w:jc w:val="left"/>
        <w:rPr>
          <w:b w:val="0"/>
          <w:bCs/>
          <w:sz w:val="24"/>
          <w:szCs w:val="18"/>
        </w:rPr>
      </w:pPr>
      <w:r>
        <w:rPr>
          <w:b w:val="0"/>
          <w:bCs/>
          <w:sz w:val="24"/>
          <w:szCs w:val="18"/>
        </w:rPr>
        <w:t xml:space="preserve">Note to commentors, this </w:t>
      </w:r>
      <w:proofErr w:type="spellStart"/>
      <w:r>
        <w:rPr>
          <w:b w:val="0"/>
          <w:bCs/>
          <w:sz w:val="24"/>
          <w:szCs w:val="18"/>
        </w:rPr>
        <w:t>behavior</w:t>
      </w:r>
      <w:proofErr w:type="spellEnd"/>
      <w:r>
        <w:rPr>
          <w:b w:val="0"/>
          <w:bCs/>
          <w:sz w:val="24"/>
          <w:szCs w:val="18"/>
        </w:rPr>
        <w:t xml:space="preserve"> is at P33.39.</w:t>
      </w:r>
    </w:p>
    <w:p w14:paraId="1B6E163C" w14:textId="5515F57C"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6B137B">
        <w:rPr>
          <w:b w:val="0"/>
          <w:bCs/>
          <w:sz w:val="24"/>
          <w:szCs w:val="18"/>
          <w:highlight w:val="green"/>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6B137B">
        <w:rPr>
          <w:b w:val="0"/>
          <w:bCs/>
          <w:sz w:val="24"/>
          <w:szCs w:val="18"/>
          <w:highlight w:val="green"/>
        </w:rPr>
        <w:lastRenderedPageBreak/>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600640B3" w:rsidR="00F10C7A" w:rsidRDefault="006B137B" w:rsidP="006A1E43">
      <w:pPr>
        <w:pStyle w:val="T1"/>
        <w:spacing w:after="120"/>
        <w:jc w:val="left"/>
        <w:rPr>
          <w:b w:val="0"/>
          <w:bCs/>
          <w:sz w:val="24"/>
          <w:szCs w:val="18"/>
        </w:rPr>
      </w:pPr>
      <w:r w:rsidRPr="006B137B">
        <w:rPr>
          <w:b w:val="0"/>
          <w:bCs/>
          <w:sz w:val="24"/>
          <w:szCs w:val="18"/>
          <w:highlight w:val="green"/>
        </w:rPr>
        <w:t>ACCEPT</w:t>
      </w:r>
    </w:p>
    <w:p w14:paraId="5A06C613" w14:textId="2E613848" w:rsidR="006B137B" w:rsidRDefault="006B137B" w:rsidP="006A1E43">
      <w:pPr>
        <w:pStyle w:val="T1"/>
        <w:spacing w:after="120"/>
        <w:jc w:val="left"/>
        <w:rPr>
          <w:b w:val="0"/>
          <w:bCs/>
          <w:sz w:val="24"/>
          <w:szCs w:val="18"/>
        </w:rPr>
      </w:pPr>
      <w:r>
        <w:rPr>
          <w:b w:val="0"/>
          <w:bCs/>
          <w:sz w:val="24"/>
          <w:szCs w:val="18"/>
        </w:rPr>
        <w:t xml:space="preserve">Note to editor </w:t>
      </w:r>
      <w:proofErr w:type="gramStart"/>
      <w:r>
        <w:rPr>
          <w:b w:val="0"/>
          <w:bCs/>
          <w:sz w:val="24"/>
          <w:szCs w:val="18"/>
        </w:rPr>
        <w:t>–“</w:t>
      </w:r>
      <w:proofErr w:type="gramEnd"/>
      <w:r>
        <w:rPr>
          <w:b w:val="0"/>
          <w:bCs/>
          <w:sz w:val="24"/>
          <w:szCs w:val="18"/>
        </w:rPr>
        <w:t>it’s” should be “its”</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lastRenderedPageBreak/>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407E93">
        <w:rPr>
          <w:b w:val="0"/>
          <w:bCs/>
          <w:sz w:val="24"/>
          <w:szCs w:val="18"/>
          <w:highlight w:val="green"/>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22F245BD"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r w:rsidR="005B0465">
        <w:rPr>
          <w:b w:val="0"/>
          <w:bCs/>
          <w:sz w:val="24"/>
          <w:szCs w:val="18"/>
        </w:rPr>
        <w:t xml:space="preserve"> But can do better.</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51D34563" w:rsidR="00326877" w:rsidRDefault="005B0465" w:rsidP="00326877">
      <w:pPr>
        <w:pStyle w:val="T1"/>
        <w:spacing w:after="120"/>
        <w:jc w:val="left"/>
        <w:rPr>
          <w:b w:val="0"/>
          <w:bCs/>
          <w:sz w:val="24"/>
          <w:szCs w:val="18"/>
        </w:rPr>
      </w:pPr>
      <w:r w:rsidRPr="005B0465">
        <w:rPr>
          <w:b w:val="0"/>
          <w:bCs/>
          <w:sz w:val="24"/>
          <w:szCs w:val="18"/>
          <w:highlight w:val="green"/>
        </w:rPr>
        <w:t>REVISE</w:t>
      </w:r>
    </w:p>
    <w:p w14:paraId="21360E94" w14:textId="47ACA67A" w:rsidR="00407E93" w:rsidRDefault="00407E93" w:rsidP="00326877">
      <w:pPr>
        <w:pStyle w:val="T1"/>
        <w:spacing w:after="120"/>
        <w:jc w:val="left"/>
        <w:rPr>
          <w:rFonts w:ascii="Calibri" w:hAnsi="Calibri" w:cs="Calibri"/>
          <w:color w:val="000000"/>
          <w:sz w:val="22"/>
          <w:szCs w:val="22"/>
        </w:rPr>
      </w:pPr>
      <w:r>
        <w:rPr>
          <w:rFonts w:ascii="Calibri" w:hAnsi="Calibri" w:cs="Calibri"/>
          <w:color w:val="000000"/>
          <w:sz w:val="22"/>
          <w:szCs w:val="22"/>
        </w:rPr>
        <w:t>A</w:t>
      </w:r>
      <w:r w:rsidR="005B0465">
        <w:rPr>
          <w:rFonts w:ascii="Calibri" w:hAnsi="Calibri" w:cs="Calibri"/>
          <w:color w:val="000000"/>
          <w:sz w:val="22"/>
          <w:szCs w:val="22"/>
        </w:rPr>
        <w:t>t</w:t>
      </w:r>
      <w:r>
        <w:rPr>
          <w:rFonts w:ascii="Calibri" w:hAnsi="Calibri" w:cs="Calibri"/>
          <w:color w:val="000000"/>
          <w:sz w:val="22"/>
          <w:szCs w:val="22"/>
        </w:rPr>
        <w:t xml:space="preserve"> P30.31 change Note to read:</w:t>
      </w:r>
    </w:p>
    <w:p w14:paraId="443559B8" w14:textId="76B11D08" w:rsidR="00407E93" w:rsidRPr="00407E93" w:rsidRDefault="00407E93" w:rsidP="00326877">
      <w:pPr>
        <w:pStyle w:val="T1"/>
        <w:spacing w:after="120"/>
        <w:jc w:val="left"/>
        <w:rPr>
          <w:b w:val="0"/>
          <w:bCs/>
        </w:rPr>
      </w:pPr>
      <w:r>
        <w:rPr>
          <w:b w:val="0"/>
          <w:bCs/>
          <w:color w:val="000000"/>
          <w:sz w:val="24"/>
          <w:szCs w:val="24"/>
        </w:rPr>
        <w:t>“</w:t>
      </w:r>
      <w:r w:rsidRPr="00407E93">
        <w:rPr>
          <w:b w:val="0"/>
          <w:bCs/>
          <w:color w:val="000000"/>
          <w:sz w:val="24"/>
          <w:szCs w:val="24"/>
        </w:rPr>
        <w:t>NOTE</w:t>
      </w:r>
      <w:r>
        <w:rPr>
          <w:b w:val="0"/>
          <w:bCs/>
          <w:color w:val="000000"/>
          <w:sz w:val="24"/>
          <w:szCs w:val="24"/>
        </w:rPr>
        <w:t xml:space="preserve"> – The </w:t>
      </w:r>
      <w:r w:rsidRPr="00407E93">
        <w:rPr>
          <w:b w:val="0"/>
          <w:bCs/>
          <w:color w:val="000000"/>
          <w:sz w:val="24"/>
          <w:szCs w:val="24"/>
        </w:rPr>
        <w:t xml:space="preserve">IRM </w:t>
      </w:r>
      <w:r>
        <w:rPr>
          <w:b w:val="0"/>
          <w:bCs/>
          <w:color w:val="000000"/>
          <w:sz w:val="24"/>
          <w:szCs w:val="24"/>
        </w:rPr>
        <w:t xml:space="preserve">mechanism </w:t>
      </w:r>
      <w:r w:rsidRPr="00407E93">
        <w:rPr>
          <w:b w:val="0"/>
          <w:bCs/>
          <w:color w:val="000000"/>
          <w:sz w:val="24"/>
          <w:szCs w:val="24"/>
        </w:rPr>
        <w:t xml:space="preserve">and </w:t>
      </w:r>
      <w:r w:rsidR="005B0465">
        <w:rPr>
          <w:b w:val="0"/>
          <w:bCs/>
          <w:color w:val="000000"/>
          <w:sz w:val="24"/>
          <w:szCs w:val="24"/>
        </w:rPr>
        <w:t xml:space="preserve">the </w:t>
      </w:r>
      <w:r w:rsidRPr="00407E93">
        <w:rPr>
          <w:b w:val="0"/>
          <w:bCs/>
          <w:color w:val="000000"/>
          <w:sz w:val="24"/>
          <w:szCs w:val="24"/>
        </w:rPr>
        <w:t xml:space="preserve">device ID </w:t>
      </w:r>
      <w:r>
        <w:rPr>
          <w:b w:val="0"/>
          <w:bCs/>
          <w:color w:val="000000"/>
          <w:sz w:val="24"/>
          <w:szCs w:val="24"/>
        </w:rPr>
        <w:t>mechanism</w:t>
      </w:r>
      <w:r w:rsidRPr="00407E93">
        <w:rPr>
          <w:b w:val="0"/>
          <w:bCs/>
          <w:color w:val="000000"/>
          <w:sz w:val="24"/>
          <w:szCs w:val="24"/>
        </w:rPr>
        <w:t xml:space="preserve"> </w:t>
      </w:r>
      <w:r w:rsidRPr="00407E93">
        <w:rPr>
          <w:b w:val="0"/>
          <w:bCs/>
          <w:color w:val="000000"/>
          <w:sz w:val="24"/>
          <w:szCs w:val="24"/>
        </w:rPr>
        <w:t>are independent</w:t>
      </w:r>
      <w:r w:rsidRPr="00407E93">
        <w:rPr>
          <w:b w:val="0"/>
          <w:bCs/>
          <w:color w:val="000000"/>
          <w:sz w:val="24"/>
          <w:szCs w:val="24"/>
        </w:rPr>
        <w:t xml:space="preserve">.  IRM </w:t>
      </w:r>
      <w:r w:rsidRPr="00407E93">
        <w:rPr>
          <w:b w:val="0"/>
          <w:bCs/>
          <w:color w:val="000000"/>
          <w:sz w:val="24"/>
          <w:szCs w:val="24"/>
        </w:rPr>
        <w:t>allow</w:t>
      </w:r>
      <w:r w:rsidRPr="00407E93">
        <w:rPr>
          <w:b w:val="0"/>
          <w:bCs/>
          <w:color w:val="000000"/>
          <w:sz w:val="24"/>
          <w:szCs w:val="24"/>
        </w:rPr>
        <w:t>s</w:t>
      </w:r>
      <w:r w:rsidRPr="00407E93">
        <w:rPr>
          <w:b w:val="0"/>
          <w:bCs/>
          <w:color w:val="000000"/>
          <w:sz w:val="24"/>
          <w:szCs w:val="24"/>
        </w:rPr>
        <w:t xml:space="preserve"> an AP to recognize a non-AP STA prior to </w:t>
      </w:r>
      <w:r w:rsidRPr="00407E93">
        <w:rPr>
          <w:b w:val="0"/>
          <w:bCs/>
          <w:color w:val="000000"/>
          <w:sz w:val="24"/>
          <w:szCs w:val="24"/>
        </w:rPr>
        <w:t xml:space="preserve">and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 xml:space="preserve">.  Device ID </w:t>
      </w:r>
      <w:r w:rsidRPr="00407E93">
        <w:rPr>
          <w:b w:val="0"/>
          <w:bCs/>
          <w:color w:val="000000"/>
          <w:sz w:val="24"/>
          <w:szCs w:val="24"/>
        </w:rPr>
        <w:t>allows an AP to</w:t>
      </w:r>
      <w:r w:rsidRPr="00407E93">
        <w:rPr>
          <w:b w:val="0"/>
          <w:bCs/>
          <w:color w:val="000000"/>
          <w:sz w:val="24"/>
          <w:szCs w:val="24"/>
        </w:rPr>
        <w:t xml:space="preserve"> </w:t>
      </w:r>
      <w:r w:rsidRPr="00407E93">
        <w:rPr>
          <w:b w:val="0"/>
          <w:bCs/>
          <w:color w:val="000000"/>
          <w:sz w:val="24"/>
          <w:szCs w:val="24"/>
        </w:rPr>
        <w:t xml:space="preserve">identify </w:t>
      </w:r>
      <w:r w:rsidRPr="00407E93">
        <w:rPr>
          <w:b w:val="0"/>
          <w:bCs/>
          <w:color w:val="000000"/>
          <w:sz w:val="24"/>
          <w:szCs w:val="24"/>
        </w:rPr>
        <w:t>a non-AP STA</w:t>
      </w:r>
      <w:r w:rsidRPr="00407E93">
        <w:rPr>
          <w:b w:val="0"/>
          <w:bCs/>
          <w:color w:val="000000"/>
          <w:sz w:val="24"/>
          <w:szCs w:val="24"/>
        </w:rPr>
        <w:t xml:space="preserve">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w:t>
      </w:r>
    </w:p>
    <w:p w14:paraId="4F4E1591" w14:textId="77777777" w:rsidR="00407E93" w:rsidRPr="00326877" w:rsidRDefault="00407E93" w:rsidP="00326877">
      <w:pPr>
        <w:pStyle w:val="T1"/>
        <w:spacing w:after="120"/>
        <w:jc w:val="left"/>
        <w:rPr>
          <w:b w:val="0"/>
          <w:bCs/>
          <w:sz w:val="24"/>
          <w:szCs w:val="18"/>
        </w:rPr>
      </w:pP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 xml:space="preserve">IRM operation is missing AP advertising </w:t>
            </w:r>
            <w:r>
              <w:rPr>
                <w:rFonts w:ascii="Calibri" w:hAnsi="Calibri" w:cs="Calibri"/>
                <w:color w:val="000000"/>
                <w:sz w:val="22"/>
                <w:szCs w:val="22"/>
              </w:rPr>
              <w:lastRenderedPageBreak/>
              <w:t>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lastRenderedPageBreak/>
              <w:t>Add this sentence (preferably at the beginning of 12.2.12.2 Identifiable random MAC address (IRM) operation):</w:t>
            </w:r>
            <w:r>
              <w:rPr>
                <w:rFonts w:ascii="Calibri" w:hAnsi="Calibri" w:cs="Calibri"/>
                <w:color w:val="000000"/>
                <w:sz w:val="22"/>
                <w:szCs w:val="22"/>
              </w:rPr>
              <w:br/>
              <w:t xml:space="preserve">An AP that has dot11IRMActivated equal to true advertises </w:t>
            </w:r>
            <w:r>
              <w:rPr>
                <w:rFonts w:ascii="Calibri" w:hAnsi="Calibri" w:cs="Calibri"/>
                <w:color w:val="000000"/>
                <w:sz w:val="22"/>
                <w:szCs w:val="22"/>
              </w:rPr>
              <w:lastRenderedPageBreak/>
              <w:t>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lastRenderedPageBreak/>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5B0465">
        <w:rPr>
          <w:b w:val="0"/>
          <w:bCs/>
          <w:sz w:val="24"/>
          <w:szCs w:val="18"/>
          <w:highlight w:val="green"/>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275CF1C4" w14:textId="2E4E608E" w:rsidR="0033282B" w:rsidRDefault="0033282B" w:rsidP="007D09F9">
      <w:pPr>
        <w:autoSpaceDE w:val="0"/>
        <w:autoSpaceDN w:val="0"/>
        <w:adjustRightInd w:val="0"/>
        <w:rPr>
          <w:rFonts w:eastAsia="TimesNewRoman"/>
          <w:sz w:val="24"/>
          <w:szCs w:val="24"/>
          <w:lang w:val="en-US" w:eastAsia="ja-JP"/>
        </w:rPr>
      </w:pPr>
      <w:proofErr w:type="spellStart"/>
      <w:r>
        <w:rPr>
          <w:rFonts w:eastAsia="TimesNewRoman"/>
          <w:sz w:val="24"/>
          <w:szCs w:val="24"/>
          <w:lang w:val="en-US" w:eastAsia="ja-JP"/>
        </w:rPr>
        <w:t>Preseent</w:t>
      </w:r>
      <w:proofErr w:type="spellEnd"/>
      <w:r>
        <w:rPr>
          <w:rFonts w:eastAsia="TimesNewRoman"/>
          <w:sz w:val="24"/>
          <w:szCs w:val="24"/>
          <w:lang w:val="en-US" w:eastAsia="ja-JP"/>
        </w:rPr>
        <w:t xml:space="preserve"> text:</w:t>
      </w:r>
    </w:p>
    <w:p w14:paraId="15DBF109" w14:textId="01ECCC81" w:rsidR="007D09F9" w:rsidRPr="007D09F9" w:rsidRDefault="0033282B" w:rsidP="007D09F9">
      <w:pPr>
        <w:autoSpaceDE w:val="0"/>
        <w:autoSpaceDN w:val="0"/>
        <w:adjustRightInd w:val="0"/>
        <w:rPr>
          <w:b/>
          <w:bCs/>
          <w:sz w:val="32"/>
          <w:szCs w:val="22"/>
        </w:rPr>
      </w:pPr>
      <w:r>
        <w:rPr>
          <w:rFonts w:eastAsia="TimesNewRoman"/>
          <w:sz w:val="24"/>
          <w:szCs w:val="24"/>
          <w:lang w:val="en-US" w:eastAsia="ja-JP"/>
        </w:rPr>
        <w:t>“</w:t>
      </w:r>
      <w:r w:rsidR="007D09F9" w:rsidRPr="007D09F9">
        <w:rPr>
          <w:rFonts w:eastAsia="TimesNewRoman"/>
          <w:sz w:val="24"/>
          <w:szCs w:val="24"/>
          <w:lang w:val="en-US" w:eastAsia="ja-JP"/>
        </w:rPr>
        <w:t>A non-AP STA that has dot11IRMActivated equal to true indicates activation of the IRM mechanism by</w:t>
      </w:r>
      <w:r w:rsidR="007D09F9" w:rsidRPr="007D09F9">
        <w:rPr>
          <w:rFonts w:eastAsia="TimesNewRoman"/>
          <w:sz w:val="24"/>
          <w:szCs w:val="24"/>
          <w:lang w:val="en-US" w:eastAsia="ja-JP"/>
        </w:rPr>
        <w:t xml:space="preserve"> </w:t>
      </w:r>
      <w:r w:rsidR="007D09F9" w:rsidRPr="007D09F9">
        <w:rPr>
          <w:rFonts w:eastAsia="TimesNewRoman"/>
          <w:sz w:val="24"/>
          <w:szCs w:val="24"/>
          <w:lang w:val="en-US" w:eastAsia="ja-JP"/>
        </w:rPr>
        <w:t>setting the IRM Active field to 1 in the Extended RSN Capabilities field in (Re)Association Request frames or</w:t>
      </w:r>
      <w:r w:rsidR="007D09F9" w:rsidRPr="007D09F9">
        <w:rPr>
          <w:rFonts w:eastAsia="TimesNewRoman"/>
          <w:sz w:val="24"/>
          <w:szCs w:val="24"/>
          <w:lang w:val="en-US" w:eastAsia="ja-JP"/>
        </w:rPr>
        <w:t xml:space="preserve"> </w:t>
      </w:r>
      <w:r w:rsidR="007D09F9" w:rsidRPr="007D09F9">
        <w:rPr>
          <w:rFonts w:eastAsia="TimesNewRoman"/>
          <w:sz w:val="24"/>
          <w:szCs w:val="24"/>
          <w:lang w:val="en-US" w:eastAsia="ja-JP"/>
        </w:rPr>
        <w:t>the first PASN frame sent to any AP in an ESS that has dot11IRMActivated equal to true.</w:t>
      </w:r>
      <w:r>
        <w:rPr>
          <w:rFonts w:eastAsia="TimesNewRoman"/>
          <w:sz w:val="24"/>
          <w:szCs w:val="24"/>
          <w:lang w:val="en-US" w:eastAsia="ja-JP"/>
        </w:rPr>
        <w:t>”</w:t>
      </w:r>
    </w:p>
    <w:p w14:paraId="5FA76635" w14:textId="77777777" w:rsidR="0033282B" w:rsidRDefault="0033282B" w:rsidP="0033282B">
      <w:pPr>
        <w:pStyle w:val="T1"/>
        <w:spacing w:after="120"/>
        <w:jc w:val="left"/>
        <w:rPr>
          <w:b w:val="0"/>
          <w:bCs/>
          <w:sz w:val="24"/>
          <w:szCs w:val="18"/>
        </w:rPr>
      </w:pPr>
    </w:p>
    <w:p w14:paraId="63CD70D2" w14:textId="0FDB004E" w:rsidR="0033282B" w:rsidRDefault="0033282B" w:rsidP="0033282B">
      <w:pPr>
        <w:pStyle w:val="T1"/>
        <w:spacing w:after="120"/>
        <w:jc w:val="left"/>
        <w:rPr>
          <w:b w:val="0"/>
          <w:bCs/>
          <w:sz w:val="24"/>
          <w:szCs w:val="18"/>
        </w:rPr>
      </w:pPr>
      <w:r>
        <w:rPr>
          <w:b w:val="0"/>
          <w:bCs/>
          <w:sz w:val="24"/>
          <w:szCs w:val="18"/>
        </w:rPr>
        <w:t xml:space="preserve">Intention of this text is that the indication of IRM activated is sent to any AP in an ESS, where </w:t>
      </w:r>
      <w:r w:rsidRPr="0033282B">
        <w:rPr>
          <w:b w:val="0"/>
          <w:bCs/>
          <w:sz w:val="24"/>
          <w:szCs w:val="18"/>
          <w:u w:val="single"/>
        </w:rPr>
        <w:t>all the APs in the ESS</w:t>
      </w:r>
      <w:r>
        <w:rPr>
          <w:b w:val="0"/>
          <w:bCs/>
          <w:sz w:val="24"/>
          <w:szCs w:val="18"/>
        </w:rPr>
        <w:t xml:space="preserve"> have </w:t>
      </w:r>
      <w:r w:rsidRPr="0033282B">
        <w:rPr>
          <w:rFonts w:eastAsia="TimesNewRoman"/>
          <w:b w:val="0"/>
          <w:bCs/>
          <w:sz w:val="24"/>
          <w:szCs w:val="24"/>
          <w:lang w:val="en-US" w:eastAsia="ja-JP"/>
        </w:rPr>
        <w:t>dot11IRMActivated equal to true</w:t>
      </w:r>
      <w:r>
        <w:rPr>
          <w:rFonts w:eastAsia="TimesNewRoman"/>
          <w:sz w:val="24"/>
          <w:szCs w:val="24"/>
          <w:lang w:val="en-US" w:eastAsia="ja-JP"/>
        </w:rPr>
        <w:t>.</w:t>
      </w:r>
    </w:p>
    <w:p w14:paraId="301DB108" w14:textId="77777777" w:rsidR="007D09F9" w:rsidRDefault="007D09F9" w:rsidP="006A1E43">
      <w:pPr>
        <w:pStyle w:val="T1"/>
        <w:spacing w:after="120"/>
        <w:jc w:val="left"/>
        <w:rPr>
          <w:b w:val="0"/>
          <w:bCs/>
          <w:sz w:val="24"/>
          <w:szCs w:val="18"/>
        </w:rPr>
      </w:pPr>
    </w:p>
    <w:p w14:paraId="4E6BD764" w14:textId="24FBD3A0" w:rsidR="007D09F9" w:rsidRDefault="0033282B" w:rsidP="006A1E43">
      <w:pPr>
        <w:pStyle w:val="T1"/>
        <w:spacing w:after="120"/>
        <w:jc w:val="left"/>
        <w:rPr>
          <w:b w:val="0"/>
          <w:bCs/>
          <w:sz w:val="24"/>
          <w:szCs w:val="18"/>
        </w:rPr>
      </w:pPr>
      <w:r>
        <w:rPr>
          <w:b w:val="0"/>
          <w:bCs/>
          <w:sz w:val="24"/>
          <w:szCs w:val="18"/>
        </w:rPr>
        <w:t>Could it be better written?</w:t>
      </w:r>
      <w:r w:rsidR="00027E42">
        <w:rPr>
          <w:b w:val="0"/>
          <w:bCs/>
          <w:sz w:val="24"/>
          <w:szCs w:val="18"/>
        </w:rPr>
        <w:t xml:space="preserve">  </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2ACB8AF2" w:rsidR="000118E5" w:rsidRDefault="006047CA" w:rsidP="006A1E43">
      <w:pPr>
        <w:pStyle w:val="T1"/>
        <w:spacing w:after="120"/>
        <w:jc w:val="left"/>
        <w:rPr>
          <w:b w:val="0"/>
          <w:bCs/>
          <w:sz w:val="24"/>
          <w:szCs w:val="18"/>
        </w:rPr>
      </w:pPr>
      <w:r>
        <w:rPr>
          <w:b w:val="0"/>
          <w:bCs/>
          <w:sz w:val="24"/>
          <w:szCs w:val="18"/>
        </w:rPr>
        <w:t>RE</w:t>
      </w:r>
      <w:r w:rsidR="0033282B">
        <w:rPr>
          <w:b w:val="0"/>
          <w:bCs/>
          <w:sz w:val="24"/>
          <w:szCs w:val="18"/>
        </w:rPr>
        <w:t>VISE</w:t>
      </w:r>
    </w:p>
    <w:p w14:paraId="16A832D6" w14:textId="77777777" w:rsidR="0033282B" w:rsidRDefault="0033282B" w:rsidP="006A1E43">
      <w:pPr>
        <w:pStyle w:val="T1"/>
        <w:spacing w:after="120"/>
        <w:jc w:val="left"/>
        <w:rPr>
          <w:b w:val="0"/>
          <w:bCs/>
          <w:sz w:val="24"/>
          <w:szCs w:val="18"/>
        </w:rPr>
      </w:pPr>
    </w:p>
    <w:p w14:paraId="67C903E6" w14:textId="64E94119" w:rsidR="0033282B" w:rsidRDefault="0033282B" w:rsidP="006A1E43">
      <w:pPr>
        <w:pStyle w:val="T1"/>
        <w:spacing w:after="120"/>
        <w:jc w:val="left"/>
        <w:rPr>
          <w:b w:val="0"/>
          <w:bCs/>
          <w:sz w:val="24"/>
          <w:szCs w:val="18"/>
        </w:rPr>
      </w:pPr>
      <w:r>
        <w:rPr>
          <w:b w:val="0"/>
          <w:bCs/>
          <w:sz w:val="24"/>
          <w:szCs w:val="18"/>
        </w:rPr>
        <w:t>At P32.60 edit as follows:</w:t>
      </w:r>
    </w:p>
    <w:p w14:paraId="10E11690" w14:textId="6BF274BE" w:rsidR="0033282B" w:rsidRPr="007D09F9" w:rsidRDefault="0033282B" w:rsidP="0033282B">
      <w:pPr>
        <w:autoSpaceDE w:val="0"/>
        <w:autoSpaceDN w:val="0"/>
        <w:adjustRightInd w:val="0"/>
        <w:rPr>
          <w:b/>
          <w:bCs/>
          <w:sz w:val="32"/>
          <w:szCs w:val="22"/>
        </w:rPr>
      </w:pPr>
      <w:r w:rsidRPr="007D09F9">
        <w:rPr>
          <w:rFonts w:eastAsia="TimesNewRoman"/>
          <w:sz w:val="24"/>
          <w:szCs w:val="24"/>
          <w:lang w:val="en-US" w:eastAsia="ja-JP"/>
        </w:rPr>
        <w:t xml:space="preserve">A non-AP STA that has dot11IRMActivated equal to true indicates activation of the IRM mechanism by setting the IRM Active field to 1 in </w:t>
      </w:r>
      <w:r w:rsidRPr="0033282B">
        <w:rPr>
          <w:rFonts w:eastAsia="TimesNewRoman"/>
          <w:color w:val="FF0000"/>
          <w:sz w:val="24"/>
          <w:szCs w:val="24"/>
          <w:u w:val="single"/>
          <w:lang w:val="en-US" w:eastAsia="ja-JP"/>
        </w:rPr>
        <w:t>either</w:t>
      </w:r>
      <w:r>
        <w:rPr>
          <w:rFonts w:eastAsia="TimesNewRoman"/>
          <w:sz w:val="24"/>
          <w:szCs w:val="24"/>
          <w:lang w:val="en-US" w:eastAsia="ja-JP"/>
        </w:rPr>
        <w:t xml:space="preserve"> </w:t>
      </w:r>
      <w:r w:rsidRPr="007D09F9">
        <w:rPr>
          <w:rFonts w:eastAsia="TimesNewRoman"/>
          <w:sz w:val="24"/>
          <w:szCs w:val="24"/>
          <w:lang w:val="en-US" w:eastAsia="ja-JP"/>
        </w:rPr>
        <w:t>the Extended RSN Capabilities field in (Re)Association Request frames or the first PASN frame</w:t>
      </w:r>
      <w:r w:rsidR="00A43CAB">
        <w:rPr>
          <w:rFonts w:eastAsia="TimesNewRoman"/>
          <w:sz w:val="24"/>
          <w:szCs w:val="24"/>
          <w:lang w:val="en-US" w:eastAsia="ja-JP"/>
        </w:rPr>
        <w:t xml:space="preserve"> </w:t>
      </w:r>
      <w:r w:rsidR="00A43CAB" w:rsidRPr="00A43CAB">
        <w:rPr>
          <w:rFonts w:eastAsia="TimesNewRoman"/>
          <w:color w:val="FF0000"/>
          <w:sz w:val="24"/>
          <w:szCs w:val="24"/>
          <w:u w:val="single"/>
          <w:lang w:val="en-US" w:eastAsia="ja-JP"/>
        </w:rPr>
        <w:t>tha</w:t>
      </w:r>
      <w:r w:rsidRPr="00A43CAB">
        <w:rPr>
          <w:rFonts w:eastAsia="TimesNewRoman"/>
          <w:color w:val="FF0000"/>
          <w:sz w:val="24"/>
          <w:szCs w:val="24"/>
          <w:u w:val="single"/>
          <w:lang w:val="en-US" w:eastAsia="ja-JP"/>
        </w:rPr>
        <w:t>t is</w:t>
      </w:r>
      <w:r w:rsidRPr="0033282B">
        <w:rPr>
          <w:rFonts w:eastAsia="TimesNewRoman"/>
          <w:color w:val="FF0000"/>
          <w:sz w:val="24"/>
          <w:szCs w:val="24"/>
          <w:lang w:val="en-US" w:eastAsia="ja-JP"/>
        </w:rPr>
        <w:t xml:space="preserve"> </w:t>
      </w:r>
      <w:r w:rsidRPr="007D09F9">
        <w:rPr>
          <w:rFonts w:eastAsia="TimesNewRoman"/>
          <w:sz w:val="24"/>
          <w:szCs w:val="24"/>
          <w:lang w:val="en-US" w:eastAsia="ja-JP"/>
        </w:rPr>
        <w:t>sent to any AP in an ESS that has dot11IRMActivated equal to true.</w:t>
      </w:r>
    </w:p>
    <w:p w14:paraId="6B5A3C60" w14:textId="77777777" w:rsidR="0033282B" w:rsidRDefault="0033282B" w:rsidP="006A1E43">
      <w:pPr>
        <w:pStyle w:val="T1"/>
        <w:spacing w:after="120"/>
        <w:jc w:val="left"/>
        <w:rPr>
          <w:b w:val="0"/>
          <w:bCs/>
          <w:sz w:val="24"/>
          <w:szCs w:val="18"/>
        </w:rPr>
      </w:pPr>
    </w:p>
    <w:p w14:paraId="2C60F7F7" w14:textId="7C84F5C1" w:rsidR="00A43CAB" w:rsidRDefault="00A43CAB" w:rsidP="006A1E43">
      <w:pPr>
        <w:pStyle w:val="T1"/>
        <w:spacing w:after="120"/>
        <w:jc w:val="left"/>
        <w:rPr>
          <w:b w:val="0"/>
          <w:bCs/>
          <w:sz w:val="24"/>
          <w:szCs w:val="18"/>
        </w:rPr>
      </w:pPr>
      <w:r>
        <w:rPr>
          <w:b w:val="0"/>
          <w:bCs/>
          <w:sz w:val="24"/>
          <w:szCs w:val="18"/>
        </w:rPr>
        <w:t>At P30.43 edit as follows</w:t>
      </w:r>
    </w:p>
    <w:p w14:paraId="3FF6FE20" w14:textId="77777777" w:rsidR="00A43CAB" w:rsidRPr="00A43CAB" w:rsidRDefault="00A43CAB" w:rsidP="00A43CAB">
      <w:pPr>
        <w:autoSpaceDE w:val="0"/>
        <w:autoSpaceDN w:val="0"/>
        <w:adjustRightInd w:val="0"/>
        <w:rPr>
          <w:rFonts w:eastAsia="TimesNewRoman"/>
          <w:sz w:val="24"/>
          <w:szCs w:val="24"/>
          <w:lang w:val="en-US" w:eastAsia="ja-JP"/>
        </w:rPr>
      </w:pPr>
      <w:r w:rsidRPr="00A43CAB">
        <w:rPr>
          <w:rFonts w:eastAsia="TimesNewRoman"/>
          <w:sz w:val="24"/>
          <w:szCs w:val="24"/>
          <w:lang w:val="en-US" w:eastAsia="ja-JP"/>
        </w:rPr>
        <w:t xml:space="preserve">A non-AP STA that has dot11DeviceIDActivated equal to true, indicates activation of the device </w:t>
      </w:r>
      <w:proofErr w:type="gramStart"/>
      <w:r w:rsidRPr="00A43CAB">
        <w:rPr>
          <w:rFonts w:eastAsia="TimesNewRoman"/>
          <w:sz w:val="24"/>
          <w:szCs w:val="24"/>
          <w:lang w:val="en-US" w:eastAsia="ja-JP"/>
        </w:rPr>
        <w:t>ID</w:t>
      </w:r>
      <w:proofErr w:type="gramEnd"/>
    </w:p>
    <w:p w14:paraId="21C0D12A" w14:textId="4F759223" w:rsidR="00A43CAB" w:rsidRPr="00A43CAB" w:rsidRDefault="00A43CAB" w:rsidP="00A43CAB">
      <w:pPr>
        <w:autoSpaceDE w:val="0"/>
        <w:autoSpaceDN w:val="0"/>
        <w:adjustRightInd w:val="0"/>
        <w:rPr>
          <w:b/>
          <w:bCs/>
          <w:sz w:val="32"/>
          <w:szCs w:val="22"/>
        </w:rPr>
      </w:pPr>
      <w:r w:rsidRPr="00A43CAB">
        <w:rPr>
          <w:rFonts w:eastAsia="TimesNewRoman"/>
          <w:sz w:val="24"/>
          <w:szCs w:val="24"/>
          <w:lang w:val="en-US" w:eastAsia="ja-JP"/>
        </w:rPr>
        <w:lastRenderedPageBreak/>
        <w:t xml:space="preserve">mechanism by setting the Device ID Active field to 1 in </w:t>
      </w:r>
      <w:r w:rsidRPr="00A43CAB">
        <w:rPr>
          <w:rFonts w:eastAsia="TimesNewRoman"/>
          <w:color w:val="FF0000"/>
          <w:sz w:val="24"/>
          <w:szCs w:val="24"/>
          <w:u w:val="single"/>
          <w:lang w:val="en-US" w:eastAsia="ja-JP"/>
        </w:rPr>
        <w:t xml:space="preserve">either </w:t>
      </w:r>
      <w:r w:rsidRPr="00A43CAB">
        <w:rPr>
          <w:rFonts w:eastAsia="TimesNewRoman"/>
          <w:sz w:val="24"/>
          <w:szCs w:val="24"/>
          <w:lang w:val="en-US" w:eastAsia="ja-JP"/>
        </w:rPr>
        <w:t>the Extended RSN Capabilities field in</w:t>
      </w:r>
      <w:r>
        <w:rPr>
          <w:rFonts w:eastAsia="TimesNewRoman"/>
          <w:sz w:val="24"/>
          <w:szCs w:val="24"/>
          <w:lang w:val="en-US" w:eastAsia="ja-JP"/>
        </w:rPr>
        <w:t xml:space="preserve"> </w:t>
      </w:r>
      <w:r w:rsidRPr="00A43CAB">
        <w:rPr>
          <w:rFonts w:eastAsia="TimesNewRoman"/>
          <w:sz w:val="24"/>
          <w:szCs w:val="24"/>
          <w:lang w:val="en-US" w:eastAsia="ja-JP"/>
        </w:rPr>
        <w:t>(Re)Association Request frames or the first PASN frame</w:t>
      </w:r>
      <w:r w:rsidRPr="00A43CAB">
        <w:rPr>
          <w:rFonts w:eastAsia="TimesNewRoman"/>
          <w:color w:val="FF0000"/>
          <w:sz w:val="24"/>
          <w:szCs w:val="24"/>
          <w:lang w:val="en-US" w:eastAsia="ja-JP"/>
        </w:rPr>
        <w:t xml:space="preserve"> that is </w:t>
      </w:r>
      <w:r w:rsidRPr="00A43CAB">
        <w:rPr>
          <w:rFonts w:eastAsia="TimesNewRoman"/>
          <w:sz w:val="24"/>
          <w:szCs w:val="24"/>
          <w:lang w:val="en-US" w:eastAsia="ja-JP"/>
        </w:rPr>
        <w:t>sent to any AP in an ESS that has</w:t>
      </w:r>
      <w:r>
        <w:rPr>
          <w:rFonts w:eastAsia="TimesNewRoman"/>
          <w:sz w:val="24"/>
          <w:szCs w:val="24"/>
          <w:lang w:val="en-US" w:eastAsia="ja-JP"/>
        </w:rPr>
        <w:t xml:space="preserve"> </w:t>
      </w:r>
      <w:r w:rsidRPr="00A43CAB">
        <w:rPr>
          <w:rFonts w:eastAsia="TimesNewRoman"/>
          <w:sz w:val="24"/>
          <w:szCs w:val="24"/>
          <w:lang w:val="en-US" w:eastAsia="ja-JP"/>
        </w:rPr>
        <w:t>dot11DeviceIDActivated equal to true.</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lastRenderedPageBreak/>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lastRenderedPageBreak/>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36B50E47" w:rsidR="00D84BFD" w:rsidRDefault="00D84BFD" w:rsidP="006A1E43">
      <w:pPr>
        <w:pStyle w:val="T1"/>
        <w:spacing w:after="120"/>
        <w:jc w:val="left"/>
        <w:rPr>
          <w:b w:val="0"/>
          <w:bCs/>
          <w:sz w:val="24"/>
          <w:szCs w:val="18"/>
        </w:rPr>
      </w:pPr>
      <w:r>
        <w:rPr>
          <w:b w:val="0"/>
          <w:bCs/>
          <w:sz w:val="24"/>
          <w:szCs w:val="18"/>
        </w:rPr>
        <w:t>How do the other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lastRenderedPageBreak/>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5AF18445"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 xml:space="preserve">If a duplicate IRM is detected by the AP, it doesn't make sense for it not to notify the non-AP STA. Hence, I think this requirement should be a "shall" </w:t>
            </w:r>
            <w:r>
              <w:rPr>
                <w:rFonts w:ascii="Calibri" w:hAnsi="Calibri" w:cs="Calibri"/>
                <w:color w:val="000000"/>
                <w:sz w:val="22"/>
                <w:szCs w:val="22"/>
              </w:rPr>
              <w:lastRenderedPageBreak/>
              <w:t>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lastRenderedPageBreak/>
              <w:t xml:space="preserve">Replace: "... after association or authentication using PASN, the AP may send a Duplicate IRM </w:t>
            </w:r>
            <w:r>
              <w:rPr>
                <w:rFonts w:ascii="Calibri" w:hAnsi="Calibri" w:cs="Calibri"/>
                <w:color w:val="000000"/>
                <w:sz w:val="22"/>
                <w:szCs w:val="22"/>
              </w:rPr>
              <w:lastRenderedPageBreak/>
              <w:t>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lastRenderedPageBreak/>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lastRenderedPageBreak/>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lastRenderedPageBreak/>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lastRenderedPageBreak/>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3A4A46E4" w14:textId="226C6043" w:rsidR="005251C1" w:rsidRDefault="005F6DD7" w:rsidP="005251C1">
      <w:pPr>
        <w:pStyle w:val="T1"/>
        <w:spacing w:after="120"/>
        <w:jc w:val="left"/>
        <w:rPr>
          <w:b w:val="0"/>
          <w:bCs/>
          <w:sz w:val="24"/>
          <w:szCs w:val="18"/>
        </w:rPr>
      </w:pPr>
      <w:r>
        <w:rPr>
          <w:b w:val="0"/>
          <w:bCs/>
          <w:sz w:val="24"/>
          <w:szCs w:val="18"/>
        </w:rPr>
        <w:t>REJECT</w:t>
      </w:r>
    </w:p>
    <w:p w14:paraId="46A46064" w14:textId="7C981730" w:rsidR="005251C1" w:rsidRDefault="005251C1" w:rsidP="006A1E43">
      <w:pPr>
        <w:pStyle w:val="T1"/>
        <w:spacing w:after="120"/>
        <w:jc w:val="left"/>
        <w:rPr>
          <w:b w:val="0"/>
          <w:bCs/>
          <w:sz w:val="24"/>
          <w:szCs w:val="18"/>
        </w:rPr>
      </w:pPr>
      <w:r>
        <w:rPr>
          <w:b w:val="0"/>
          <w:bCs/>
          <w:sz w:val="24"/>
          <w:szCs w:val="18"/>
        </w:rPr>
        <w:t>The term “as its TA” is well defined and is use as address 2 covered elsewhere.</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lastRenderedPageBreak/>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F115888" w:rsidR="00326545" w:rsidRPr="00605630" w:rsidRDefault="00326545" w:rsidP="00326545">
      <w:pPr>
        <w:pStyle w:val="T1"/>
        <w:spacing w:after="120"/>
        <w:jc w:val="left"/>
        <w:rPr>
          <w:b w:val="0"/>
          <w:bCs/>
          <w:sz w:val="24"/>
          <w:szCs w:val="24"/>
        </w:rPr>
      </w:pPr>
      <w:r w:rsidRPr="00605630">
        <w:rPr>
          <w:b w:val="0"/>
          <w:bCs/>
          <w:sz w:val="24"/>
          <w:szCs w:val="24"/>
        </w:rPr>
        <w:t>At P34.25 Replace “detected” with “</w:t>
      </w:r>
      <w:r w:rsidR="005251C1">
        <w:rPr>
          <w:b w:val="0"/>
          <w:bCs/>
          <w:sz w:val="24"/>
          <w:szCs w:val="24"/>
        </w:rPr>
        <w:t>recognized</w:t>
      </w:r>
      <w:r w:rsidRPr="00605630">
        <w:rPr>
          <w:b w:val="0"/>
          <w:bCs/>
          <w:sz w:val="24"/>
          <w:szCs w:val="24"/>
        </w:rPr>
        <w:t>”.</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lastRenderedPageBreak/>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911B49">
        <w:rPr>
          <w:rFonts w:eastAsia="TimesNewRoman"/>
          <w:color w:val="FF0000"/>
          <w:sz w:val="24"/>
          <w:szCs w:val="24"/>
          <w:u w:val="single"/>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C269BD">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60C0" w14:textId="77777777" w:rsidR="00C269BD" w:rsidRDefault="00C269BD">
      <w:r>
        <w:separator/>
      </w:r>
    </w:p>
  </w:endnote>
  <w:endnote w:type="continuationSeparator" w:id="0">
    <w:p w14:paraId="1AFB947F" w14:textId="77777777" w:rsidR="00C269BD" w:rsidRDefault="00C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5198" w14:textId="77777777" w:rsidR="00C269BD" w:rsidRDefault="00C269BD">
      <w:r>
        <w:separator/>
      </w:r>
    </w:p>
  </w:footnote>
  <w:footnote w:type="continuationSeparator" w:id="0">
    <w:p w14:paraId="6579B728" w14:textId="77777777" w:rsidR="00C269BD" w:rsidRDefault="00C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4536F9E4"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B4086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E7E4A01"/>
    <w:multiLevelType w:val="hybridMultilevel"/>
    <w:tmpl w:val="12B28B76"/>
    <w:lvl w:ilvl="0" w:tplc="E03C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1"/>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10"/>
  </w:num>
  <w:num w:numId="21" w16cid:durableId="748695017">
    <w:abstractNumId w:val="3"/>
  </w:num>
  <w:num w:numId="22" w16cid:durableId="13044339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27E42"/>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63F3"/>
    <w:rsid w:val="00177BBB"/>
    <w:rsid w:val="00180818"/>
    <w:rsid w:val="001818D7"/>
    <w:rsid w:val="001819C3"/>
    <w:rsid w:val="00181FBA"/>
    <w:rsid w:val="00182A6B"/>
    <w:rsid w:val="00183B75"/>
    <w:rsid w:val="00184584"/>
    <w:rsid w:val="00184F25"/>
    <w:rsid w:val="001861B8"/>
    <w:rsid w:val="00186779"/>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936"/>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82B"/>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6367"/>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07E93"/>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1C1"/>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3A8"/>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465"/>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CA"/>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9A7"/>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37B"/>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09F9"/>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CD8"/>
    <w:rsid w:val="009A2D7C"/>
    <w:rsid w:val="009A2D90"/>
    <w:rsid w:val="009A372E"/>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3CAB"/>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3BC2"/>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933"/>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86F"/>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3ED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69BD"/>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0A1"/>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D7EDE"/>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55A8"/>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22</Pages>
  <Words>6364</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2024-01-16T21:07:00Z</dcterms:created>
  <dcterms:modified xsi:type="dcterms:W3CDTF">2024-01-16T21:07:00Z</dcterms:modified>
</cp:coreProperties>
</file>