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BC24BDC" w:rsidR="00BF369F" w:rsidRPr="006640F8" w:rsidRDefault="00104F8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Transmit Power Envelope </w:t>
            </w:r>
            <w:proofErr w:type="spellStart"/>
            <w:r>
              <w:rPr>
                <w:lang w:val="en-US" w:eastAsia="ko-KR"/>
              </w:rPr>
              <w:t>Subelement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003E845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8C3C78">
        <w:rPr>
          <w:lang w:eastAsia="ko-KR"/>
        </w:rPr>
        <w:t xml:space="preserve">a change of to </w:t>
      </w:r>
      <w:r w:rsidR="00C055FF">
        <w:rPr>
          <w:lang w:eastAsia="ko-KR"/>
        </w:rPr>
        <w:t>indicate s</w:t>
      </w:r>
      <w:r w:rsidR="008C3C78">
        <w:rPr>
          <w:lang w:eastAsia="ko-KR"/>
        </w:rPr>
        <w:t xml:space="preserve">upport for </w:t>
      </w:r>
      <w:r w:rsidR="00C055FF">
        <w:rPr>
          <w:lang w:eastAsia="ko-KR"/>
        </w:rPr>
        <w:t>mandatory/optional puncturing patterns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05070A">
        <w:rPr>
          <w:lang w:eastAsia="ko-KR"/>
        </w:rPr>
        <w:t xml:space="preserve">IEEE802.11az-2022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616A24BC" w:rsidR="00344704" w:rsidRPr="000070F9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1044</w:t>
            </w:r>
          </w:p>
        </w:tc>
        <w:tc>
          <w:tcPr>
            <w:tcW w:w="720" w:type="dxa"/>
          </w:tcPr>
          <w:p w14:paraId="0E94156B" w14:textId="630093A2" w:rsidR="00344704" w:rsidRDefault="00344704" w:rsidP="003B10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4.14</w:t>
            </w:r>
          </w:p>
        </w:tc>
        <w:tc>
          <w:tcPr>
            <w:tcW w:w="810" w:type="dxa"/>
          </w:tcPr>
          <w:p w14:paraId="62067120" w14:textId="56A552AD" w:rsidR="00344704" w:rsidRDefault="00344704" w:rsidP="003B10F8">
            <w:pPr>
              <w:rPr>
                <w:rFonts w:ascii="Arial" w:hAnsi="Arial" w:cs="Arial"/>
                <w:sz w:val="20"/>
              </w:rPr>
            </w:pPr>
            <w:r w:rsidRPr="00344704">
              <w:rPr>
                <w:rFonts w:ascii="Arial" w:hAnsi="Arial" w:cs="Arial"/>
                <w:sz w:val="20"/>
              </w:rPr>
              <w:t>9.4.2.298</w:t>
            </w:r>
          </w:p>
        </w:tc>
        <w:tc>
          <w:tcPr>
            <w:tcW w:w="2965" w:type="dxa"/>
          </w:tcPr>
          <w:p w14:paraId="2C2ECEDD" w14:textId="1452158C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"The Transmit Power Envelope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has the same definition as the Transmit Power Envelope element" - how can a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be an element? The table specifies </w:t>
            </w:r>
            <w:proofErr w:type="spellStart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>subelement</w:t>
            </w:r>
            <w:proofErr w:type="spellEnd"/>
            <w:r w:rsidRPr="0034470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ID 3, but this element has ID 195 - In my mind this needs at least a wrapper.</w:t>
            </w:r>
          </w:p>
        </w:tc>
        <w:tc>
          <w:tcPr>
            <w:tcW w:w="2255" w:type="dxa"/>
          </w:tcPr>
          <w:p w14:paraId="1AC2BFE4" w14:textId="32522312" w:rsidR="00344704" w:rsidRPr="000070F9" w:rsidRDefault="0034470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344704">
              <w:rPr>
                <w:rFonts w:ascii="Arial" w:hAnsi="Arial" w:cs="Arial"/>
                <w:color w:val="000000"/>
                <w:szCs w:val="18"/>
              </w:rPr>
              <w:t>Create a wrapper with ID 3 and length that hold this Transmit Power Envelope element inside; alternatively remove this from Ranging Parameters element and include as a separate element in the frame(s) in question.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C936CC6" w14:textId="17C0D0D5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see changes in document:</w:t>
            </w:r>
          </w:p>
          <w:p w14:paraId="42ED9EB7" w14:textId="5B182AE2" w:rsidR="00344704" w:rsidRPr="00055EB2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26034A6D" w:rsidR="00344704" w:rsidRPr="009D488E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22B0889" w14:textId="4A792EC0" w:rsidR="00344704" w:rsidRDefault="00344704" w:rsidP="003B10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7F3292B" w14:textId="1535C2A7" w:rsidR="00344704" w:rsidRPr="009D488E" w:rsidRDefault="00344704" w:rsidP="003B1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667F0F57" w14:textId="0A2053A6" w:rsidR="00344704" w:rsidRPr="00EF0313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337C69B4" w14:textId="5AE7CFEB" w:rsidR="00344704" w:rsidRPr="00EF0313" w:rsidRDefault="00344704" w:rsidP="003B10F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391BBF5F" w14:textId="77777777" w:rsidR="00344704" w:rsidRPr="0030019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77777777" w:rsidR="00344704" w:rsidRPr="00CF149D" w:rsidRDefault="0034470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0FB2DBAF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A2832B" w14:textId="77777777" w:rsidR="00344704" w:rsidRPr="00CF149D" w:rsidRDefault="00344704" w:rsidP="003B1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048EE41D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8D1D7B1" w14:textId="77777777" w:rsidR="00344704" w:rsidRPr="00CF149D" w:rsidRDefault="0034470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54C931E" w14:textId="77777777" w:rsidR="00344704" w:rsidRPr="00CF149D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542042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478C10" w14:textId="77777777" w:rsidR="00E26CBE" w:rsidRPr="004523FE" w:rsidRDefault="00E26CBE" w:rsidP="00BC2A52">
      <w:pPr>
        <w:pStyle w:val="BodyText"/>
        <w:rPr>
          <w:sz w:val="20"/>
          <w:lang w:val="en-US"/>
        </w:rPr>
      </w:pPr>
    </w:p>
    <w:p w14:paraId="2A2F33AB" w14:textId="77777777" w:rsidR="004523FE" w:rsidRDefault="004523FE" w:rsidP="004523FE">
      <w:pPr>
        <w:pStyle w:val="IEEEStdsRegularTableCaption"/>
        <w:numPr>
          <w:ilvl w:val="0"/>
          <w:numId w:val="16"/>
        </w:numPr>
      </w:pP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Start w:id="6" w:name="T09o322h23fd"/>
      <w:bookmarkStart w:id="7" w:name="_Toc151898272"/>
      <w:bookmarkEnd w:id="0"/>
      <w:bookmarkEnd w:id="1"/>
      <w:bookmarkEnd w:id="2"/>
      <w:bookmarkEnd w:id="3"/>
      <w:bookmarkEnd w:id="4"/>
      <w:bookmarkEnd w:id="5"/>
      <w:r>
        <w:t>Table 9-322h23fd</w:t>
      </w:r>
      <w:bookmarkEnd w:id="6"/>
      <w:r>
        <w:rPr>
          <w:rFonts w:eastAsia="Helvetica"/>
        </w:rPr>
        <w:t>—</w:t>
      </w:r>
      <w:r>
        <w:t xml:space="preserve">Ranging </w:t>
      </w:r>
      <w:proofErr w:type="spellStart"/>
      <w:r>
        <w:t>Subelement</w:t>
      </w:r>
      <w:proofErr w:type="spellEnd"/>
      <w:r>
        <w:t xml:space="preserve"> IDs for Ranging Parameters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7"/>
        <w:gridCol w:w="2875"/>
      </w:tblGrid>
      <w:tr w:rsidR="004523FE" w14:paraId="62278236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FBB6" w14:textId="77777777" w:rsidR="004523FE" w:rsidRDefault="004523FE">
            <w:pPr>
              <w:keepNext/>
              <w:keepLines/>
            </w:pPr>
            <w:proofErr w:type="spellStart"/>
            <w:r>
              <w:t>Subelement</w:t>
            </w:r>
            <w:proofErr w:type="spellEnd"/>
            <w:r>
              <w:t xml:space="preserve"> ID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7818" w14:textId="77777777" w:rsidR="004523FE" w:rsidRDefault="004523FE">
            <w:pPr>
              <w:keepNext/>
              <w:keepLines/>
            </w:pPr>
            <w:r>
              <w:t>Name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7AC" w14:textId="77777777" w:rsidR="004523FE" w:rsidRDefault="004523FE">
            <w:pPr>
              <w:keepNext/>
              <w:keepLines/>
            </w:pPr>
            <w:r>
              <w:t>Extensible</w:t>
            </w:r>
          </w:p>
        </w:tc>
      </w:tr>
      <w:tr w:rsidR="004523FE" w14:paraId="6AC1835F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DDB" w14:textId="77777777" w:rsidR="004523FE" w:rsidRDefault="004523FE">
            <w:pPr>
              <w:keepNext/>
              <w:keepLines/>
            </w:pPr>
            <w:r>
              <w:t>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50A" w14:textId="77777777" w:rsidR="004523FE" w:rsidRDefault="004523FE">
            <w:pPr>
              <w:keepNext/>
              <w:keepLines/>
            </w:pPr>
            <w:r>
              <w:t xml:space="preserve">Non-TB 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93D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2529768B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C807" w14:textId="77777777" w:rsidR="004523FE" w:rsidRDefault="004523FE">
            <w:pPr>
              <w:keepNext/>
              <w:keepLines/>
            </w:pPr>
            <w: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953" w14:textId="77777777" w:rsidR="004523FE" w:rsidRDefault="004523FE">
            <w:pPr>
              <w:keepNext/>
              <w:keepLines/>
            </w:pPr>
            <w:r>
              <w:t xml:space="preserve">TB-specific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B9E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5D16A469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A89" w14:textId="77777777" w:rsidR="004523FE" w:rsidRDefault="004523FE">
            <w:pPr>
              <w:keepNext/>
              <w:keepLines/>
            </w:pPr>
            <w: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9405" w14:textId="77777777" w:rsidR="004523FE" w:rsidRDefault="004523FE">
            <w:pPr>
              <w:keepNext/>
              <w:keepLines/>
            </w:pPr>
            <w:r>
              <w:t xml:space="preserve">Secure HE-LTF </w:t>
            </w:r>
            <w:proofErr w:type="spellStart"/>
            <w: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D05" w14:textId="77777777" w:rsidR="004523FE" w:rsidRDefault="004523FE">
            <w:pPr>
              <w:keepNext/>
              <w:keepLines/>
            </w:pPr>
            <w:r>
              <w:t>Yes</w:t>
            </w:r>
          </w:p>
        </w:tc>
      </w:tr>
      <w:tr w:rsidR="004523FE" w14:paraId="40AB044E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4A0D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2DE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 xml:space="preserve">Transmit Power Envelope </w:t>
            </w:r>
            <w:proofErr w:type="spellStart"/>
            <w:r w:rsidRPr="00A45B83">
              <w:rPr>
                <w:highlight w:val="yellow"/>
                <w:u w:val="single"/>
              </w:rPr>
              <w:t>subelement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8F1" w14:textId="77777777" w:rsidR="004523FE" w:rsidRPr="00A45B83" w:rsidRDefault="004523FE">
            <w:pPr>
              <w:keepNext/>
              <w:keepLines/>
              <w:rPr>
                <w:highlight w:val="yellow"/>
                <w:u w:val="single"/>
              </w:rPr>
            </w:pPr>
            <w:r w:rsidRPr="00A45B83">
              <w:rPr>
                <w:highlight w:val="yellow"/>
                <w:u w:val="single"/>
              </w:rPr>
              <w:t>Yes</w:t>
            </w:r>
          </w:p>
        </w:tc>
      </w:tr>
      <w:tr w:rsidR="004523FE" w14:paraId="67693DE8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B5C" w14:textId="77777777" w:rsidR="004523FE" w:rsidRDefault="004523FE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F43" w14:textId="77777777" w:rsidR="004523FE" w:rsidRDefault="004523FE">
            <w:pPr>
              <w:keepNext/>
              <w:keepLines/>
              <w:rPr>
                <w:u w:val="single"/>
              </w:rPr>
            </w:pPr>
            <w:bookmarkStart w:id="8" w:name="_Hlk129672244"/>
            <w:r>
              <w:rPr>
                <w:u w:val="single"/>
              </w:rPr>
              <w:t xml:space="preserve">320 MHz Ranging </w:t>
            </w:r>
            <w:proofErr w:type="spellStart"/>
            <w:r>
              <w:rPr>
                <w:u w:val="single"/>
              </w:rPr>
              <w:t>subelement</w:t>
            </w:r>
            <w:bookmarkEnd w:id="8"/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41D" w14:textId="77777777" w:rsidR="004523FE" w:rsidRDefault="004523FE">
            <w:pPr>
              <w:keepNext/>
              <w:keepLines/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</w:tr>
      <w:tr w:rsidR="004523FE" w14:paraId="77985273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129" w14:textId="77777777" w:rsidR="004523FE" w:rsidRDefault="004523FE">
            <w:pPr>
              <w:keepNext/>
              <w:keepLines/>
            </w:pPr>
            <w:r>
              <w:t>5-220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09A" w14:textId="77777777" w:rsidR="004523FE" w:rsidRDefault="004523FE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90" w14:textId="77777777" w:rsidR="004523FE" w:rsidRDefault="004523FE">
            <w:pPr>
              <w:keepNext/>
              <w:keepLines/>
            </w:pPr>
          </w:p>
        </w:tc>
      </w:tr>
      <w:tr w:rsidR="004523FE" w14:paraId="042D42F3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F353" w14:textId="77777777" w:rsidR="004523FE" w:rsidRDefault="004523FE">
            <w:pPr>
              <w:keepNext/>
              <w:keepLines/>
            </w:pPr>
            <w:r>
              <w:t>221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034" w14:textId="77777777" w:rsidR="004523FE" w:rsidRDefault="004523FE">
            <w:pPr>
              <w:keepNext/>
              <w:keepLines/>
            </w:pPr>
            <w:r>
              <w:t>Vendor Specific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EEA" w14:textId="77777777" w:rsidR="004523FE" w:rsidRDefault="004523FE">
            <w:pPr>
              <w:keepNext/>
              <w:keepLines/>
            </w:pPr>
          </w:p>
        </w:tc>
      </w:tr>
      <w:tr w:rsidR="004523FE" w14:paraId="57951D30" w14:textId="77777777" w:rsidTr="004523FE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2E2" w14:textId="77777777" w:rsidR="004523FE" w:rsidRDefault="004523FE">
            <w:pPr>
              <w:keepNext/>
              <w:keepLines/>
            </w:pPr>
            <w:r>
              <w:t>222-255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131" w14:textId="77777777" w:rsidR="004523FE" w:rsidRDefault="004523FE">
            <w:pPr>
              <w:keepNext/>
              <w:keepLines/>
            </w:pPr>
            <w:r>
              <w:t>Reserved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D84" w14:textId="77777777" w:rsidR="004523FE" w:rsidRDefault="004523FE">
            <w:pPr>
              <w:keepNext/>
              <w:keepLines/>
            </w:pPr>
          </w:p>
        </w:tc>
      </w:tr>
    </w:tbl>
    <w:p w14:paraId="1AF0EF45" w14:textId="77777777" w:rsidR="004523FE" w:rsidRDefault="004523FE" w:rsidP="00E2373F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/>
          <w:i/>
          <w:iCs/>
          <w:sz w:val="22"/>
          <w:szCs w:val="22"/>
        </w:rPr>
      </w:pPr>
    </w:p>
    <w:p w14:paraId="75F61BCB" w14:textId="77777777" w:rsidR="004523FE" w:rsidRDefault="004523FE" w:rsidP="004523FE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  <w:lang w:val="en-US" w:eastAsia="ja-JP"/>
        </w:rPr>
      </w:pPr>
      <w:r>
        <w:rPr>
          <w:bCs/>
          <w:sz w:val="22"/>
          <w:szCs w:val="22"/>
        </w:rPr>
        <w:t>… …</w:t>
      </w:r>
    </w:p>
    <w:p w14:paraId="1F9DC426" w14:textId="77777777" w:rsidR="004523FE" w:rsidRDefault="004523FE" w:rsidP="00E2373F">
      <w:pPr>
        <w:spacing w:before="240"/>
        <w:rPr>
          <w:sz w:val="22"/>
          <w:szCs w:val="22"/>
          <w:u w:val="single"/>
        </w:rPr>
      </w:pPr>
    </w:p>
    <w:p w14:paraId="1439001A" w14:textId="61269137" w:rsidR="00E2373F" w:rsidRPr="001170FC" w:rsidRDefault="00E2373F" w:rsidP="00E2373F">
      <w:pPr>
        <w:spacing w:before="240"/>
        <w:rPr>
          <w:rFonts w:eastAsia="Times New Roman"/>
          <w:color w:val="000000"/>
          <w:sz w:val="22"/>
          <w:szCs w:val="22"/>
        </w:rPr>
      </w:pPr>
      <w:r w:rsidRPr="001170FC">
        <w:rPr>
          <w:sz w:val="22"/>
          <w:szCs w:val="22"/>
          <w:u w:val="single"/>
        </w:rPr>
        <w:t xml:space="preserve">The Transmit Power Envelope </w:t>
      </w:r>
      <w:proofErr w:type="spellStart"/>
      <w:r w:rsidRPr="001170FC">
        <w:rPr>
          <w:sz w:val="22"/>
          <w:szCs w:val="22"/>
          <w:u w:val="single"/>
        </w:rPr>
        <w:t>subelement</w:t>
      </w:r>
      <w:proofErr w:type="spellEnd"/>
      <w:r w:rsidRPr="001170FC">
        <w:rPr>
          <w:sz w:val="22"/>
          <w:szCs w:val="22"/>
          <w:u w:val="single"/>
        </w:rPr>
        <w:t xml:space="preserve"> has the same definition as the Transmit Power Envelope element (see 9.4.2.161 (Transmit Power Envelope element))</w:t>
      </w:r>
      <w:r w:rsidRPr="001170FC">
        <w:rPr>
          <w:sz w:val="22"/>
          <w:szCs w:val="22"/>
        </w:rPr>
        <w:t>.</w:t>
      </w:r>
    </w:p>
    <w:p w14:paraId="69C5A582" w14:textId="64B894E5" w:rsidR="00E2373F" w:rsidRPr="00D35FEB" w:rsidRDefault="00E2373F" w:rsidP="00E2373F">
      <w:pPr>
        <w:spacing w:before="240"/>
        <w:rPr>
          <w:sz w:val="22"/>
          <w:szCs w:val="22"/>
          <w:u w:val="single"/>
        </w:rPr>
      </w:pPr>
      <w:r w:rsidRPr="00D35FEB">
        <w:rPr>
          <w:sz w:val="22"/>
          <w:szCs w:val="22"/>
          <w:u w:val="single"/>
        </w:rPr>
        <w:t xml:space="preserve">The format of the </w:t>
      </w:r>
      <w:r w:rsidR="00FB0E2C"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is as shown in Figure </w:t>
      </w:r>
      <w:r w:rsidRPr="00D35FEB">
        <w:rPr>
          <w:color w:val="0000FF"/>
          <w:sz w:val="22"/>
          <w:szCs w:val="22"/>
          <w:u w:val="single"/>
        </w:rPr>
        <w:t>9-7xx</w:t>
      </w:r>
      <w:r w:rsidRPr="00D35FEB">
        <w:rPr>
          <w:sz w:val="22"/>
          <w:szCs w:val="22"/>
          <w:u w:val="single"/>
        </w:rPr>
        <w:t xml:space="preserve"> (</w:t>
      </w:r>
      <w:r w:rsidR="00FB0E2C">
        <w:rPr>
          <w:sz w:val="22"/>
          <w:szCs w:val="22"/>
          <w:u w:val="single"/>
        </w:rPr>
        <w:t>320 MHz Ranging</w:t>
      </w:r>
      <w:r w:rsidRPr="00D35FEB">
        <w:rPr>
          <w:sz w:val="22"/>
          <w:szCs w:val="22"/>
          <w:u w:val="single"/>
        </w:rPr>
        <w:t xml:space="preserve"> </w:t>
      </w:r>
      <w:proofErr w:type="spellStart"/>
      <w:r w:rsidRPr="00D35FEB">
        <w:rPr>
          <w:sz w:val="22"/>
          <w:szCs w:val="22"/>
          <w:u w:val="single"/>
        </w:rPr>
        <w:t>subelement</w:t>
      </w:r>
      <w:proofErr w:type="spellEnd"/>
      <w:r w:rsidRPr="00D35FEB">
        <w:rPr>
          <w:sz w:val="22"/>
          <w:szCs w:val="22"/>
          <w:u w:val="single"/>
        </w:rPr>
        <w:t xml:space="preserve"> format).</w:t>
      </w:r>
    </w:p>
    <w:p w14:paraId="5E6B51AE" w14:textId="77777777" w:rsidR="00E2373F" w:rsidRPr="00F93463" w:rsidRDefault="00E2373F" w:rsidP="00E2373F">
      <w:pPr>
        <w:spacing w:before="240"/>
        <w:rPr>
          <w:szCs w:val="22"/>
        </w:rPr>
      </w:pPr>
    </w:p>
    <w:tbl>
      <w:tblPr>
        <w:tblW w:w="8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30"/>
        <w:gridCol w:w="720"/>
        <w:gridCol w:w="990"/>
        <w:gridCol w:w="900"/>
        <w:gridCol w:w="990"/>
        <w:gridCol w:w="810"/>
        <w:gridCol w:w="1530"/>
      </w:tblGrid>
      <w:tr w:rsidR="000B0B00" w:rsidRPr="002609DE" w14:paraId="6759DEE1" w14:textId="2A08D204" w:rsidTr="004523FE">
        <w:trPr>
          <w:trHeight w:val="288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57CD" w14:textId="77777777" w:rsidR="000B0B00" w:rsidRPr="00D22A1C" w:rsidRDefault="000B0B00" w:rsidP="000B0B00">
            <w:pPr>
              <w:rPr>
                <w:szCs w:val="18"/>
                <w:u w:val="single"/>
                <w:lang w:eastAsia="zh-CN"/>
              </w:rPr>
            </w:pPr>
          </w:p>
        </w:tc>
        <w:tc>
          <w:tcPr>
            <w:tcW w:w="153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A3A47" w14:textId="55F400ED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 xml:space="preserve">B0    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 w:rsidRPr="00D22A1C">
              <w:rPr>
                <w:color w:val="000000"/>
                <w:szCs w:val="18"/>
                <w:u w:val="single"/>
              </w:rPr>
              <w:t xml:space="preserve">   B7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715D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B8   B15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BBFC5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B16  B18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98D13E" w14:textId="77777777" w:rsidR="000B0B00" w:rsidRPr="00D22A1C" w:rsidRDefault="000B0B00" w:rsidP="000B0B00">
            <w:pPr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B19   B21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A007DA" w14:textId="4494571E" w:rsidR="000B0B00" w:rsidRPr="00930235" w:rsidRDefault="000B0B00" w:rsidP="000B0B00">
            <w:pPr>
              <w:jc w:val="center"/>
              <w:rPr>
                <w:szCs w:val="18"/>
                <w:u w:val="single"/>
              </w:rPr>
            </w:pPr>
            <w:r w:rsidRPr="00930235">
              <w:rPr>
                <w:szCs w:val="18"/>
                <w:u w:val="single"/>
              </w:rPr>
              <w:t xml:space="preserve">B22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E1F09C" w14:textId="4EEAB7EC" w:rsidR="000B0B00" w:rsidRPr="00323DAD" w:rsidRDefault="000B0B00" w:rsidP="000B0B00">
            <w:pPr>
              <w:jc w:val="center"/>
              <w:rPr>
                <w:szCs w:val="18"/>
                <w:u w:val="single"/>
              </w:rPr>
            </w:pPr>
            <w:r w:rsidRPr="001247BC">
              <w:rPr>
                <w:szCs w:val="18"/>
                <w:u w:val="single"/>
              </w:rPr>
              <w:t>B23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6DB846" w14:textId="6CF80537" w:rsidR="000B0B00" w:rsidRPr="001247B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B</w:t>
            </w:r>
            <w:r>
              <w:rPr>
                <w:szCs w:val="18"/>
                <w:u w:val="single"/>
              </w:rPr>
              <w:t xml:space="preserve">24      </w:t>
            </w:r>
            <w:r w:rsidRPr="00D22A1C">
              <w:rPr>
                <w:szCs w:val="18"/>
                <w:u w:val="single"/>
              </w:rPr>
              <w:t xml:space="preserve">   B</w:t>
            </w:r>
            <w:r>
              <w:rPr>
                <w:szCs w:val="18"/>
                <w:u w:val="single"/>
              </w:rPr>
              <w:t>39</w:t>
            </w:r>
          </w:p>
        </w:tc>
      </w:tr>
      <w:tr w:rsidR="000B0B00" w:rsidRPr="00D22A1C" w14:paraId="6E99495A" w14:textId="1F432096" w:rsidTr="004523FE">
        <w:trPr>
          <w:trHeight w:val="756"/>
          <w:jc w:val="center"/>
        </w:trPr>
        <w:tc>
          <w:tcPr>
            <w:tcW w:w="630" w:type="dxa"/>
            <w:tcBorders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84FC7" w14:textId="77777777" w:rsidR="000B0B00" w:rsidRPr="00D22A1C" w:rsidRDefault="000B0B00" w:rsidP="000B0B00">
            <w:pPr>
              <w:rPr>
                <w:color w:val="000000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970AB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 w:rsidRPr="00D22A1C">
              <w:rPr>
                <w:szCs w:val="18"/>
                <w:u w:val="single"/>
              </w:rPr>
              <w:t>Subelement</w:t>
            </w:r>
            <w:proofErr w:type="spellEnd"/>
            <w:r w:rsidRPr="00D22A1C">
              <w:rPr>
                <w:szCs w:val="18"/>
                <w:u w:val="single"/>
              </w:rPr>
              <w:t xml:space="preserve"> 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40ED6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Length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02DB" w14:textId="77777777" w:rsidR="000B0B00" w:rsidRPr="00D22A1C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22A1C">
              <w:rPr>
                <w:u w:val="single"/>
              </w:rPr>
              <w:t>Max R2I</w:t>
            </w:r>
          </w:p>
          <w:p w14:paraId="46DC609A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>
              <w:rPr>
                <w:u w:val="single"/>
              </w:rPr>
              <w:t>Nss</w:t>
            </w:r>
            <w:proofErr w:type="spellEnd"/>
            <w:r w:rsidRPr="00D22A1C">
              <w:rPr>
                <w:u w:val="single"/>
              </w:rPr>
              <w:t xml:space="preserve"> =320 MHz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D402" w14:textId="77777777" w:rsidR="000B0B00" w:rsidRPr="00D22A1C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22A1C">
              <w:rPr>
                <w:u w:val="single"/>
              </w:rPr>
              <w:t>Max I2R</w:t>
            </w:r>
          </w:p>
          <w:p w14:paraId="433BFEF5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proofErr w:type="spellStart"/>
            <w:r>
              <w:rPr>
                <w:u w:val="single"/>
              </w:rPr>
              <w:t>Nss</w:t>
            </w:r>
            <w:proofErr w:type="spellEnd"/>
            <w:r w:rsidRPr="00D22A1C">
              <w:rPr>
                <w:u w:val="single"/>
              </w:rPr>
              <w:t xml:space="preserve"> =320 MHz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817E" w14:textId="1AEEC7FF" w:rsidR="000B0B00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Puncturing Pattern </w:t>
            </w:r>
          </w:p>
          <w:p w14:paraId="6FB0D99D" w14:textId="09DEF4B7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>Support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92CE" w14:textId="6FD65BDF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 w:rsidRPr="00D35FEB">
              <w:rPr>
                <w:u w:val="single"/>
              </w:rPr>
              <w:t>Reserved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D515" w14:textId="4FC38F44" w:rsidR="000B0B00" w:rsidRPr="00D35FEB" w:rsidRDefault="000B0B00" w:rsidP="000B0B00">
            <w:pPr>
              <w:keepNext/>
              <w:keepLines/>
              <w:jc w:val="center"/>
              <w:rPr>
                <w:u w:val="single"/>
              </w:rPr>
            </w:pPr>
            <w:r>
              <w:rPr>
                <w:u w:val="single"/>
              </w:rPr>
              <w:t>Pun</w:t>
            </w:r>
            <w:r w:rsidR="00E06954">
              <w:rPr>
                <w:u w:val="single"/>
              </w:rPr>
              <w:t>c</w:t>
            </w:r>
            <w:r>
              <w:rPr>
                <w:u w:val="single"/>
              </w:rPr>
              <w:t>turing Pattern</w:t>
            </w:r>
          </w:p>
        </w:tc>
      </w:tr>
      <w:tr w:rsidR="000B0B00" w:rsidRPr="00D22A1C" w14:paraId="03885BDA" w14:textId="2B0C887B" w:rsidTr="004523FE">
        <w:trPr>
          <w:trHeight w:val="294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00280" w14:textId="77777777" w:rsidR="000B0B00" w:rsidRPr="00D22A1C" w:rsidRDefault="000B0B00" w:rsidP="000B0B00">
            <w:pPr>
              <w:rPr>
                <w:color w:val="000000"/>
                <w:szCs w:val="18"/>
                <w:u w:val="single"/>
              </w:rPr>
            </w:pPr>
            <w:r w:rsidRPr="00D22A1C">
              <w:rPr>
                <w:color w:val="000000"/>
                <w:szCs w:val="18"/>
                <w:u w:val="single"/>
              </w:rPr>
              <w:t>Bits: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CA544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D0774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E09A" w14:textId="77777777" w:rsidR="000B0B00" w:rsidRPr="00D22A1C" w:rsidRDefault="000B0B00" w:rsidP="000B0B00">
            <w:pPr>
              <w:jc w:val="center"/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  <w:u w:val="single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vAlign w:val="center"/>
            <w:hideMark/>
          </w:tcPr>
          <w:p w14:paraId="54CC70A0" w14:textId="77777777" w:rsidR="000B0B00" w:rsidRPr="00D22A1C" w:rsidRDefault="000B0B00" w:rsidP="000B0B00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42098D8E" w14:textId="495EC9A7" w:rsidR="000B0B00" w:rsidRPr="00C206B4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35409C03" w14:textId="799A399C" w:rsidR="000B0B00" w:rsidRPr="00C206B4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1ADCA848" w14:textId="723CFF9D" w:rsidR="000B0B00" w:rsidRDefault="000B0B00" w:rsidP="000B0B0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</w:tbl>
    <w:p w14:paraId="213876D1" w14:textId="546AD5D9" w:rsidR="00E2373F" w:rsidRPr="00930235" w:rsidRDefault="00E2373F" w:rsidP="00E2373F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u w:val="single"/>
          <w:lang w:val="en-US"/>
        </w:rPr>
      </w:pPr>
      <w:bookmarkStart w:id="9" w:name="_Toc114333543"/>
      <w:bookmarkStart w:id="10" w:name="AnnexADo2"/>
      <w:bookmarkStart w:id="11" w:name="F09o788edm1"/>
      <w:r w:rsidRPr="00930235">
        <w:rPr>
          <w:rFonts w:ascii="Arial" w:hAnsi="Arial"/>
          <w:b/>
          <w:sz w:val="20"/>
          <w:u w:val="single"/>
          <w:lang w:val="en-US"/>
        </w:rPr>
        <w:t>Figure 9-7xx</w:t>
      </w:r>
      <w:r w:rsidRPr="00930235">
        <w:rPr>
          <w:rFonts w:ascii="Arial" w:eastAsia="Helvetica" w:hAnsi="Arial"/>
          <w:b/>
          <w:sz w:val="20"/>
          <w:u w:val="single"/>
          <w:lang w:val="en-US"/>
        </w:rPr>
        <w:t>—</w:t>
      </w:r>
      <w:bookmarkStart w:id="12" w:name="_Hlk150866312"/>
      <w:r w:rsidR="00FB0E2C" w:rsidRPr="00930235">
        <w:rPr>
          <w:rFonts w:ascii="Arial" w:hAnsi="Arial"/>
          <w:b/>
          <w:sz w:val="20"/>
          <w:u w:val="single"/>
          <w:lang w:val="en-US"/>
        </w:rPr>
        <w:t>320 MHz Ranging</w:t>
      </w:r>
      <w:r w:rsidRPr="00930235">
        <w:rPr>
          <w:rFonts w:ascii="Arial" w:hAnsi="Arial"/>
          <w:b/>
          <w:sz w:val="20"/>
          <w:u w:val="single"/>
          <w:lang w:val="en-US"/>
        </w:rPr>
        <w:t xml:space="preserve"> </w:t>
      </w:r>
      <w:proofErr w:type="spellStart"/>
      <w:r w:rsidRPr="00930235">
        <w:rPr>
          <w:rFonts w:ascii="Arial" w:hAnsi="Arial"/>
          <w:b/>
          <w:sz w:val="20"/>
          <w:u w:val="single"/>
          <w:lang w:val="en-US"/>
        </w:rPr>
        <w:t>subelement</w:t>
      </w:r>
      <w:proofErr w:type="spellEnd"/>
      <w:r w:rsidRPr="00930235">
        <w:rPr>
          <w:rFonts w:ascii="Arial" w:hAnsi="Arial"/>
          <w:b/>
          <w:sz w:val="20"/>
          <w:u w:val="single"/>
          <w:lang w:val="en-US"/>
        </w:rPr>
        <w:t xml:space="preserve"> </w:t>
      </w:r>
      <w:bookmarkEnd w:id="12"/>
      <w:r w:rsidRPr="00930235">
        <w:rPr>
          <w:rFonts w:ascii="Arial" w:hAnsi="Arial"/>
          <w:b/>
          <w:sz w:val="20"/>
          <w:u w:val="single"/>
          <w:lang w:val="en-US"/>
        </w:rPr>
        <w:t>format</w:t>
      </w:r>
      <w:bookmarkEnd w:id="9"/>
    </w:p>
    <w:bookmarkEnd w:id="10"/>
    <w:bookmarkEnd w:id="11"/>
    <w:p w14:paraId="0E32E162" w14:textId="52BF8003" w:rsidR="00E2373F" w:rsidRDefault="00E2373F" w:rsidP="00E2373F">
      <w:pPr>
        <w:spacing w:before="240"/>
        <w:rPr>
          <w:sz w:val="22"/>
          <w:szCs w:val="22"/>
          <w:u w:val="single"/>
        </w:rPr>
      </w:pPr>
      <w:r w:rsidRPr="00CF00EF">
        <w:rPr>
          <w:sz w:val="22"/>
          <w:szCs w:val="22"/>
          <w:u w:val="single"/>
        </w:rPr>
        <w:t xml:space="preserve">The </w:t>
      </w:r>
      <w:proofErr w:type="spellStart"/>
      <w:r w:rsidRPr="00CF00EF">
        <w:rPr>
          <w:sz w:val="22"/>
          <w:szCs w:val="22"/>
          <w:u w:val="single"/>
        </w:rPr>
        <w:t>Subelement</w:t>
      </w:r>
      <w:proofErr w:type="spellEnd"/>
      <w:r w:rsidRPr="00CF00EF">
        <w:rPr>
          <w:sz w:val="22"/>
          <w:szCs w:val="22"/>
          <w:u w:val="single"/>
        </w:rPr>
        <w:t xml:space="preserve"> ID and Length fields are defined in 9.4.3 (</w:t>
      </w:r>
      <w:proofErr w:type="spellStart"/>
      <w:r w:rsidRPr="00CF00EF">
        <w:rPr>
          <w:sz w:val="22"/>
          <w:szCs w:val="22"/>
          <w:u w:val="single"/>
        </w:rPr>
        <w:t>Subelements</w:t>
      </w:r>
      <w:proofErr w:type="spellEnd"/>
      <w:r w:rsidRPr="00CF00EF">
        <w:rPr>
          <w:sz w:val="22"/>
          <w:szCs w:val="22"/>
          <w:u w:val="single"/>
        </w:rPr>
        <w:t>).</w:t>
      </w:r>
    </w:p>
    <w:p w14:paraId="179EDB9E" w14:textId="445BFEC9" w:rsidR="007676BC" w:rsidRDefault="007676BC" w:rsidP="00E2373F">
      <w:pPr>
        <w:spacing w:before="240"/>
        <w:rPr>
          <w:sz w:val="22"/>
          <w:szCs w:val="22"/>
          <w:u w:val="single"/>
        </w:rPr>
      </w:pPr>
    </w:p>
    <w:p w14:paraId="184A3C50" w14:textId="6AEA4AF8" w:rsidR="007676BC" w:rsidRPr="00CF00EF" w:rsidRDefault="007676BC" w:rsidP="00E2373F">
      <w:pPr>
        <w:spacing w:before="240"/>
        <w:rPr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94AF84A" wp14:editId="67C83007">
            <wp:extent cx="6263640" cy="54463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5A8C" w14:textId="05E777BB" w:rsidR="00E2373F" w:rsidRDefault="00E2373F" w:rsidP="00E2373F">
      <w:pPr>
        <w:pStyle w:val="IEEEStdsParagraph"/>
        <w:rPr>
          <w:sz w:val="22"/>
          <w:u w:val="single"/>
          <w:lang w:val="en-GB"/>
        </w:rPr>
      </w:pPr>
    </w:p>
    <w:p w14:paraId="1BE8E5BA" w14:textId="50C1CB2A" w:rsidR="007676BC" w:rsidRDefault="007676BC" w:rsidP="00E2373F">
      <w:pPr>
        <w:pStyle w:val="IEEEStdsParagraph"/>
        <w:rPr>
          <w:sz w:val="22"/>
          <w:u w:val="single"/>
          <w:lang w:val="en-GB"/>
        </w:rPr>
      </w:pPr>
    </w:p>
    <w:p w14:paraId="359BE5BF" w14:textId="7F593A39" w:rsidR="007676BC" w:rsidRDefault="007676BC" w:rsidP="007676BC">
      <w:pPr>
        <w:pStyle w:val="Heading3"/>
      </w:pPr>
      <w:r>
        <w:t>Option 1:</w:t>
      </w:r>
    </w:p>
    <w:p w14:paraId="55E60B1E" w14:textId="21EFE717" w:rsidR="007676BC" w:rsidRDefault="007676BC" w:rsidP="00E2373F">
      <w:pPr>
        <w:pStyle w:val="IEEEStdsParagraph"/>
        <w:rPr>
          <w:sz w:val="22"/>
          <w:lang w:val="en-GB"/>
        </w:rPr>
      </w:pPr>
      <w:r w:rsidRPr="007676BC">
        <w:rPr>
          <w:sz w:val="22"/>
          <w:lang w:val="en-GB"/>
        </w:rPr>
        <w:t>Create a wrapper:</w:t>
      </w:r>
    </w:p>
    <w:p w14:paraId="0B81321A" w14:textId="766BD3A1" w:rsidR="007676BC" w:rsidRDefault="007676BC" w:rsidP="00E2373F">
      <w:pPr>
        <w:pStyle w:val="IEEEStdsParagraph"/>
        <w:rPr>
          <w:sz w:val="22"/>
          <w:lang w:val="en-GB"/>
        </w:rPr>
      </w:pPr>
    </w:p>
    <w:tbl>
      <w:tblPr>
        <w:tblW w:w="4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30"/>
        <w:gridCol w:w="720"/>
        <w:gridCol w:w="1530"/>
      </w:tblGrid>
      <w:tr w:rsidR="007676BC" w:rsidRPr="00D22A1C" w14:paraId="7096DFEF" w14:textId="77777777" w:rsidTr="007676BC">
        <w:trPr>
          <w:trHeight w:val="756"/>
          <w:jc w:val="center"/>
        </w:trPr>
        <w:tc>
          <w:tcPr>
            <w:tcW w:w="630" w:type="dxa"/>
            <w:tcBorders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311DC" w14:textId="77777777" w:rsidR="007676BC" w:rsidRPr="00D22A1C" w:rsidRDefault="007676BC" w:rsidP="003B10F8">
            <w:pPr>
              <w:rPr>
                <w:color w:val="000000"/>
                <w:szCs w:val="18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1274B" w14:textId="77777777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proofErr w:type="spellStart"/>
            <w:r w:rsidRPr="00D22A1C">
              <w:rPr>
                <w:szCs w:val="18"/>
                <w:u w:val="single"/>
              </w:rPr>
              <w:t>Subelement</w:t>
            </w:r>
            <w:proofErr w:type="spellEnd"/>
            <w:r w:rsidRPr="00D22A1C">
              <w:rPr>
                <w:szCs w:val="18"/>
                <w:u w:val="single"/>
              </w:rPr>
              <w:t xml:space="preserve"> 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D6A8C" w14:textId="77777777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 w:rsidRPr="00D22A1C">
              <w:rPr>
                <w:szCs w:val="18"/>
                <w:u w:val="single"/>
              </w:rPr>
              <w:t>Length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4C03" w14:textId="5472FC50" w:rsidR="007676BC" w:rsidRPr="00D35FEB" w:rsidRDefault="007676BC" w:rsidP="007676BC">
            <w:pPr>
              <w:keepNext/>
              <w:keepLines/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>Transmit Power Envelope</w:t>
            </w:r>
          </w:p>
        </w:tc>
      </w:tr>
      <w:tr w:rsidR="007676BC" w:rsidRPr="00D22A1C" w14:paraId="3BECE1AF" w14:textId="77777777" w:rsidTr="007676BC">
        <w:trPr>
          <w:trHeight w:val="294"/>
          <w:jc w:val="center"/>
        </w:trPr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9D3A6" w14:textId="7B891D92" w:rsidR="007676BC" w:rsidRPr="00D22A1C" w:rsidRDefault="007676BC" w:rsidP="003B10F8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  <w:u w:val="single"/>
              </w:rPr>
              <w:t>Octets</w:t>
            </w:r>
            <w:r w:rsidRPr="00D22A1C">
              <w:rPr>
                <w:color w:val="000000"/>
                <w:szCs w:val="18"/>
                <w:u w:val="single"/>
              </w:rPr>
              <w:t>: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98302" w14:textId="01A5ADED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3DFA9" w14:textId="50F25C58" w:rsidR="007676BC" w:rsidRPr="00D22A1C" w:rsidRDefault="007676BC" w:rsidP="003B10F8">
            <w:pPr>
              <w:jc w:val="center"/>
              <w:rPr>
                <w:szCs w:val="18"/>
                <w:u w:val="single"/>
              </w:rPr>
            </w:pPr>
            <w:r>
              <w:rPr>
                <w:szCs w:val="18"/>
                <w:u w:val="single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68D7DAAC" w14:textId="4B6F6FB8" w:rsidR="007676BC" w:rsidRDefault="007676BC" w:rsidP="003B10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variable</w:t>
            </w:r>
          </w:p>
        </w:tc>
      </w:tr>
    </w:tbl>
    <w:p w14:paraId="099AD151" w14:textId="5A465BA2" w:rsidR="007676BC" w:rsidRDefault="007676BC" w:rsidP="007676B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sz w:val="20"/>
          <w:u w:val="single"/>
          <w:lang w:val="en-US"/>
        </w:rPr>
      </w:pPr>
      <w:r w:rsidRPr="00930235">
        <w:rPr>
          <w:rFonts w:ascii="Arial" w:hAnsi="Arial"/>
          <w:b/>
          <w:sz w:val="20"/>
          <w:u w:val="single"/>
          <w:lang w:val="en-US"/>
        </w:rPr>
        <w:t>Figure 9-7xx</w:t>
      </w:r>
      <w:r w:rsidRPr="00930235">
        <w:rPr>
          <w:rFonts w:ascii="Arial" w:eastAsia="Helvetica" w:hAnsi="Arial"/>
          <w:b/>
          <w:sz w:val="20"/>
          <w:u w:val="single"/>
          <w:lang w:val="en-US"/>
        </w:rPr>
        <w:t>—</w:t>
      </w:r>
      <w:r w:rsidRPr="007676BC">
        <w:rPr>
          <w:rFonts w:ascii="Arial" w:hAnsi="Arial"/>
          <w:b/>
          <w:sz w:val="20"/>
          <w:u w:val="single"/>
          <w:lang w:val="en-US"/>
        </w:rPr>
        <w:t xml:space="preserve">Transmit Power Envelope </w:t>
      </w:r>
      <w:proofErr w:type="spellStart"/>
      <w:r w:rsidRPr="007676BC">
        <w:rPr>
          <w:rFonts w:ascii="Arial" w:hAnsi="Arial"/>
          <w:b/>
          <w:sz w:val="20"/>
          <w:u w:val="single"/>
          <w:lang w:val="en-US"/>
        </w:rPr>
        <w:t>subelement</w:t>
      </w:r>
      <w:proofErr w:type="spellEnd"/>
      <w:r w:rsidRPr="007676BC">
        <w:rPr>
          <w:rFonts w:ascii="Arial" w:hAnsi="Arial"/>
          <w:b/>
          <w:sz w:val="20"/>
          <w:u w:val="single"/>
          <w:lang w:val="en-US"/>
        </w:rPr>
        <w:t xml:space="preserve"> </w:t>
      </w:r>
      <w:r w:rsidRPr="00930235">
        <w:rPr>
          <w:rFonts w:ascii="Arial" w:hAnsi="Arial"/>
          <w:b/>
          <w:sz w:val="20"/>
          <w:u w:val="single"/>
          <w:lang w:val="en-US"/>
        </w:rPr>
        <w:t>format</w:t>
      </w:r>
    </w:p>
    <w:p w14:paraId="58363622" w14:textId="7863C52A" w:rsidR="007676BC" w:rsidRDefault="007676BC" w:rsidP="007676B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hAnsi="Arial"/>
          <w:b/>
          <w:sz w:val="20"/>
          <w:u w:val="single"/>
          <w:lang w:val="en-US"/>
        </w:rPr>
      </w:pPr>
    </w:p>
    <w:p w14:paraId="658E1700" w14:textId="358A210E" w:rsidR="007676BC" w:rsidRDefault="007676BC" w:rsidP="007676BC">
      <w:pPr>
        <w:spacing w:before="240"/>
        <w:rPr>
          <w:sz w:val="22"/>
          <w:szCs w:val="22"/>
          <w:u w:val="single"/>
        </w:rPr>
      </w:pPr>
      <w:r w:rsidRPr="00CF00EF">
        <w:rPr>
          <w:sz w:val="22"/>
          <w:szCs w:val="22"/>
          <w:u w:val="single"/>
        </w:rPr>
        <w:t xml:space="preserve">The </w:t>
      </w:r>
      <w:proofErr w:type="spellStart"/>
      <w:r w:rsidRPr="00CF00EF">
        <w:rPr>
          <w:sz w:val="22"/>
          <w:szCs w:val="22"/>
          <w:u w:val="single"/>
        </w:rPr>
        <w:t>Subelement</w:t>
      </w:r>
      <w:proofErr w:type="spellEnd"/>
      <w:r w:rsidRPr="00CF00EF">
        <w:rPr>
          <w:sz w:val="22"/>
          <w:szCs w:val="22"/>
          <w:u w:val="single"/>
        </w:rPr>
        <w:t xml:space="preserve"> ID and Length fields are defined in 9.4.3 (</w:t>
      </w:r>
      <w:proofErr w:type="spellStart"/>
      <w:r w:rsidRPr="00CF00EF">
        <w:rPr>
          <w:sz w:val="22"/>
          <w:szCs w:val="22"/>
          <w:u w:val="single"/>
        </w:rPr>
        <w:t>Subelements</w:t>
      </w:r>
      <w:proofErr w:type="spellEnd"/>
      <w:r w:rsidRPr="00CF00EF">
        <w:rPr>
          <w:sz w:val="22"/>
          <w:szCs w:val="22"/>
          <w:u w:val="single"/>
        </w:rPr>
        <w:t>).</w:t>
      </w:r>
    </w:p>
    <w:p w14:paraId="275062F9" w14:textId="3C9E5E67" w:rsidR="007676BC" w:rsidRDefault="007676BC" w:rsidP="007676BC">
      <w:pPr>
        <w:spacing w:before="240"/>
        <w:rPr>
          <w:sz w:val="22"/>
          <w:szCs w:val="22"/>
        </w:rPr>
      </w:pPr>
      <w:r>
        <w:rPr>
          <w:sz w:val="22"/>
          <w:szCs w:val="22"/>
          <w:u w:val="single"/>
        </w:rPr>
        <w:t>The Transmit Power Envelope field contains a Transmit Power Envelope element (</w:t>
      </w:r>
      <w:r w:rsidRPr="001170FC">
        <w:rPr>
          <w:sz w:val="22"/>
          <w:szCs w:val="22"/>
          <w:u w:val="single"/>
        </w:rPr>
        <w:t>see 9.4.2.16</w:t>
      </w:r>
      <w:r>
        <w:rPr>
          <w:sz w:val="22"/>
          <w:szCs w:val="22"/>
          <w:u w:val="single"/>
        </w:rPr>
        <w:t>0</w:t>
      </w:r>
      <w:r w:rsidRPr="001170FC">
        <w:rPr>
          <w:sz w:val="22"/>
          <w:szCs w:val="22"/>
          <w:u w:val="single"/>
        </w:rPr>
        <w:t xml:space="preserve"> (Transmit Power Envelope element))</w:t>
      </w:r>
      <w:r w:rsidRPr="001170FC">
        <w:rPr>
          <w:sz w:val="22"/>
          <w:szCs w:val="22"/>
        </w:rPr>
        <w:t>.</w:t>
      </w:r>
    </w:p>
    <w:p w14:paraId="2298636C" w14:textId="77777777" w:rsidR="00954448" w:rsidRPr="007676BC" w:rsidRDefault="00954448" w:rsidP="007676BC">
      <w:pPr>
        <w:spacing w:before="240"/>
      </w:pPr>
    </w:p>
    <w:p w14:paraId="21A2AC92" w14:textId="3AAFE3A5" w:rsidR="007676BC" w:rsidRDefault="007676BC" w:rsidP="00E2373F">
      <w:pPr>
        <w:pStyle w:val="IEEEStdsParagraph"/>
        <w:rPr>
          <w:sz w:val="22"/>
        </w:rPr>
      </w:pPr>
    </w:p>
    <w:p w14:paraId="08BCF6EE" w14:textId="2D904E78" w:rsidR="007676BC" w:rsidRDefault="007676BC" w:rsidP="00954448">
      <w:pPr>
        <w:pStyle w:val="Heading3"/>
      </w:pPr>
      <w:r>
        <w:t>Option 2:</w:t>
      </w:r>
    </w:p>
    <w:p w14:paraId="141F19AE" w14:textId="0828D1A6" w:rsidR="00954448" w:rsidRDefault="00954448" w:rsidP="00954448"/>
    <w:p w14:paraId="20FF91F1" w14:textId="277EB31C" w:rsidR="00954448" w:rsidRPr="00954448" w:rsidRDefault="00954448" w:rsidP="00954448">
      <w:pPr>
        <w:rPr>
          <w:sz w:val="22"/>
          <w:szCs w:val="24"/>
        </w:rPr>
      </w:pPr>
      <w:r w:rsidRPr="00954448">
        <w:rPr>
          <w:sz w:val="22"/>
          <w:szCs w:val="24"/>
        </w:rPr>
        <w:t>Move to FTM frame level:</w:t>
      </w:r>
    </w:p>
    <w:p w14:paraId="4135B794" w14:textId="77777777" w:rsidR="00954448" w:rsidRPr="00954448" w:rsidRDefault="00954448" w:rsidP="00954448"/>
    <w:tbl>
      <w:tblPr>
        <w:tblW w:w="1017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130"/>
        <w:gridCol w:w="1104"/>
        <w:gridCol w:w="20"/>
        <w:gridCol w:w="1131"/>
        <w:gridCol w:w="132"/>
        <w:gridCol w:w="977"/>
        <w:gridCol w:w="426"/>
        <w:gridCol w:w="819"/>
        <w:gridCol w:w="441"/>
        <w:gridCol w:w="445"/>
        <w:gridCol w:w="91"/>
        <w:gridCol w:w="711"/>
        <w:gridCol w:w="98"/>
        <w:gridCol w:w="754"/>
        <w:gridCol w:w="140"/>
        <w:gridCol w:w="237"/>
        <w:gridCol w:w="669"/>
        <w:gridCol w:w="220"/>
        <w:gridCol w:w="770"/>
      </w:tblGrid>
      <w:tr w:rsidR="00954448" w:rsidRPr="00936180" w14:paraId="5A1CAF76" w14:textId="77777777" w:rsidTr="00954448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0A38E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2E2" w14:textId="77777777" w:rsidR="00954448" w:rsidRPr="00BA2429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>
              <w:t>Category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B68D8" w14:textId="77777777" w:rsidR="00954448" w:rsidRPr="00E43564" w:rsidRDefault="00954448" w:rsidP="003B10F8">
            <w:pPr>
              <w:pStyle w:val="IEEEStdsTableData-Left"/>
              <w:jc w:val="center"/>
            </w:pPr>
            <w:r w:rsidRPr="00D51915">
              <w:t>Public Action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D78D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Dialog Token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EBA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Follow Up Dialog Token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961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TOD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6D7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TOA</w:t>
            </w:r>
          </w:p>
        </w:tc>
      </w:tr>
      <w:tr w:rsidR="00954448" w:rsidRPr="00F038AD" w14:paraId="6FC34544" w14:textId="77777777" w:rsidTr="00954448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4150A" w14:textId="77777777" w:rsidR="00954448" w:rsidRPr="00BA2429" w:rsidRDefault="00954448" w:rsidP="003B10F8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7EBEF" w14:textId="77777777" w:rsidR="00954448" w:rsidRPr="00E43564" w:rsidRDefault="00954448" w:rsidP="003B10F8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31EB8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380E4C17" w14:textId="77777777" w:rsidR="00954448" w:rsidRPr="00D51915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D51915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789E0A1" w14:textId="77777777" w:rsidR="00954448" w:rsidRPr="00E43564" w:rsidRDefault="00954448" w:rsidP="003B10F8">
            <w:pPr>
              <w:pStyle w:val="IEEEStdsTableData-Left"/>
              <w:jc w:val="center"/>
            </w:pPr>
            <w:r w:rsidRPr="00E43564">
              <w:t>1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F7B44E6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570EFF2C" w14:textId="77777777" w:rsidR="00954448" w:rsidRPr="00D51915" w:rsidRDefault="00954448" w:rsidP="003B10F8">
            <w:pPr>
              <w:pStyle w:val="IEEEStdsTableData-Left"/>
              <w:jc w:val="center"/>
            </w:pPr>
            <w:r w:rsidRPr="00D51915"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75603018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</w:tcPr>
          <w:p w14:paraId="06220541" w14:textId="77777777" w:rsidR="00954448" w:rsidRPr="00D51915" w:rsidRDefault="00954448" w:rsidP="003B10F8">
            <w:pPr>
              <w:pStyle w:val="IEEEStdsTableData-Lef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62303DE4" w14:textId="77777777" w:rsidR="00954448" w:rsidRPr="00D51915" w:rsidRDefault="00954448" w:rsidP="003B10F8">
            <w:pPr>
              <w:pStyle w:val="IEEEStdsTableData-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54448" w:rsidRPr="00BE5E66" w14:paraId="67843507" w14:textId="77777777" w:rsidTr="00954448">
        <w:trPr>
          <w:trHeight w:val="268"/>
          <w:jc w:val="center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5420E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2C5" w14:textId="77777777" w:rsidR="00954448" w:rsidRPr="00BA2429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>
              <w:t>TOD Error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547AF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 xml:space="preserve">TOA </w:t>
            </w:r>
            <w:proofErr w:type="spellStart"/>
            <w:r>
              <w:t>Eror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BCF6E" w14:textId="77777777" w:rsidR="00954448" w:rsidRDefault="00954448" w:rsidP="003B10F8">
            <w:pPr>
              <w:pStyle w:val="IEEEStdsTableData-Left"/>
              <w:jc w:val="center"/>
            </w:pPr>
            <w:r>
              <w:t>LCI Report</w:t>
            </w:r>
          </w:p>
          <w:p w14:paraId="38F1740C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5F8" w14:textId="77777777" w:rsidR="00954448" w:rsidRDefault="00954448" w:rsidP="003B10F8">
            <w:pPr>
              <w:pStyle w:val="IEEEStdsTableData-Left"/>
              <w:jc w:val="center"/>
            </w:pPr>
            <w:r>
              <w:t>Location Civic Report</w:t>
            </w:r>
          </w:p>
          <w:p w14:paraId="1D3ABB1F" w14:textId="41C793FB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76F" w14:textId="77777777" w:rsidR="00954448" w:rsidRDefault="00954448" w:rsidP="003B10F8">
            <w:pPr>
              <w:pStyle w:val="IEEEStdsTableData-Left"/>
              <w:jc w:val="center"/>
            </w:pPr>
            <w:r>
              <w:t>Fine Timing</w:t>
            </w:r>
          </w:p>
          <w:p w14:paraId="57A66FD9" w14:textId="77777777" w:rsidR="00954448" w:rsidRDefault="00954448" w:rsidP="003B10F8">
            <w:pPr>
              <w:pStyle w:val="IEEEStdsTableData-Left"/>
              <w:jc w:val="center"/>
            </w:pPr>
            <w:r>
              <w:t>Measurement</w:t>
            </w:r>
          </w:p>
          <w:p w14:paraId="271DC1DB" w14:textId="77777777" w:rsidR="00954448" w:rsidRDefault="00954448" w:rsidP="003B10F8">
            <w:pPr>
              <w:pStyle w:val="IEEEStdsTableData-Left"/>
              <w:jc w:val="center"/>
            </w:pPr>
            <w:r>
              <w:t>Parameters</w:t>
            </w:r>
          </w:p>
          <w:p w14:paraId="3BA2C939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14D" w14:textId="77777777" w:rsidR="00954448" w:rsidRDefault="00954448" w:rsidP="003B10F8">
            <w:pPr>
              <w:pStyle w:val="IEEEStdsTableData-Left"/>
              <w:jc w:val="center"/>
            </w:pPr>
            <w:r>
              <w:t>FTM</w:t>
            </w:r>
          </w:p>
          <w:p w14:paraId="15B7BFC3" w14:textId="77777777" w:rsidR="00954448" w:rsidRDefault="00954448" w:rsidP="003B10F8">
            <w:pPr>
              <w:pStyle w:val="IEEEStdsTableData-Left"/>
              <w:jc w:val="center"/>
            </w:pPr>
            <w:r>
              <w:t>Synchronization information</w:t>
            </w:r>
          </w:p>
          <w:p w14:paraId="454447D3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(optional)</w:t>
            </w:r>
          </w:p>
        </w:tc>
      </w:tr>
      <w:tr w:rsidR="00954448" w:rsidRPr="00BE5E66" w14:paraId="1461345B" w14:textId="77777777" w:rsidTr="00954448">
        <w:trPr>
          <w:trHeight w:val="268"/>
          <w:jc w:val="center"/>
        </w:trPr>
        <w:tc>
          <w:tcPr>
            <w:tcW w:w="8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34367" w14:textId="77777777" w:rsidR="00954448" w:rsidRPr="00BA2429" w:rsidRDefault="00954448" w:rsidP="003B10F8">
            <w:pPr>
              <w:pStyle w:val="IEEEStdsTableData-Left"/>
            </w:pPr>
            <w:r w:rsidRPr="00BA2429">
              <w:t>Octets</w:t>
            </w:r>
            <w:r>
              <w:t>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DBBE7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E85ED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14:paraId="59F4BC6C" w14:textId="77777777" w:rsidR="00954448" w:rsidRPr="00BE5E66" w:rsidRDefault="00954448" w:rsidP="003B10F8">
            <w:pPr>
              <w:pStyle w:val="IEEEStdsTableData-Left"/>
              <w:jc w:val="center"/>
              <w:rPr>
                <w:b/>
              </w:rPr>
            </w:pPr>
            <w:r>
              <w:t>variable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CED6795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</w:tcBorders>
          </w:tcPr>
          <w:p w14:paraId="5AAB8BA1" w14:textId="77777777" w:rsidR="00954448" w:rsidRPr="00BE5E66" w:rsidRDefault="00954448" w:rsidP="003B10F8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</w:tcPr>
          <w:p w14:paraId="02188ACA" w14:textId="77777777" w:rsidR="00954448" w:rsidRPr="00BE5E66" w:rsidRDefault="00954448" w:rsidP="003B10F8">
            <w:pPr>
              <w:pStyle w:val="IEEEStdsTableData-Left"/>
              <w:jc w:val="center"/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</w:tcPr>
          <w:p w14:paraId="02911F0F" w14:textId="77777777" w:rsidR="00954448" w:rsidRPr="00BE5E66" w:rsidRDefault="00954448" w:rsidP="003B10F8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variable</w:t>
            </w:r>
          </w:p>
        </w:tc>
      </w:tr>
      <w:tr w:rsidR="00954448" w:rsidRPr="00BA2429" w14:paraId="47DCE219" w14:textId="77777777" w:rsidTr="00954448">
        <w:trPr>
          <w:trHeight w:val="268"/>
          <w:jc w:val="center"/>
        </w:trPr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2507B" w14:textId="77777777" w:rsidR="00954448" w:rsidRPr="00BA2429" w:rsidRDefault="00954448" w:rsidP="003B10F8">
            <w:pPr>
              <w:pStyle w:val="IEEEStdsTableData-Left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6778F" w14:textId="77777777" w:rsidR="00954448" w:rsidRPr="00954448" w:rsidRDefault="00954448" w:rsidP="003B10F8">
            <w:pPr>
              <w:pStyle w:val="IEEEStdsTableData-Left"/>
              <w:jc w:val="center"/>
            </w:pPr>
          </w:p>
          <w:p w14:paraId="2ED5A0E9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Ranging Parameters (optional)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ADD24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Secure HE-LTF Parameters (optional)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764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Channel Measurement Feedback Type (optional)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4F2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Channel Measurement Feedback (optional)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39" w14:textId="77777777" w:rsidR="00954448" w:rsidRPr="00954448" w:rsidRDefault="00954448" w:rsidP="003B10F8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Direction Measurement Results</w:t>
            </w:r>
          </w:p>
          <w:p w14:paraId="6B9729B7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8BC" w14:textId="77777777" w:rsidR="00954448" w:rsidRPr="00954448" w:rsidRDefault="00954448" w:rsidP="003B10F8">
            <w:pPr>
              <w:pStyle w:val="IEEEStdsTableData-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Multiple Best AWV ID</w:t>
            </w:r>
          </w:p>
          <w:p w14:paraId="1F154377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(optional)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46E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rPr>
                <w:bCs/>
                <w:color w:val="000000"/>
                <w:szCs w:val="22"/>
              </w:rPr>
              <w:t>Multiple AOD Feedback (optional)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FDA" w14:textId="6FA255EF" w:rsidR="00954448" w:rsidRPr="00954448" w:rsidRDefault="00954448" w:rsidP="003B10F8">
            <w:pPr>
              <w:pStyle w:val="IEEEStdsTableData-Left"/>
              <w:jc w:val="center"/>
              <w:rPr>
                <w:bCs/>
                <w:color w:val="000000"/>
                <w:szCs w:val="22"/>
              </w:rPr>
            </w:pPr>
            <w:r w:rsidRPr="00954448">
              <w:rPr>
                <w:bCs/>
                <w:color w:val="000000"/>
                <w:szCs w:val="22"/>
              </w:rPr>
              <w:t>LOS Likelihood (optional)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C48" w14:textId="1BC8C476" w:rsidR="00954448" w:rsidRPr="00954448" w:rsidRDefault="00954448" w:rsidP="003B10F8">
            <w:pPr>
              <w:pStyle w:val="IEEEStdsTableData-Left"/>
              <w:jc w:val="center"/>
              <w:rPr>
                <w:u w:val="single"/>
              </w:rPr>
            </w:pPr>
            <w:r w:rsidRPr="00954448">
              <w:rPr>
                <w:bCs/>
                <w:color w:val="000000"/>
                <w:szCs w:val="22"/>
                <w:u w:val="single"/>
              </w:rPr>
              <w:t>Transmit Power Envelope (optional)</w:t>
            </w:r>
          </w:p>
        </w:tc>
      </w:tr>
      <w:tr w:rsidR="00954448" w:rsidRPr="00BA2429" w14:paraId="62C6F7D2" w14:textId="77777777" w:rsidTr="00954448">
        <w:trPr>
          <w:trHeight w:val="268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ABEE8" w14:textId="77777777" w:rsidR="00954448" w:rsidRPr="00BA2429" w:rsidRDefault="00954448" w:rsidP="003B10F8">
            <w:pPr>
              <w:pStyle w:val="IEEEStdsTableData-Left"/>
            </w:pPr>
            <w:r>
              <w:t xml:space="preserve"> </w:t>
            </w:r>
            <w:r w:rsidRPr="00BA2429">
              <w:t>Octets</w:t>
            </w:r>
            <w:r>
              <w:t>: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AC4B8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34B972D4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t>14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</w:tcPr>
          <w:p w14:paraId="4976FA65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14:paraId="7470C430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variable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</w:tcBorders>
          </w:tcPr>
          <w:p w14:paraId="25235AED" w14:textId="77777777" w:rsidR="00954448" w:rsidRPr="00954448" w:rsidRDefault="00954448" w:rsidP="003B10F8">
            <w:pPr>
              <w:pStyle w:val="IEEEStdsTableData-Left"/>
              <w:jc w:val="center"/>
            </w:pPr>
            <w:r w:rsidRPr="00954448">
              <w:t>9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86408BE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10B04847" w14:textId="77777777" w:rsidR="00954448" w:rsidRPr="00954448" w:rsidRDefault="00954448" w:rsidP="003B10F8">
            <w:pPr>
              <w:pStyle w:val="IEEEStdsTableData-Left"/>
              <w:jc w:val="center"/>
              <w:rPr>
                <w:b/>
              </w:rPr>
            </w:pPr>
            <w:r w:rsidRPr="00954448">
              <w:rPr>
                <w:bCs/>
              </w:rPr>
              <w:t>variable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</w:tcPr>
          <w:p w14:paraId="068ACDB1" w14:textId="1601A19F" w:rsidR="00954448" w:rsidRPr="00954448" w:rsidRDefault="00954448" w:rsidP="003B10F8">
            <w:pPr>
              <w:pStyle w:val="IEEEStdsTableData-Lef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55D18ACF" w14:textId="36AE21E2" w:rsidR="00954448" w:rsidRPr="00954448" w:rsidRDefault="00954448" w:rsidP="003B10F8">
            <w:pPr>
              <w:pStyle w:val="IEEEStdsTableData-Left"/>
              <w:jc w:val="center"/>
              <w:rPr>
                <w:bCs/>
                <w:u w:val="single"/>
              </w:rPr>
            </w:pPr>
            <w:r w:rsidRPr="00954448">
              <w:rPr>
                <w:bCs/>
                <w:u w:val="single"/>
              </w:rPr>
              <w:t>variable</w:t>
            </w:r>
          </w:p>
        </w:tc>
      </w:tr>
    </w:tbl>
    <w:p w14:paraId="061E1E37" w14:textId="69C60C57" w:rsidR="00954448" w:rsidRDefault="00954448" w:rsidP="00954448">
      <w:pPr>
        <w:pStyle w:val="IEEEStdsTableLineHead"/>
        <w:ind w:left="720"/>
        <w:rPr>
          <w:sz w:val="22"/>
        </w:rPr>
      </w:pPr>
    </w:p>
    <w:p w14:paraId="4C79DF2C" w14:textId="77777777" w:rsidR="00954448" w:rsidRDefault="00954448" w:rsidP="00954448">
      <w:pPr>
        <w:pStyle w:val="IEEEStdsRegularFigureCaption"/>
      </w:pPr>
      <w:bookmarkStart w:id="13" w:name="_Toc112061166"/>
      <w:bookmarkStart w:id="14" w:name="F09o896"/>
      <w:r>
        <w:t>F</w:t>
      </w:r>
      <w:r w:rsidRPr="008326CD">
        <w:t>igure 9-8</w:t>
      </w:r>
      <w:r>
        <w:t>96</w:t>
      </w:r>
      <w:r w:rsidRPr="00603826">
        <w:rPr>
          <w:rFonts w:eastAsia="Helvetica"/>
        </w:rPr>
        <w:t>—</w:t>
      </w:r>
      <w:r w:rsidRPr="008326CD">
        <w:t>Fine Timing Measurement</w:t>
      </w:r>
      <w:r>
        <w:t xml:space="preserve"> (FTM)</w:t>
      </w:r>
      <w:r w:rsidRPr="008326CD">
        <w:t xml:space="preserve"> Action field format</w:t>
      </w:r>
      <w:bookmarkEnd w:id="13"/>
    </w:p>
    <w:bookmarkEnd w:id="14"/>
    <w:p w14:paraId="3F6BE254" w14:textId="5C5F77DA" w:rsidR="007676BC" w:rsidRDefault="007676BC" w:rsidP="00E2373F">
      <w:pPr>
        <w:pStyle w:val="IEEEStdsParagraph"/>
        <w:rPr>
          <w:sz w:val="22"/>
        </w:rPr>
      </w:pPr>
    </w:p>
    <w:p w14:paraId="07EE21E4" w14:textId="0E1D92F1" w:rsidR="00954448" w:rsidRDefault="00954448" w:rsidP="00954448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… …</w:t>
      </w:r>
    </w:p>
    <w:p w14:paraId="1F9ADDE0" w14:textId="77777777" w:rsidR="00954448" w:rsidRDefault="00954448" w:rsidP="00954448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rPr>
          <w:bCs/>
          <w:sz w:val="22"/>
          <w:szCs w:val="22"/>
          <w:lang w:val="en-US" w:eastAsia="ja-JP"/>
        </w:rPr>
      </w:pPr>
    </w:p>
    <w:p w14:paraId="5585C547" w14:textId="73C651FB" w:rsidR="00954448" w:rsidRPr="007676BC" w:rsidRDefault="00954448" w:rsidP="00954448">
      <w:pPr>
        <w:pStyle w:val="IEEEStdsParagraph"/>
        <w:rPr>
          <w:sz w:val="22"/>
        </w:rPr>
      </w:pPr>
      <w:r w:rsidRPr="006D0821">
        <w:rPr>
          <w:sz w:val="22"/>
          <w:u w:val="single"/>
        </w:rPr>
        <w:t xml:space="preserve">The Transmit Power Envelope </w:t>
      </w:r>
      <w:r w:rsidR="006D0821" w:rsidRPr="006D0821">
        <w:rPr>
          <w:sz w:val="22"/>
          <w:u w:val="single"/>
        </w:rPr>
        <w:t>field</w:t>
      </w:r>
      <w:r w:rsidRPr="006D0821">
        <w:rPr>
          <w:sz w:val="22"/>
          <w:u w:val="single"/>
        </w:rPr>
        <w:t xml:space="preserve"> is optionally present. If present, it contains a </w:t>
      </w:r>
      <w:r w:rsidR="006D0821" w:rsidRPr="006D0821">
        <w:rPr>
          <w:sz w:val="22"/>
          <w:u w:val="single"/>
        </w:rPr>
        <w:t xml:space="preserve">Transmit Power </w:t>
      </w:r>
      <w:proofErr w:type="spellStart"/>
      <w:r w:rsidR="006D0821" w:rsidRPr="006D0821">
        <w:rPr>
          <w:sz w:val="22"/>
          <w:u w:val="single"/>
        </w:rPr>
        <w:t>Enveople</w:t>
      </w:r>
      <w:proofErr w:type="spellEnd"/>
      <w:r w:rsidR="006D0821" w:rsidRPr="006D0821">
        <w:rPr>
          <w:sz w:val="22"/>
          <w:u w:val="single"/>
        </w:rPr>
        <w:t xml:space="preserve"> </w:t>
      </w:r>
      <w:r w:rsidRPr="006D0821">
        <w:rPr>
          <w:sz w:val="22"/>
          <w:u w:val="single"/>
        </w:rPr>
        <w:t xml:space="preserve">element as defined </w:t>
      </w:r>
      <w:r w:rsidR="006D0821" w:rsidRPr="006D0821">
        <w:rPr>
          <w:sz w:val="22"/>
          <w:szCs w:val="22"/>
          <w:u w:val="single"/>
        </w:rPr>
        <w:t>9.4.2.160 (Transmit Power Envelope element)</w:t>
      </w:r>
      <w:r w:rsidR="006D0821" w:rsidRPr="001170FC">
        <w:rPr>
          <w:sz w:val="22"/>
          <w:szCs w:val="22"/>
        </w:rPr>
        <w:t>.</w:t>
      </w:r>
    </w:p>
    <w:sectPr w:rsidR="00954448" w:rsidRPr="007676B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3CE5" w14:textId="77777777" w:rsidR="00944DB4" w:rsidRDefault="00944DB4">
      <w:r>
        <w:separator/>
      </w:r>
    </w:p>
  </w:endnote>
  <w:endnote w:type="continuationSeparator" w:id="0">
    <w:p w14:paraId="3979B32A" w14:textId="77777777" w:rsidR="00944DB4" w:rsidRDefault="0094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BBA2" w14:textId="77777777" w:rsidR="00944DB4" w:rsidRDefault="00944DB4">
      <w:r>
        <w:separator/>
      </w:r>
    </w:p>
  </w:footnote>
  <w:footnote w:type="continuationSeparator" w:id="0">
    <w:p w14:paraId="56E0814A" w14:textId="77777777" w:rsidR="00944DB4" w:rsidRDefault="0094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61F7FF6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C84902">
        <w:t>0038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4175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36</cp:revision>
  <cp:lastPrinted>2010-05-04T03:47:00Z</cp:lastPrinted>
  <dcterms:created xsi:type="dcterms:W3CDTF">2023-11-15T01:29:00Z</dcterms:created>
  <dcterms:modified xsi:type="dcterms:W3CDTF">2024-01-08T19:32:00Z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