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7FEB78F1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141690">
              <w:t>January</w:t>
            </w:r>
            <w:r w:rsidR="00F124E5">
              <w:t xml:space="preserve"> </w:t>
            </w:r>
            <w:r w:rsidR="00B06483">
              <w:t>4</w:t>
            </w:r>
            <w:r w:rsidR="00F124E5" w:rsidRPr="00F124E5">
              <w:rPr>
                <w:vertAlign w:val="superscript"/>
              </w:rPr>
              <w:t>th</w:t>
            </w:r>
            <w:r w:rsidR="00F124E5">
              <w:t xml:space="preserve"> </w:t>
            </w:r>
            <w:r w:rsidR="00C8731D">
              <w:t>202</w:t>
            </w:r>
            <w:r w:rsidR="0014169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64D57B6F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14169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141690">
              <w:rPr>
                <w:b w:val="0"/>
                <w:sz w:val="20"/>
              </w:rPr>
              <w:t>01</w:t>
            </w:r>
            <w:r w:rsidR="00FD266C">
              <w:rPr>
                <w:b w:val="0"/>
                <w:sz w:val="20"/>
              </w:rPr>
              <w:t>-</w:t>
            </w:r>
            <w:r w:rsidR="00141690">
              <w:rPr>
                <w:b w:val="0"/>
                <w:sz w:val="20"/>
              </w:rPr>
              <w:t>0</w:t>
            </w:r>
            <w:r w:rsidR="00B06483">
              <w:rPr>
                <w:b w:val="0"/>
                <w:sz w:val="20"/>
              </w:rPr>
              <w:t>5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DA6A82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6AE074CC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Thursday </w:t>
                            </w:r>
                            <w:r w:rsidR="00141690">
                              <w:rPr>
                                <w:color w:val="000000"/>
                              </w:rPr>
                              <w:t>January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027D21">
                              <w:rPr>
                                <w:color w:val="000000"/>
                              </w:rPr>
                              <w:t>4</w:t>
                            </w:r>
                            <w:r w:rsidR="00F124E5">
                              <w:rPr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6AE074CC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F124E5">
                        <w:rPr>
                          <w:color w:val="000000"/>
                        </w:rPr>
                        <w:t xml:space="preserve">Thursday </w:t>
                      </w:r>
                      <w:r w:rsidR="00141690">
                        <w:rPr>
                          <w:color w:val="000000"/>
                        </w:rPr>
                        <w:t>January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027D21">
                        <w:rPr>
                          <w:color w:val="000000"/>
                        </w:rPr>
                        <w:t>4</w:t>
                      </w:r>
                      <w:r w:rsidR="00F124E5">
                        <w:rPr>
                          <w:color w:val="000000"/>
                        </w:rPr>
                        <w:t>th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7BDAF5C" w14:textId="42FD6265" w:rsidR="009C6BD4" w:rsidRDefault="009C6BD4"/>
    <w:p w14:paraId="62B24014" w14:textId="27E41AB5" w:rsidR="009C6BD4" w:rsidRDefault="00141690" w:rsidP="009C6BD4">
      <w:pPr>
        <w:rPr>
          <w:b/>
          <w:szCs w:val="22"/>
        </w:rPr>
      </w:pPr>
      <w:r>
        <w:rPr>
          <w:b/>
          <w:szCs w:val="22"/>
        </w:rPr>
        <w:t>January</w:t>
      </w:r>
      <w:r w:rsidR="009C6BD4">
        <w:rPr>
          <w:b/>
          <w:szCs w:val="22"/>
        </w:rPr>
        <w:t xml:space="preserve"> </w:t>
      </w:r>
      <w:r w:rsidR="00B06483">
        <w:rPr>
          <w:b/>
          <w:szCs w:val="22"/>
        </w:rPr>
        <w:t>4</w:t>
      </w:r>
      <w:r w:rsidR="009C6BD4" w:rsidRPr="007C7FFC">
        <w:rPr>
          <w:b/>
          <w:szCs w:val="22"/>
          <w:vertAlign w:val="superscript"/>
        </w:rPr>
        <w:t>th</w:t>
      </w:r>
      <w:r w:rsidR="009C6BD4">
        <w:rPr>
          <w:b/>
          <w:szCs w:val="22"/>
        </w:rPr>
        <w:t>:</w:t>
      </w:r>
    </w:p>
    <w:p w14:paraId="6B512A56" w14:textId="77777777" w:rsidR="009C6BD4" w:rsidRDefault="009C6BD4" w:rsidP="009C6BD4">
      <w:pPr>
        <w:rPr>
          <w:b/>
          <w:szCs w:val="22"/>
        </w:rPr>
      </w:pPr>
    </w:p>
    <w:p w14:paraId="23D214B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D1A237C" w14:textId="77777777" w:rsidR="009C6BD4" w:rsidRDefault="009C6BD4" w:rsidP="009C6BD4">
      <w:pPr>
        <w:rPr>
          <w:b/>
          <w:bCs/>
          <w:szCs w:val="22"/>
        </w:rPr>
      </w:pPr>
    </w:p>
    <w:p w14:paraId="2ED00F69" w14:textId="23E98278" w:rsidR="009C6BD4" w:rsidRDefault="009C6BD4" w:rsidP="009C6BD4">
      <w:pPr>
        <w:rPr>
          <w:szCs w:val="22"/>
        </w:rPr>
      </w:pPr>
      <w:r>
        <w:rPr>
          <w:szCs w:val="22"/>
        </w:rPr>
        <w:t xml:space="preserve">Chair calls meeting to order at </w:t>
      </w:r>
      <w:r w:rsidRPr="00A56DBF">
        <w:rPr>
          <w:szCs w:val="22"/>
        </w:rPr>
        <w:t>10:0</w:t>
      </w:r>
      <w:r w:rsidR="005C6244">
        <w:rPr>
          <w:szCs w:val="22"/>
        </w:rPr>
        <w:t>2</w:t>
      </w:r>
      <w:r w:rsidRPr="00C01D3A">
        <w:rPr>
          <w:szCs w:val="22"/>
        </w:rPr>
        <w:t xml:space="preserve"> ET.</w:t>
      </w:r>
    </w:p>
    <w:p w14:paraId="7EEBEDEE" w14:textId="77777777" w:rsidR="009C6BD4" w:rsidRDefault="009C6BD4" w:rsidP="009C6BD4">
      <w:pPr>
        <w:rPr>
          <w:b/>
          <w:bCs/>
          <w:szCs w:val="22"/>
        </w:rPr>
      </w:pPr>
    </w:p>
    <w:p w14:paraId="3C13CBE8" w14:textId="5D76119F" w:rsidR="009C6BD4" w:rsidRDefault="009C6BD4" w:rsidP="009C6BD4">
      <w:r>
        <w:rPr>
          <w:szCs w:val="22"/>
        </w:rPr>
        <w:t xml:space="preserve">Agenda slide deck: </w:t>
      </w:r>
      <w:hyperlink r:id="rId9">
        <w:r w:rsidR="00141690">
          <w:rPr>
            <w:rStyle w:val="Hyperlink"/>
          </w:rPr>
          <w:t>11-23-2162r3</w:t>
        </w:r>
      </w:hyperlink>
      <w:r>
        <w:rPr>
          <w:rStyle w:val="Hyperlink"/>
        </w:rPr>
        <w:t>:</w:t>
      </w:r>
    </w:p>
    <w:p w14:paraId="5E825447" w14:textId="77777777" w:rsidR="009C6BD4" w:rsidRDefault="009C6BD4" w:rsidP="009C6BD4">
      <w:pPr>
        <w:rPr>
          <w:szCs w:val="22"/>
        </w:rPr>
      </w:pPr>
    </w:p>
    <w:p w14:paraId="48E80F32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>Reminder to do attendance</w:t>
      </w:r>
    </w:p>
    <w:p w14:paraId="099BBE1E" w14:textId="77777777" w:rsidR="009C6BD4" w:rsidRPr="00FB5256" w:rsidRDefault="009C6BD4" w:rsidP="009C6BD4">
      <w:pPr>
        <w:ind w:left="360"/>
        <w:rPr>
          <w:highlight w:val="cyan"/>
        </w:rPr>
      </w:pPr>
    </w:p>
    <w:p w14:paraId="36D94D48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>Review of policies and procedures.</w:t>
      </w:r>
    </w:p>
    <w:p w14:paraId="49768877" w14:textId="77777777" w:rsidR="009C6BD4" w:rsidRPr="00360F34" w:rsidRDefault="009C6BD4" w:rsidP="009C6BD4">
      <w:pPr>
        <w:numPr>
          <w:ilvl w:val="1"/>
          <w:numId w:val="2"/>
        </w:numPr>
      </w:pPr>
      <w:r w:rsidRPr="00360F34">
        <w:t>IEEE individual process slides were presented.</w:t>
      </w:r>
    </w:p>
    <w:p w14:paraId="635E17BE" w14:textId="77777777" w:rsidR="009C6BD4" w:rsidRPr="00FB5256" w:rsidRDefault="009C6BD4" w:rsidP="009C6BD4">
      <w:pPr>
        <w:ind w:left="360"/>
        <w:rPr>
          <w:highlight w:val="cyan"/>
        </w:rPr>
      </w:pPr>
    </w:p>
    <w:p w14:paraId="2BC1BE0C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>The chair mentioned the call for essential patents</w:t>
      </w:r>
    </w:p>
    <w:p w14:paraId="42A4AD06" w14:textId="6D4D9D56" w:rsidR="009C6BD4" w:rsidRDefault="009C6BD4" w:rsidP="009C6BD4">
      <w:pPr>
        <w:numPr>
          <w:ilvl w:val="1"/>
          <w:numId w:val="2"/>
        </w:numPr>
      </w:pPr>
      <w:r w:rsidRPr="00360F34">
        <w:t>No one responded to the call for essential patents</w:t>
      </w:r>
      <w:r w:rsidR="0020025B">
        <w:t xml:space="preserve"> but there is a comment.</w:t>
      </w:r>
    </w:p>
    <w:p w14:paraId="428E90C7" w14:textId="77777777" w:rsidR="009C6BD4" w:rsidRPr="00FB5256" w:rsidRDefault="009C6BD4" w:rsidP="009C6BD4">
      <w:pPr>
        <w:ind w:left="360"/>
        <w:rPr>
          <w:highlight w:val="cyan"/>
        </w:rPr>
      </w:pPr>
    </w:p>
    <w:p w14:paraId="7254F4B6" w14:textId="77777777" w:rsidR="009C6BD4" w:rsidRPr="00360F34" w:rsidRDefault="009C6BD4" w:rsidP="009C6BD4">
      <w:pPr>
        <w:numPr>
          <w:ilvl w:val="0"/>
          <w:numId w:val="2"/>
        </w:numPr>
      </w:pPr>
      <w:r w:rsidRPr="00360F34">
        <w:t xml:space="preserve">The chair covered the IEEE copyright </w:t>
      </w:r>
      <w:r>
        <w:t xml:space="preserve">policy </w:t>
      </w:r>
      <w:r w:rsidRPr="00360F34">
        <w:t>and participation rules.</w:t>
      </w:r>
    </w:p>
    <w:p w14:paraId="4867A93D" w14:textId="2F8D55AA" w:rsidR="00A56DBF" w:rsidRDefault="00A56DBF" w:rsidP="009C6BD4">
      <w:pPr>
        <w:numPr>
          <w:ilvl w:val="1"/>
          <w:numId w:val="2"/>
        </w:numPr>
      </w:pPr>
      <w:r w:rsidRPr="00360F34">
        <w:t>Q</w:t>
      </w:r>
      <w:r w:rsidR="009C6BD4" w:rsidRPr="00360F34">
        <w:t>uestions</w:t>
      </w:r>
    </w:p>
    <w:p w14:paraId="4DBAFAA9" w14:textId="159A21D2" w:rsidR="00141690" w:rsidRDefault="00141690" w:rsidP="00141690">
      <w:pPr>
        <w:pStyle w:val="ListParagraph"/>
        <w:ind w:left="360"/>
      </w:pPr>
      <w:r w:rsidRPr="0020025B">
        <w:t xml:space="preserve">No </w:t>
      </w:r>
      <w:r>
        <w:t>Questions</w:t>
      </w:r>
    </w:p>
    <w:p w14:paraId="403CE2D4" w14:textId="158EF162" w:rsidR="009C6BD4" w:rsidRPr="00360F34" w:rsidRDefault="009C6BD4" w:rsidP="00A56DBF">
      <w:pPr>
        <w:ind w:left="792"/>
      </w:pPr>
      <w:r w:rsidRPr="00360F34">
        <w:br/>
      </w:r>
    </w:p>
    <w:p w14:paraId="7AD6AA77" w14:textId="1A72AFAD" w:rsidR="009C6BD4" w:rsidRDefault="009C6BD4" w:rsidP="009C6BD4">
      <w:pPr>
        <w:numPr>
          <w:ilvl w:val="0"/>
          <w:numId w:val="2"/>
        </w:numPr>
        <w:rPr>
          <w:b/>
          <w:bCs/>
        </w:rPr>
      </w:pPr>
      <w:r w:rsidRPr="003C3387">
        <w:rPr>
          <w:b/>
          <w:bCs/>
        </w:rPr>
        <w:t>Discussion of agenda 11-23-</w:t>
      </w:r>
      <w:r w:rsidR="00B069D2">
        <w:rPr>
          <w:b/>
          <w:bCs/>
        </w:rPr>
        <w:t>2162r</w:t>
      </w:r>
      <w:r w:rsidR="004E0E37">
        <w:rPr>
          <w:b/>
          <w:bCs/>
        </w:rPr>
        <w:t>3</w:t>
      </w:r>
      <w:r w:rsidRPr="003C3387">
        <w:rPr>
          <w:b/>
          <w:bCs/>
        </w:rPr>
        <w:t xml:space="preserve"> (slide #1</w:t>
      </w:r>
      <w:r w:rsidR="005C6244">
        <w:rPr>
          <w:b/>
          <w:bCs/>
        </w:rPr>
        <w:t>4</w:t>
      </w:r>
      <w:r w:rsidRPr="003C3387">
        <w:rPr>
          <w:b/>
          <w:bCs/>
        </w:rPr>
        <w:t>)</w:t>
      </w:r>
    </w:p>
    <w:p w14:paraId="18569410" w14:textId="77777777" w:rsidR="009C6BD4" w:rsidRDefault="009C6BD4" w:rsidP="009C6BD4">
      <w:pPr>
        <w:numPr>
          <w:ilvl w:val="1"/>
          <w:numId w:val="2"/>
        </w:numPr>
      </w:pPr>
      <w:r>
        <w:t>Discussion on agenda</w:t>
      </w:r>
    </w:p>
    <w:p w14:paraId="241488B1" w14:textId="563ACA3F" w:rsidR="009C6BD4" w:rsidRDefault="00420934" w:rsidP="009C6BD4">
      <w:pPr>
        <w:ind w:left="792"/>
      </w:pPr>
      <w:r w:rsidRPr="0020025B">
        <w:t>No discussion</w:t>
      </w:r>
    </w:p>
    <w:p w14:paraId="286DB2B9" w14:textId="77777777" w:rsidR="00420934" w:rsidRDefault="00420934" w:rsidP="009C6BD4">
      <w:pPr>
        <w:ind w:left="792"/>
      </w:pPr>
    </w:p>
    <w:p w14:paraId="42CCA36D" w14:textId="0ACF321F" w:rsidR="009C6BD4" w:rsidRDefault="009C6BD4" w:rsidP="009C6BD4">
      <w:pPr>
        <w:numPr>
          <w:ilvl w:val="1"/>
          <w:numId w:val="2"/>
        </w:numPr>
      </w:pPr>
      <w:r w:rsidRPr="00103042">
        <w:t xml:space="preserve">Adoption of agenda by unanimous consent </w:t>
      </w:r>
      <w:r w:rsidRPr="00222E93">
        <w:t>(</w:t>
      </w:r>
      <w:r w:rsidR="005C6244">
        <w:t>14</w:t>
      </w:r>
      <w:r w:rsidRPr="00222E93">
        <w:t xml:space="preserve"> participants).</w:t>
      </w:r>
      <w:r w:rsidRPr="003C3387">
        <w:br/>
      </w:r>
    </w:p>
    <w:p w14:paraId="3FA65E1F" w14:textId="77777777" w:rsidR="009C6BD4" w:rsidRPr="003C3387" w:rsidRDefault="009C6BD4" w:rsidP="009C6BD4"/>
    <w:p w14:paraId="6C7596B6" w14:textId="77777777" w:rsidR="009C6BD4" w:rsidRDefault="009C6BD4" w:rsidP="009C6BD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030244BC" w14:textId="044E6744" w:rsidR="009C6BD4" w:rsidRPr="009C6BD4" w:rsidRDefault="009C6BD4" w:rsidP="009C6BD4">
      <w:pPr>
        <w:numPr>
          <w:ilvl w:val="1"/>
          <w:numId w:val="2"/>
        </w:numPr>
        <w:tabs>
          <w:tab w:val="clear" w:pos="0"/>
        </w:tabs>
      </w:pPr>
      <w:r w:rsidRPr="009C6BD4">
        <w:t xml:space="preserve">Upcoming </w:t>
      </w:r>
      <w:r w:rsidR="00B069D2">
        <w:t xml:space="preserve">teleconference </w:t>
      </w:r>
      <w:r w:rsidRPr="009C6BD4">
        <w:t>meeting times:</w:t>
      </w:r>
    </w:p>
    <w:p w14:paraId="5E661DCC" w14:textId="77777777" w:rsidR="00DA352A" w:rsidRDefault="00DA352A" w:rsidP="009C6BD4">
      <w:pPr>
        <w:ind w:left="1224"/>
      </w:pPr>
    </w:p>
    <w:p w14:paraId="6AAE0BE1" w14:textId="6C7D0C50" w:rsidR="00B069D2" w:rsidRPr="00B069D2" w:rsidRDefault="00B069D2" w:rsidP="00B069D2">
      <w:pPr>
        <w:numPr>
          <w:ilvl w:val="2"/>
          <w:numId w:val="13"/>
        </w:numPr>
      </w:pPr>
      <w:r w:rsidRPr="00B069D2">
        <w:t>Jan. 11</w:t>
      </w:r>
      <w:r w:rsidR="00EA6279" w:rsidRPr="00EA6279">
        <w:rPr>
          <w:vertAlign w:val="superscript"/>
        </w:rPr>
        <w:t>th</w:t>
      </w:r>
      <w:r>
        <w:t xml:space="preserve"> </w:t>
      </w:r>
      <w:r w:rsidR="00EA6279">
        <w:t>2024:</w:t>
      </w:r>
      <w:r>
        <w:t xml:space="preserve"> </w:t>
      </w:r>
      <w:r w:rsidR="00EA6279">
        <w:tab/>
      </w:r>
      <w:r w:rsidR="00EA6279">
        <w:tab/>
      </w:r>
      <w:r>
        <w:t>10:00 to 12:00 EDT</w:t>
      </w:r>
    </w:p>
    <w:p w14:paraId="1CA59AC4" w14:textId="49C27566" w:rsidR="009C6BD4" w:rsidRDefault="009C6BD4" w:rsidP="0020025B"/>
    <w:p w14:paraId="441EB55A" w14:textId="575B58FC" w:rsidR="005C6244" w:rsidRDefault="005C6244" w:rsidP="005C6244">
      <w:pPr>
        <w:ind w:left="360"/>
      </w:pPr>
      <w:r>
        <w:t xml:space="preserve">Chair indicated that current slot </w:t>
      </w:r>
      <w:proofErr w:type="gramStart"/>
      <w:r>
        <w:t>do</w:t>
      </w:r>
      <w:proofErr w:type="gramEnd"/>
      <w:r>
        <w:t xml:space="preserve"> not have conflict with other groups (mainly 11bn), and will discuss with 11bn chair to avoid future conflict after January meeting.</w:t>
      </w:r>
    </w:p>
    <w:p w14:paraId="18F52913" w14:textId="77777777" w:rsidR="009C6BD4" w:rsidRPr="007C7FFC" w:rsidRDefault="009C6BD4" w:rsidP="009C6BD4">
      <w:pPr>
        <w:ind w:left="360"/>
      </w:pPr>
    </w:p>
    <w:p w14:paraId="2053E9BD" w14:textId="1DF24D70" w:rsidR="00FD266C" w:rsidRDefault="00FD266C" w:rsidP="00FD266C">
      <w:pPr>
        <w:numPr>
          <w:ilvl w:val="0"/>
          <w:numId w:val="2"/>
        </w:numPr>
      </w:pPr>
      <w:r>
        <w:rPr>
          <w:b/>
          <w:bCs/>
        </w:rPr>
        <w:t>Technical Submissions</w:t>
      </w:r>
    </w:p>
    <w:p w14:paraId="3062C34B" w14:textId="77777777" w:rsidR="009C6BD4" w:rsidRPr="009C6BD4" w:rsidRDefault="009C6BD4" w:rsidP="009C6BD4">
      <w:pPr>
        <w:ind w:left="1224"/>
      </w:pPr>
    </w:p>
    <w:p w14:paraId="78360107" w14:textId="34B98AE5" w:rsidR="009C6BD4" w:rsidRDefault="00DA6A82" w:rsidP="009C6BD4">
      <w:pPr>
        <w:numPr>
          <w:ilvl w:val="1"/>
          <w:numId w:val="2"/>
        </w:numPr>
        <w:tabs>
          <w:tab w:val="clear" w:pos="0"/>
        </w:tabs>
      </w:pPr>
      <w:hyperlink r:id="rId10" w:history="1">
        <w:r w:rsidR="005C6244">
          <w:rPr>
            <w:rStyle w:val="Hyperlink"/>
          </w:rPr>
          <w:t>11-23/2098r3</w:t>
        </w:r>
      </w:hyperlink>
      <w:r w:rsidR="009C6BD4" w:rsidRPr="009C6BD4">
        <w:t xml:space="preserve"> – </w:t>
      </w:r>
      <w:r w:rsidR="00B069D2">
        <w:t xml:space="preserve">Frame Anonymization (FA) normative text for 11bi </w:t>
      </w:r>
      <w:r w:rsidR="00FD266C">
        <w:t xml:space="preserve">-- </w:t>
      </w:r>
      <w:r w:rsidR="00B069D2">
        <w:t>Philip Hawkes</w:t>
      </w:r>
    </w:p>
    <w:p w14:paraId="7C48BA83" w14:textId="277AE29A" w:rsidR="00CA0435" w:rsidRDefault="005C6244" w:rsidP="005C6244">
      <w:pPr>
        <w:ind w:left="709"/>
      </w:pPr>
      <w:r>
        <w:t>Present document that was amended online during last meeting (r3), and prepare r4 that will contain today’s changes.</w:t>
      </w:r>
    </w:p>
    <w:p w14:paraId="2259C017" w14:textId="77777777" w:rsidR="005C6244" w:rsidRDefault="005C6244" w:rsidP="005C6244">
      <w:pPr>
        <w:ind w:left="792"/>
      </w:pPr>
      <w:r>
        <w:t>The group agreed that the text on 11-23/2098r3 before the tag is agreed and can be added to the spec text.</w:t>
      </w:r>
    </w:p>
    <w:p w14:paraId="3054053D" w14:textId="77777777" w:rsidR="005C6244" w:rsidRDefault="005C6244" w:rsidP="005C6244">
      <w:pPr>
        <w:ind w:left="709"/>
      </w:pPr>
    </w:p>
    <w:p w14:paraId="1DACD701" w14:textId="104D3075" w:rsidR="00CA0435" w:rsidRDefault="00CA0435" w:rsidP="00B06483">
      <w:pPr>
        <w:ind w:left="360"/>
      </w:pPr>
      <w:r>
        <w:t xml:space="preserve"> </w:t>
      </w:r>
    </w:p>
    <w:p w14:paraId="10E7A5A3" w14:textId="0B92103B" w:rsidR="00B06483" w:rsidRDefault="00B06483" w:rsidP="00B06483">
      <w:pPr>
        <w:numPr>
          <w:ilvl w:val="2"/>
          <w:numId w:val="2"/>
        </w:numPr>
      </w:pPr>
      <w:r>
        <w:t>Discussion</w:t>
      </w:r>
    </w:p>
    <w:p w14:paraId="56104B8E" w14:textId="3E7F59DA" w:rsidR="00FD266C" w:rsidRDefault="00FD266C" w:rsidP="00FD266C">
      <w:pPr>
        <w:ind w:left="792"/>
      </w:pPr>
    </w:p>
    <w:p w14:paraId="1AE60472" w14:textId="02667DD6" w:rsidR="00F124E5" w:rsidRDefault="007D7E40" w:rsidP="009C6BD4">
      <w:pPr>
        <w:ind w:left="1224"/>
      </w:pPr>
      <w:r>
        <w:t xml:space="preserve">C: </w:t>
      </w:r>
      <w:r w:rsidR="004E0E37">
        <w:t>A</w:t>
      </w:r>
      <w:r>
        <w:t>uthor indicated that the part re</w:t>
      </w:r>
      <w:r w:rsidR="007E681A">
        <w:t>l</w:t>
      </w:r>
      <w:r>
        <w:t xml:space="preserve">ated to the setup of the FAPU requires additional text based on previous straw poll about the </w:t>
      </w:r>
    </w:p>
    <w:p w14:paraId="6259D863" w14:textId="2BCF3DFC" w:rsidR="007D7E40" w:rsidRDefault="007D7E40" w:rsidP="009C6BD4">
      <w:pPr>
        <w:ind w:left="1224"/>
      </w:pPr>
    </w:p>
    <w:p w14:paraId="4889B53A" w14:textId="527DDDF9" w:rsidR="007D7E40" w:rsidRDefault="007D7E40" w:rsidP="009C6BD4">
      <w:pPr>
        <w:ind w:left="1224"/>
      </w:pPr>
      <w:r>
        <w:t xml:space="preserve">Q: </w:t>
      </w:r>
      <w:r w:rsidR="004E0E37">
        <w:t>I</w:t>
      </w:r>
      <w:r>
        <w:t xml:space="preserve">s it the idea to make a </w:t>
      </w:r>
      <w:r w:rsidR="008F139C">
        <w:t>comeback</w:t>
      </w:r>
      <w:r>
        <w:t xml:space="preserve"> on this signaling? </w:t>
      </w:r>
    </w:p>
    <w:p w14:paraId="004BF513" w14:textId="358CD867" w:rsidR="007D7E40" w:rsidRDefault="007D7E40" w:rsidP="009C6BD4">
      <w:pPr>
        <w:ind w:left="1224"/>
      </w:pPr>
      <w:r>
        <w:t xml:space="preserve">A: </w:t>
      </w:r>
      <w:proofErr w:type="gramStart"/>
      <w:r w:rsidR="004E0E37">
        <w:t>Y</w:t>
      </w:r>
      <w:r>
        <w:t>es</w:t>
      </w:r>
      <w:proofErr w:type="gramEnd"/>
      <w:r>
        <w:t xml:space="preserve"> the goal is to see the agreement we </w:t>
      </w:r>
      <w:r w:rsidR="008F139C">
        <w:t>can have</w:t>
      </w:r>
      <w:r>
        <w:t xml:space="preserve"> on, and remove the part we have no agreement to see how mush we can put in the spec.</w:t>
      </w:r>
    </w:p>
    <w:p w14:paraId="78DFED0D" w14:textId="4195F2AD" w:rsidR="007D7E40" w:rsidRDefault="007D7E40" w:rsidP="009C6BD4">
      <w:pPr>
        <w:ind w:left="1224"/>
      </w:pPr>
    </w:p>
    <w:p w14:paraId="308BA081" w14:textId="3BD28454" w:rsidR="007D7E40" w:rsidRDefault="007D7E40" w:rsidP="009C6BD4">
      <w:pPr>
        <w:ind w:left="1224"/>
      </w:pPr>
      <w:r>
        <w:t>C: I support the time-based change proposed by other contributor, and I think that single FAPU request is too complex and provide too much overhead. I prefer to have less signaling and use the time base approach instead.</w:t>
      </w:r>
    </w:p>
    <w:p w14:paraId="51580B51" w14:textId="39B707BB" w:rsidR="007D7E40" w:rsidRDefault="007D7E40" w:rsidP="009C6BD4">
      <w:pPr>
        <w:ind w:left="1224"/>
      </w:pPr>
    </w:p>
    <w:p w14:paraId="3DB05A97" w14:textId="70F019A7" w:rsidR="007D7E40" w:rsidRDefault="007D7E40" w:rsidP="009C6BD4">
      <w:pPr>
        <w:ind w:left="1224"/>
      </w:pPr>
      <w:r>
        <w:t xml:space="preserve">C: </w:t>
      </w:r>
      <w:r w:rsidR="004E0E37">
        <w:t>T</w:t>
      </w:r>
      <w:r>
        <w:t xml:space="preserve">his text is not really useful as it is and the timing for the changes needs to be </w:t>
      </w:r>
      <w:r w:rsidR="008F139C">
        <w:t>precise</w:t>
      </w:r>
      <w:r>
        <w:t xml:space="preserve">. </w:t>
      </w:r>
    </w:p>
    <w:p w14:paraId="6A9B6992" w14:textId="6CFB1618" w:rsidR="007D7E40" w:rsidRDefault="007D7E40" w:rsidP="009C6BD4">
      <w:pPr>
        <w:ind w:left="1224"/>
      </w:pPr>
      <w:r>
        <w:t>C</w:t>
      </w:r>
      <w:r w:rsidR="004E0E37">
        <w:t>: I</w:t>
      </w:r>
      <w:r>
        <w:t>n addition, I think we should not mix retransmission here even if I agree on the concept.</w:t>
      </w:r>
    </w:p>
    <w:p w14:paraId="088F71F8" w14:textId="3E0D7161" w:rsidR="007D7E40" w:rsidRDefault="007D7E40" w:rsidP="009C6BD4">
      <w:pPr>
        <w:ind w:left="1224"/>
      </w:pPr>
      <w:r>
        <w:t xml:space="preserve">A: </w:t>
      </w:r>
      <w:r w:rsidR="004E0E37">
        <w:t>T</w:t>
      </w:r>
      <w:r>
        <w:t xml:space="preserve">he introduction has no normative </w:t>
      </w:r>
      <w:r w:rsidR="008F139C">
        <w:t>text;</w:t>
      </w:r>
      <w:r>
        <w:t xml:space="preserve"> this is just an explanation of how things are supposed to work. This is just informative text.</w:t>
      </w:r>
    </w:p>
    <w:p w14:paraId="1C19E77A" w14:textId="1114B179" w:rsidR="007D7E40" w:rsidRDefault="007D7E40" w:rsidP="009C6BD4">
      <w:pPr>
        <w:ind w:left="1224"/>
      </w:pPr>
    </w:p>
    <w:p w14:paraId="61E91684" w14:textId="795079B1" w:rsidR="00EE13F7" w:rsidRDefault="00EE13F7" w:rsidP="009C6BD4">
      <w:pPr>
        <w:ind w:left="1224"/>
      </w:pPr>
      <w:r>
        <w:t xml:space="preserve">Q: </w:t>
      </w:r>
      <w:r w:rsidR="004E0E37">
        <w:t>D</w:t>
      </w:r>
      <w:r>
        <w:t xml:space="preserve">oing the wording change online may not be that efficient, maybe we should do it </w:t>
      </w:r>
      <w:r w:rsidR="008F139C">
        <w:t>offline?</w:t>
      </w:r>
    </w:p>
    <w:p w14:paraId="5EE0C66E" w14:textId="46BB976C" w:rsidR="00EE13F7" w:rsidRDefault="00EE13F7" w:rsidP="009C6BD4">
      <w:pPr>
        <w:ind w:left="1224"/>
      </w:pPr>
      <w:r>
        <w:t xml:space="preserve">A: </w:t>
      </w:r>
      <w:r w:rsidR="004E0E37">
        <w:t>A</w:t>
      </w:r>
      <w:r>
        <w:t>gree.</w:t>
      </w:r>
    </w:p>
    <w:p w14:paraId="36FDBB31" w14:textId="1D7B4B33" w:rsidR="00EE13F7" w:rsidRDefault="00EE13F7" w:rsidP="009C6BD4">
      <w:pPr>
        <w:ind w:left="1224"/>
      </w:pPr>
    </w:p>
    <w:p w14:paraId="1E00AA69" w14:textId="2A204A92" w:rsidR="00EE13F7" w:rsidRDefault="00EE13F7" w:rsidP="009C6BD4">
      <w:pPr>
        <w:ind w:left="1224"/>
      </w:pPr>
      <w:r>
        <w:t>According to comments, the author prefers to skip 10.</w:t>
      </w:r>
      <w:r w:rsidR="008F139C">
        <w:t>x.</w:t>
      </w:r>
      <w:r>
        <w:t xml:space="preserve">2 </w:t>
      </w:r>
      <w:r w:rsidR="008F139C">
        <w:t>since there is no consensus, and jump to 10.x.3</w:t>
      </w:r>
    </w:p>
    <w:p w14:paraId="4A89B825" w14:textId="206A5170" w:rsidR="008F139C" w:rsidRDefault="008F139C" w:rsidP="009C6BD4">
      <w:pPr>
        <w:ind w:left="1224"/>
      </w:pPr>
    </w:p>
    <w:p w14:paraId="2166BA83" w14:textId="5D9D3642" w:rsidR="008F139C" w:rsidRDefault="008F139C" w:rsidP="009C6BD4">
      <w:pPr>
        <w:ind w:left="1224"/>
      </w:pPr>
      <w:r>
        <w:t xml:space="preserve">C: </w:t>
      </w:r>
      <w:r w:rsidR="004E0E37">
        <w:t>T</w:t>
      </w:r>
      <w:r>
        <w:t>he title no includes individually addressed instead of *DATA frame since we can also address control frames for instance.</w:t>
      </w:r>
    </w:p>
    <w:p w14:paraId="1DFB1416" w14:textId="77777777" w:rsidR="008F139C" w:rsidRDefault="008F139C" w:rsidP="009C6BD4">
      <w:pPr>
        <w:ind w:left="1224"/>
      </w:pPr>
    </w:p>
    <w:p w14:paraId="29C3020B" w14:textId="2FAA3D00" w:rsidR="008F139C" w:rsidRDefault="008F139C" w:rsidP="009C6BD4">
      <w:pPr>
        <w:ind w:left="1224"/>
      </w:pPr>
      <w:r>
        <w:t xml:space="preserve">C: </w:t>
      </w:r>
      <w:r w:rsidR="004E0E37">
        <w:t>O</w:t>
      </w:r>
      <w:r>
        <w:t xml:space="preserve">ne recommendation is to say AP MLD and </w:t>
      </w:r>
      <w:r w:rsidR="004E0E37">
        <w:t>non-AP MLD</w:t>
      </w:r>
      <w:r>
        <w:t xml:space="preserve"> frames instead of Uplink and downlink.</w:t>
      </w:r>
    </w:p>
    <w:p w14:paraId="402F42E0" w14:textId="70257027" w:rsidR="008F139C" w:rsidRDefault="008F139C" w:rsidP="009C6BD4">
      <w:pPr>
        <w:ind w:left="1224"/>
      </w:pPr>
    </w:p>
    <w:p w14:paraId="674C793C" w14:textId="0E5AC821" w:rsidR="008F139C" w:rsidRDefault="008F139C" w:rsidP="009C6BD4">
      <w:pPr>
        <w:ind w:left="1224"/>
      </w:pPr>
      <w:r>
        <w:lastRenderedPageBreak/>
        <w:t xml:space="preserve">Q: I want to clarify that SN offset will be different per </w:t>
      </w:r>
      <w:proofErr w:type="spellStart"/>
      <w:r>
        <w:t>Tid</w:t>
      </w:r>
      <w:proofErr w:type="spellEnd"/>
      <w:r>
        <w:t xml:space="preserve">, or per SN space. </w:t>
      </w:r>
      <w:r w:rsidR="00614075">
        <w:t>So,</w:t>
      </w:r>
      <w:r>
        <w:t xml:space="preserve"> can we rather refer to the SN space table instead in the text of the bullet 5 fo</w:t>
      </w:r>
      <w:r w:rsidR="00614075">
        <w:t>r</w:t>
      </w:r>
      <w:r>
        <w:t xml:space="preserve"> the 10.x.3 </w:t>
      </w:r>
      <w:r w:rsidR="00614075">
        <w:t>introduction?</w:t>
      </w:r>
    </w:p>
    <w:p w14:paraId="21D4CF6B" w14:textId="4AA5A022" w:rsidR="0040713C" w:rsidRDefault="0040713C" w:rsidP="009C6BD4">
      <w:pPr>
        <w:ind w:left="1224"/>
      </w:pPr>
      <w:r>
        <w:t xml:space="preserve">C: </w:t>
      </w:r>
      <w:r w:rsidRPr="0040713C">
        <w:t>Table 10-5—Transmitter sequence number spaces</w:t>
      </w:r>
    </w:p>
    <w:p w14:paraId="2F91884E" w14:textId="44AB05BC" w:rsidR="008F139C" w:rsidRDefault="008F139C" w:rsidP="009C6BD4">
      <w:pPr>
        <w:ind w:left="1224"/>
      </w:pPr>
      <w:r>
        <w:t>A: Ok, sounds good to me.</w:t>
      </w:r>
    </w:p>
    <w:p w14:paraId="7007D470" w14:textId="776DB00A" w:rsidR="008F139C" w:rsidRDefault="008F139C" w:rsidP="009C6BD4">
      <w:pPr>
        <w:ind w:left="1224"/>
      </w:pPr>
    </w:p>
    <w:p w14:paraId="46076A71" w14:textId="760B8069" w:rsidR="008F139C" w:rsidRDefault="00BA7B68" w:rsidP="009C6BD4">
      <w:pPr>
        <w:ind w:left="1224"/>
      </w:pPr>
      <w:r>
        <w:t xml:space="preserve">Q: </w:t>
      </w:r>
      <w:r w:rsidR="004E0E37">
        <w:t>Y</w:t>
      </w:r>
      <w:r>
        <w:t xml:space="preserve">ou have separate clause for uplink and downlink. Is there a specific reason for that or can we have only one </w:t>
      </w:r>
      <w:r w:rsidR="00A31D3A">
        <w:t>clause?</w:t>
      </w:r>
    </w:p>
    <w:p w14:paraId="13C306D0" w14:textId="0E4F4D7A" w:rsidR="00BA7B68" w:rsidRDefault="00A31D3A" w:rsidP="009C6BD4">
      <w:pPr>
        <w:ind w:left="1224"/>
      </w:pPr>
      <w:r>
        <w:t>A: Well</w:t>
      </w:r>
      <w:r w:rsidR="0040713C">
        <w:t>, main difference comes from the address field in the frame that is changed.</w:t>
      </w:r>
      <w:r>
        <w:t xml:space="preserve"> Another difference is on the A-MPDU aggregation rules. Finally, there are also differences on the address filtering.</w:t>
      </w:r>
    </w:p>
    <w:p w14:paraId="316420A9" w14:textId="6945B986" w:rsidR="00A31D3A" w:rsidRDefault="00A31D3A" w:rsidP="009C6BD4">
      <w:pPr>
        <w:ind w:left="1224"/>
      </w:pPr>
    </w:p>
    <w:p w14:paraId="32EB4A7C" w14:textId="39EF9EFE" w:rsidR="00A31D3A" w:rsidRDefault="00A31D3A" w:rsidP="009C6BD4">
      <w:pPr>
        <w:ind w:left="1224"/>
      </w:pPr>
      <w:r>
        <w:t>C: MLD level stuff is the same but affiliated</w:t>
      </w:r>
      <w:r w:rsidR="00A00A8D">
        <w:t xml:space="preserve"> STA </w:t>
      </w:r>
      <w:r>
        <w:t>part is changing.</w:t>
      </w:r>
    </w:p>
    <w:p w14:paraId="49580CF4" w14:textId="51F5D16B" w:rsidR="00A31D3A" w:rsidRDefault="00A31D3A" w:rsidP="009C6BD4">
      <w:pPr>
        <w:ind w:left="1224"/>
      </w:pPr>
    </w:p>
    <w:p w14:paraId="5E6FDB79" w14:textId="53236E0D" w:rsidR="00A31D3A" w:rsidRDefault="00A31D3A" w:rsidP="009C6BD4">
      <w:pPr>
        <w:ind w:left="1224"/>
      </w:pPr>
      <w:r>
        <w:t>C: Maybe we can have a common part and then just have the AP or</w:t>
      </w:r>
      <w:r w:rsidR="00A00A8D">
        <w:t xml:space="preserve"> STA </w:t>
      </w:r>
      <w:r>
        <w:t>specific parts to help readers.</w:t>
      </w:r>
    </w:p>
    <w:p w14:paraId="38A49130" w14:textId="4A5540AF" w:rsidR="00A31D3A" w:rsidRDefault="00A31D3A" w:rsidP="009C6BD4">
      <w:pPr>
        <w:ind w:left="1224"/>
      </w:pPr>
      <w:r>
        <w:t>A: we can keep it like that to ease our work and modify it after for readers.</w:t>
      </w:r>
    </w:p>
    <w:p w14:paraId="439F51FD" w14:textId="65B00AA9" w:rsidR="00A31D3A" w:rsidRDefault="00A31D3A" w:rsidP="009C6BD4">
      <w:pPr>
        <w:ind w:left="1224"/>
      </w:pPr>
    </w:p>
    <w:p w14:paraId="2D95E590" w14:textId="31A6A82B" w:rsidR="00A31D3A" w:rsidRDefault="00614075" w:rsidP="009C6BD4">
      <w:pPr>
        <w:ind w:left="1224"/>
      </w:pPr>
      <w:r>
        <w:t>C: You</w:t>
      </w:r>
      <w:r w:rsidR="00A31D3A">
        <w:t xml:space="preserve"> indicate</w:t>
      </w:r>
      <w:r>
        <w:t>s</w:t>
      </w:r>
      <w:r w:rsidR="00A31D3A">
        <w:t xml:space="preserve"> </w:t>
      </w:r>
      <w:r>
        <w:t xml:space="preserve">that </w:t>
      </w:r>
      <w:r w:rsidR="00A31D3A">
        <w:t xml:space="preserve">stations have the parameters </w:t>
      </w:r>
      <w:r>
        <w:t xml:space="preserve">values </w:t>
      </w:r>
      <w:r w:rsidR="00A31D3A">
        <w:t>before applying</w:t>
      </w:r>
      <w:r>
        <w:t xml:space="preserve"> them W</w:t>
      </w:r>
      <w:r w:rsidR="00A31D3A">
        <w:t xml:space="preserve">hat about the error </w:t>
      </w:r>
      <w:r>
        <w:t>cases?</w:t>
      </w:r>
      <w:r w:rsidR="00A31D3A">
        <w:t xml:space="preserve"> I assume that you will have a section indicating what happens if you are un</w:t>
      </w:r>
      <w:r>
        <w:t>-</w:t>
      </w:r>
      <w:r w:rsidR="00A31D3A">
        <w:t>sync.</w:t>
      </w:r>
    </w:p>
    <w:p w14:paraId="23BAB08E" w14:textId="55A3EE2D" w:rsidR="00A31D3A" w:rsidRDefault="00A31D3A" w:rsidP="009C6BD4">
      <w:pPr>
        <w:ind w:left="1224"/>
      </w:pPr>
      <w:r>
        <w:t xml:space="preserve">A: I can add </w:t>
      </w:r>
      <w:r w:rsidR="00614075">
        <w:t>an</w:t>
      </w:r>
      <w:r>
        <w:t xml:space="preserve"> error case section.</w:t>
      </w:r>
    </w:p>
    <w:p w14:paraId="35B73942" w14:textId="77777777" w:rsidR="00A31D3A" w:rsidRDefault="00A31D3A" w:rsidP="009C6BD4">
      <w:pPr>
        <w:ind w:left="1224"/>
      </w:pPr>
    </w:p>
    <w:p w14:paraId="625E9343" w14:textId="04F20B6C" w:rsidR="00A31D3A" w:rsidRDefault="00A31D3A" w:rsidP="009C6BD4">
      <w:pPr>
        <w:ind w:left="1224"/>
      </w:pPr>
      <w:r>
        <w:t xml:space="preserve">C: I can remove this </w:t>
      </w:r>
      <w:r w:rsidR="00614075">
        <w:t>part</w:t>
      </w:r>
      <w:r w:rsidR="004E0E37">
        <w:t xml:space="preserve"> if needed.</w:t>
      </w:r>
    </w:p>
    <w:p w14:paraId="41BB85D6" w14:textId="45342CB3" w:rsidR="00A31D3A" w:rsidRDefault="00A31D3A" w:rsidP="009C6BD4">
      <w:pPr>
        <w:ind w:left="1224"/>
      </w:pPr>
      <w:r>
        <w:t xml:space="preserve">A: </w:t>
      </w:r>
      <w:r w:rsidR="00614075">
        <w:t>yes, it is</w:t>
      </w:r>
      <w:r>
        <w:t xml:space="preserve"> better.</w:t>
      </w:r>
    </w:p>
    <w:p w14:paraId="6F04FA51" w14:textId="77777777" w:rsidR="00A31D3A" w:rsidRDefault="00A31D3A" w:rsidP="009C6BD4">
      <w:pPr>
        <w:ind w:left="1224"/>
      </w:pPr>
    </w:p>
    <w:p w14:paraId="103973A7" w14:textId="77777777" w:rsidR="00A31D3A" w:rsidRDefault="00A31D3A" w:rsidP="009C6BD4">
      <w:pPr>
        <w:ind w:left="1224"/>
      </w:pPr>
      <w:r>
        <w:t>C: If the AP keeps it address, I think this is not good for the privacy.</w:t>
      </w:r>
    </w:p>
    <w:p w14:paraId="3C8A793E" w14:textId="6F85A57A" w:rsidR="00614075" w:rsidRDefault="00A31D3A" w:rsidP="009C6BD4">
      <w:pPr>
        <w:ind w:left="1224"/>
      </w:pPr>
      <w:r>
        <w:t xml:space="preserve">A: </w:t>
      </w:r>
      <w:r w:rsidR="00614075">
        <w:t>I agree but we have no consensus and no proposal on this topic, this is why we have nothing here dealing with that.</w:t>
      </w:r>
    </w:p>
    <w:p w14:paraId="752A3A45" w14:textId="7C9032BF" w:rsidR="00614075" w:rsidRDefault="00614075" w:rsidP="009C6BD4">
      <w:pPr>
        <w:ind w:left="1224"/>
      </w:pPr>
    </w:p>
    <w:p w14:paraId="42F7CC96" w14:textId="3C529A29" w:rsidR="00614075" w:rsidRDefault="00614075" w:rsidP="009C6BD4">
      <w:pPr>
        <w:ind w:left="1224"/>
      </w:pPr>
      <w:r>
        <w:t>C: I think things can be simpler by indicating that a device sending this type of frame goes thru a given process without mentioning the type of device.</w:t>
      </w:r>
      <w:r w:rsidR="00C72F86">
        <w:t xml:space="preserve"> We are obscuring frames by changing things.</w:t>
      </w:r>
    </w:p>
    <w:p w14:paraId="47F0FB13" w14:textId="4B1A7BE8" w:rsidR="00C72F86" w:rsidRDefault="00C72F86" w:rsidP="009C6BD4">
      <w:pPr>
        <w:ind w:left="1224"/>
      </w:pPr>
      <w:r>
        <w:t>A: I appreciate the feed back but need time to evaluate what to do with this.</w:t>
      </w:r>
    </w:p>
    <w:p w14:paraId="52104879" w14:textId="55B937F3" w:rsidR="00C72F86" w:rsidRDefault="00C72F86" w:rsidP="009C6BD4">
      <w:pPr>
        <w:ind w:left="1224"/>
      </w:pPr>
    </w:p>
    <w:p w14:paraId="3DA457FE" w14:textId="07F70DCF" w:rsidR="00C72F86" w:rsidRDefault="00377381" w:rsidP="009C6BD4">
      <w:pPr>
        <w:ind w:left="1224"/>
      </w:pPr>
      <w:r>
        <w:t xml:space="preserve">C: </w:t>
      </w:r>
      <w:r w:rsidR="004E0E37">
        <w:t>R</w:t>
      </w:r>
      <w:r>
        <w:t>egarding previous comment, I think we can have a common part and add detailed things in annex to give detail</w:t>
      </w:r>
      <w:r w:rsidR="00616BAE">
        <w:t>s on some case (uplink, downlink).</w:t>
      </w:r>
    </w:p>
    <w:p w14:paraId="0EA73791" w14:textId="400B6A47" w:rsidR="00616BAE" w:rsidRDefault="00616BAE" w:rsidP="009C6BD4">
      <w:pPr>
        <w:ind w:left="1224"/>
      </w:pPr>
    </w:p>
    <w:p w14:paraId="10F8ECE7" w14:textId="7C14552E" w:rsidR="00616BAE" w:rsidRDefault="00F164ED" w:rsidP="009C6BD4">
      <w:pPr>
        <w:ind w:left="1224"/>
      </w:pPr>
      <w:r>
        <w:t>C:</w:t>
      </w:r>
      <w:r w:rsidR="004E0E37">
        <w:t xml:space="preserve"> </w:t>
      </w:r>
      <w:r>
        <w:t xml:space="preserve">I think this section applies to AP and </w:t>
      </w:r>
      <w:r w:rsidR="004E0E37">
        <w:t>non-AP</w:t>
      </w:r>
      <w:r>
        <w:t xml:space="preserve"> and do not provide many </w:t>
      </w:r>
      <w:r w:rsidR="004E0E37">
        <w:t>explanations</w:t>
      </w:r>
      <w:r>
        <w:t>. But we need to put something in this section.</w:t>
      </w:r>
    </w:p>
    <w:p w14:paraId="18DB1A5D" w14:textId="77777777" w:rsidR="00F164ED" w:rsidRDefault="00F164ED" w:rsidP="009C6BD4">
      <w:pPr>
        <w:ind w:left="1224"/>
      </w:pPr>
    </w:p>
    <w:p w14:paraId="77C00093" w14:textId="3E3BBC4A" w:rsidR="00614075" w:rsidRDefault="00AB1C9A" w:rsidP="009C6BD4">
      <w:pPr>
        <w:ind w:left="1224"/>
      </w:pPr>
      <w:r>
        <w:t xml:space="preserve">C: </w:t>
      </w:r>
      <w:r w:rsidR="004E0E37">
        <w:t>T</w:t>
      </w:r>
      <w:r>
        <w:t>here is no mentioning on the “CPE” today, but I think we should focus on this is a first step. BPE can be delayed.</w:t>
      </w:r>
    </w:p>
    <w:p w14:paraId="1993D0E9" w14:textId="72F41C64" w:rsidR="00AB1C9A" w:rsidRDefault="00AB1C9A" w:rsidP="009C6BD4">
      <w:pPr>
        <w:ind w:left="1224"/>
      </w:pPr>
      <w:r>
        <w:t xml:space="preserve">A: Agree we should refer to the CPE </w:t>
      </w:r>
    </w:p>
    <w:p w14:paraId="6C7FDB78" w14:textId="6B99A075" w:rsidR="00614075" w:rsidRDefault="00614075" w:rsidP="009C6BD4">
      <w:pPr>
        <w:ind w:left="1224"/>
      </w:pPr>
    </w:p>
    <w:p w14:paraId="7FAD887C" w14:textId="1DE91696" w:rsidR="00AB1C9A" w:rsidRDefault="00AB1C9A" w:rsidP="009C6BD4">
      <w:pPr>
        <w:ind w:left="1224"/>
      </w:pPr>
      <w:r>
        <w:t>Q: Not sure we should keep the address 2 filtering since this is implementation specific.</w:t>
      </w:r>
    </w:p>
    <w:p w14:paraId="2E2344BC" w14:textId="2716E954" w:rsidR="00AB1C9A" w:rsidRDefault="00AB1C9A" w:rsidP="009C6BD4">
      <w:pPr>
        <w:ind w:left="1224"/>
      </w:pPr>
      <w:r>
        <w:t>A: Ok, so I can remove the AP only processes that is checking the address 2.</w:t>
      </w:r>
    </w:p>
    <w:p w14:paraId="3501FCDB" w14:textId="284E2006" w:rsidR="00AB1C9A" w:rsidRDefault="00AB1C9A" w:rsidP="009C6BD4">
      <w:pPr>
        <w:ind w:left="1224"/>
      </w:pPr>
    </w:p>
    <w:p w14:paraId="582F3E13" w14:textId="5F57936E" w:rsidR="00AB1C9A" w:rsidRDefault="00AB1C9A" w:rsidP="009C6BD4">
      <w:pPr>
        <w:ind w:left="1224"/>
      </w:pPr>
      <w:r>
        <w:t>C: I agree there is a confusion since 10.x.3</w:t>
      </w:r>
      <w:r w:rsidR="00CC1331">
        <w:t xml:space="preserve"> Is for individually addressed but latter paragraph (10.x.3.1) is data plane related.</w:t>
      </w:r>
    </w:p>
    <w:p w14:paraId="3A10BBE5" w14:textId="3DBFCAE3" w:rsidR="00CC1331" w:rsidRDefault="00CC1331" w:rsidP="009C6BD4">
      <w:pPr>
        <w:ind w:left="1224"/>
      </w:pPr>
    </w:p>
    <w:p w14:paraId="01D73DD6" w14:textId="688D2A6D" w:rsidR="00CC1331" w:rsidRDefault="000706F0" w:rsidP="009C6BD4">
      <w:pPr>
        <w:ind w:left="1224"/>
      </w:pPr>
      <w:r>
        <w:t>C: I think we can add CPE in the title and have a dedicated part for BPE in a second step.</w:t>
      </w:r>
    </w:p>
    <w:p w14:paraId="0AA17F01" w14:textId="7091EFF3" w:rsidR="000706F0" w:rsidRDefault="000706F0" w:rsidP="009C6BD4">
      <w:pPr>
        <w:ind w:left="1224"/>
      </w:pPr>
    </w:p>
    <w:p w14:paraId="29AF2C06" w14:textId="18FB0A5A" w:rsidR="000706F0" w:rsidRDefault="000706F0" w:rsidP="009C6BD4">
      <w:pPr>
        <w:ind w:left="1224"/>
      </w:pPr>
      <w:r>
        <w:lastRenderedPageBreak/>
        <w:t xml:space="preserve">C: I don’t like the fact we deal with the TXOP </w:t>
      </w:r>
      <w:r w:rsidR="00107985">
        <w:t xml:space="preserve">rules </w:t>
      </w:r>
      <w:r>
        <w:t xml:space="preserve">here, because there is no MAC data plane part dedicated to the TXOP. I think we should move this part in a section we deal with having a </w:t>
      </w:r>
      <w:r w:rsidR="00107985">
        <w:t>TXOP</w:t>
      </w:r>
      <w:r>
        <w:t>.</w:t>
      </w:r>
    </w:p>
    <w:p w14:paraId="7FDED170" w14:textId="77777777" w:rsidR="000706F0" w:rsidRDefault="000706F0" w:rsidP="009C6BD4">
      <w:pPr>
        <w:ind w:left="1224"/>
      </w:pPr>
    </w:p>
    <w:p w14:paraId="728ACDA7" w14:textId="016E593E" w:rsidR="00CC1331" w:rsidRDefault="00EC1C6F" w:rsidP="009C6BD4">
      <w:pPr>
        <w:ind w:left="1224"/>
      </w:pPr>
      <w:r>
        <w:t>C: I think this should be normative.</w:t>
      </w:r>
    </w:p>
    <w:p w14:paraId="0162515B" w14:textId="03C1CAD6" w:rsidR="00EC1C6F" w:rsidRDefault="00EC1C6F" w:rsidP="009C6BD4">
      <w:pPr>
        <w:ind w:left="1224"/>
      </w:pPr>
      <w:r>
        <w:t>A: Agree</w:t>
      </w:r>
      <w:r w:rsidR="004E0E37">
        <w:t>. I</w:t>
      </w:r>
      <w:r>
        <w:t>f a</w:t>
      </w:r>
      <w:r w:rsidR="00A00A8D">
        <w:t xml:space="preserve"> STA </w:t>
      </w:r>
      <w:r>
        <w:t xml:space="preserve">change its MAC address during a </w:t>
      </w:r>
      <w:r w:rsidR="00107985">
        <w:t>TXOP</w:t>
      </w:r>
      <w:r>
        <w:t xml:space="preserve">, then nobody knows who is the </w:t>
      </w:r>
      <w:r w:rsidR="00107985">
        <w:t xml:space="preserve">TXOP </w:t>
      </w:r>
      <w:r>
        <w:t>holder for instance.</w:t>
      </w:r>
      <w:r w:rsidR="00107985">
        <w:t xml:space="preserve"> So rather put it in a retransmission related section.</w:t>
      </w:r>
    </w:p>
    <w:p w14:paraId="506E357E" w14:textId="77777777" w:rsidR="00107985" w:rsidRDefault="00107985" w:rsidP="009C6BD4">
      <w:pPr>
        <w:ind w:left="1224"/>
      </w:pPr>
    </w:p>
    <w:p w14:paraId="05851586" w14:textId="2410DDDB" w:rsidR="00EC1C6F" w:rsidRDefault="00B75C1C" w:rsidP="009C6BD4">
      <w:pPr>
        <w:ind w:left="1224"/>
      </w:pPr>
      <w:r>
        <w:t>Author propose to stop at that point before going to 10.x.4</w:t>
      </w:r>
    </w:p>
    <w:p w14:paraId="4FF53DB1" w14:textId="4A4870DB" w:rsidR="00F124E5" w:rsidRDefault="00F124E5" w:rsidP="00A00A8D">
      <w:pPr>
        <w:ind w:left="515" w:firstLine="709"/>
      </w:pPr>
      <w:r>
        <w:t xml:space="preserve">No </w:t>
      </w:r>
      <w:r w:rsidR="00B75C1C">
        <w:t>objection</w:t>
      </w:r>
      <w:r>
        <w:t>.</w:t>
      </w:r>
    </w:p>
    <w:p w14:paraId="581E522E" w14:textId="1E4399A3" w:rsidR="00B75C1C" w:rsidRDefault="00B75C1C" w:rsidP="006E29AC"/>
    <w:p w14:paraId="2269BD69" w14:textId="1141BE5E" w:rsidR="00B75C1C" w:rsidRDefault="00B75C1C" w:rsidP="006E29AC">
      <w:r>
        <w:t>Chair remind</w:t>
      </w:r>
      <w:r w:rsidR="00A00A8D">
        <w:t>s</w:t>
      </w:r>
      <w:r>
        <w:t xml:space="preserve"> that we have a meeting next week and we can then resume the document review, and request for additional contribution.</w:t>
      </w:r>
    </w:p>
    <w:p w14:paraId="61AA256E" w14:textId="576AEA51" w:rsidR="00B75C1C" w:rsidRDefault="00B75C1C" w:rsidP="006E29AC"/>
    <w:p w14:paraId="3BABFAD8" w14:textId="2C5103AB" w:rsidR="00B75C1C" w:rsidRDefault="00B75C1C" w:rsidP="006E29AC">
      <w:r>
        <w:t>Discussion on January schedule.</w:t>
      </w:r>
    </w:p>
    <w:p w14:paraId="1D69A429" w14:textId="77777777" w:rsidR="00A00A8D" w:rsidRDefault="00B75C1C" w:rsidP="006E29AC">
      <w:r>
        <w:t>Chair indicated that</w:t>
      </w:r>
      <w:r w:rsidR="00A00A8D">
        <w:t>,</w:t>
      </w:r>
      <w:r>
        <w:t xml:space="preserve"> </w:t>
      </w:r>
      <w:r w:rsidR="00A00A8D">
        <w:t xml:space="preserve">for the moment, </w:t>
      </w:r>
      <w:r>
        <w:t>we have 4 slots</w:t>
      </w:r>
      <w:r w:rsidR="00A00A8D">
        <w:t xml:space="preserve"> scheduled during next interim in January.</w:t>
      </w:r>
    </w:p>
    <w:p w14:paraId="75547B92" w14:textId="5984F445" w:rsidR="00B75C1C" w:rsidRDefault="00A00A8D" w:rsidP="006E29AC">
      <w:r>
        <w:t>So,</w:t>
      </w:r>
      <w:r w:rsidR="00B75C1C">
        <w:t xml:space="preserve"> people planning additional contribution</w:t>
      </w:r>
      <w:r>
        <w:t>s</w:t>
      </w:r>
      <w:r w:rsidR="00B75C1C">
        <w:t xml:space="preserve"> can indicate it to the chair</w:t>
      </w:r>
      <w:r>
        <w:t>,</w:t>
      </w:r>
      <w:r w:rsidR="00B75C1C">
        <w:t xml:space="preserve"> so that she can request additional slots if needed.</w:t>
      </w:r>
    </w:p>
    <w:p w14:paraId="778F2874" w14:textId="77777777" w:rsidR="00B75C1C" w:rsidRDefault="00B75C1C" w:rsidP="006E29AC"/>
    <w:p w14:paraId="43E84A01" w14:textId="674A49AC" w:rsidR="00DB5E15" w:rsidRDefault="00DB5E15" w:rsidP="009C6BD4">
      <w:pPr>
        <w:ind w:left="1224"/>
      </w:pPr>
      <w:r>
        <w:t xml:space="preserve"> </w:t>
      </w:r>
    </w:p>
    <w:p w14:paraId="6436083B" w14:textId="77777777" w:rsidR="009C6BD4" w:rsidRPr="007034F7" w:rsidRDefault="009C6BD4" w:rsidP="009C6BD4">
      <w:pPr>
        <w:numPr>
          <w:ilvl w:val="0"/>
          <w:numId w:val="2"/>
        </w:numPr>
        <w:rPr>
          <w:b/>
          <w:bCs/>
        </w:rPr>
      </w:pPr>
      <w:proofErr w:type="spellStart"/>
      <w:r w:rsidRPr="007034F7">
        <w:rPr>
          <w:b/>
          <w:bCs/>
        </w:rPr>
        <w:t>AoB</w:t>
      </w:r>
      <w:proofErr w:type="spellEnd"/>
    </w:p>
    <w:p w14:paraId="07E6B72C" w14:textId="77777777" w:rsidR="009C6BD4" w:rsidRPr="007034F7" w:rsidRDefault="009C6BD4" w:rsidP="009C6BD4">
      <w:pPr>
        <w:numPr>
          <w:ilvl w:val="1"/>
          <w:numId w:val="2"/>
        </w:numPr>
      </w:pPr>
      <w:r w:rsidRPr="007034F7">
        <w:t>No other business.</w:t>
      </w:r>
    </w:p>
    <w:p w14:paraId="390DD080" w14:textId="77777777" w:rsidR="009C6BD4" w:rsidRPr="00603883" w:rsidRDefault="009C6BD4" w:rsidP="009C6BD4">
      <w:pPr>
        <w:rPr>
          <w:highlight w:val="yellow"/>
        </w:rPr>
      </w:pPr>
    </w:p>
    <w:p w14:paraId="62049D35" w14:textId="4D9E96A0" w:rsidR="009C6BD4" w:rsidRPr="001E020E" w:rsidRDefault="009C6BD4" w:rsidP="009C6BD4">
      <w:pPr>
        <w:numPr>
          <w:ilvl w:val="0"/>
          <w:numId w:val="2"/>
        </w:numPr>
      </w:pPr>
      <w:r w:rsidRPr="001E020E">
        <w:t xml:space="preserve">Chair adjourned the meeting at </w:t>
      </w:r>
      <w:r w:rsidR="00CC0D52">
        <w:t>1</w:t>
      </w:r>
      <w:r w:rsidR="00B75C1C">
        <w:t>1</w:t>
      </w:r>
      <w:r w:rsidR="00CC0D52">
        <w:t>:</w:t>
      </w:r>
      <w:r w:rsidR="00B75C1C">
        <w:t>48</w:t>
      </w:r>
      <w:r w:rsidRPr="001E020E">
        <w:t xml:space="preserve"> EDT.</w:t>
      </w:r>
    </w:p>
    <w:p w14:paraId="660FEADE" w14:textId="77777777" w:rsidR="009C6BD4" w:rsidRDefault="009C6BD4" w:rsidP="009C6BD4"/>
    <w:p w14:paraId="0BB24714" w14:textId="77777777" w:rsidR="009C6BD4" w:rsidRDefault="009C6BD4" w:rsidP="009C6BD4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tbl>
      <w:tblPr>
        <w:tblW w:w="10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281"/>
        <w:gridCol w:w="3309"/>
        <w:gridCol w:w="4227"/>
      </w:tblGrid>
      <w:tr w:rsidR="00547A99" w14:paraId="0CC0830F" w14:textId="77777777" w:rsidTr="00867E6B">
        <w:trPr>
          <w:trHeight w:val="300"/>
        </w:trPr>
        <w:tc>
          <w:tcPr>
            <w:tcW w:w="1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FD0FD" w14:textId="77777777" w:rsidR="00547A99" w:rsidRPr="00F6082E" w:rsidRDefault="00547A99">
            <w:pPr>
              <w:jc w:val="center"/>
              <w:rPr>
                <w:rFonts w:eastAsia="Times New Roman"/>
                <w:color w:val="000000"/>
              </w:rPr>
            </w:pPr>
            <w:r w:rsidRPr="00F6082E">
              <w:rPr>
                <w:rFonts w:eastAsia="Times New Roman"/>
                <w:color w:val="000000"/>
              </w:rPr>
              <w:t>Breakout</w:t>
            </w:r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172FF" w14:textId="77777777" w:rsidR="00547A99" w:rsidRPr="00F6082E" w:rsidRDefault="00547A99">
            <w:pPr>
              <w:jc w:val="center"/>
              <w:rPr>
                <w:rFonts w:eastAsia="Times New Roman"/>
                <w:color w:val="000000"/>
              </w:rPr>
            </w:pPr>
            <w:r w:rsidRPr="00F6082E">
              <w:rPr>
                <w:rFonts w:eastAsia="Times New Roman"/>
                <w:color w:val="000000"/>
              </w:rPr>
              <w:t>Timestamp</w:t>
            </w: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5687E" w14:textId="77777777" w:rsidR="00547A99" w:rsidRPr="00F6082E" w:rsidRDefault="00547A99">
            <w:pPr>
              <w:rPr>
                <w:rFonts w:eastAsia="Times New Roman"/>
                <w:color w:val="000000"/>
              </w:rPr>
            </w:pPr>
            <w:r w:rsidRPr="00F6082E"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42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68B09" w14:textId="77777777" w:rsidR="00547A99" w:rsidRPr="00F6082E" w:rsidRDefault="00547A99">
            <w:pPr>
              <w:rPr>
                <w:rFonts w:eastAsia="Times New Roman"/>
                <w:color w:val="000000"/>
              </w:rPr>
            </w:pPr>
            <w:r w:rsidRPr="00F6082E">
              <w:rPr>
                <w:rFonts w:eastAsia="Times New Roman"/>
                <w:color w:val="000000"/>
              </w:rPr>
              <w:t>Affiliation</w:t>
            </w:r>
          </w:p>
        </w:tc>
      </w:tr>
      <w:tr w:rsidR="00F6082E" w14:paraId="3EB947AF" w14:textId="77777777" w:rsidTr="00867E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07F0F" w14:textId="2E6EA68A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74D87" w14:textId="6FD5A341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1/4</w:t>
            </w: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5D6D0" w14:textId="781DA142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Ansley, Carol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EA7D4" w14:textId="24CA8591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Cox Communications Inc.</w:t>
            </w:r>
          </w:p>
        </w:tc>
      </w:tr>
      <w:tr w:rsidR="00F6082E" w14:paraId="1B669477" w14:textId="77777777" w:rsidTr="00867E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FCBFB" w14:textId="364F9F01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139FE" w14:textId="67CBF50E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1/4</w:t>
            </w: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AAF00" w14:textId="0A37871A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851CA" w14:textId="26642B61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6082E" w14:paraId="6DF4617B" w14:textId="77777777" w:rsidTr="00867E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A6A27" w14:textId="2F704997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73A9A" w14:textId="540A85CE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1/4</w:t>
            </w: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FF705" w14:textId="746A07E6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Hawkes, Philip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442D3" w14:textId="6A5DAD9C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Qualcomm Incorporated</w:t>
            </w:r>
          </w:p>
        </w:tc>
      </w:tr>
      <w:tr w:rsidR="00F6082E" w14:paraId="4D017818" w14:textId="77777777" w:rsidTr="00867E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C9ACD" w14:textId="1989DEFA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B92B3" w14:textId="688D0FF1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1/4</w:t>
            </w: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7A9E7" w14:textId="2DE75E8B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DEAB2" w14:textId="7044BAED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Cisco Systems, Inc.</w:t>
            </w:r>
          </w:p>
        </w:tc>
      </w:tr>
      <w:tr w:rsidR="00F6082E" w14:paraId="613BB3CA" w14:textId="77777777" w:rsidTr="00867E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90ADB" w14:textId="543A2C1A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2611A" w14:textId="557BC802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1/4</w:t>
            </w: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411B7" w14:textId="1D792A6D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86947" w14:textId="32BF81F2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Intel</w:t>
            </w:r>
          </w:p>
        </w:tc>
      </w:tr>
      <w:tr w:rsidR="00F6082E" w14:paraId="1C96568F" w14:textId="77777777" w:rsidTr="00867E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D34E8" w14:textId="3DE606EF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39108" w14:textId="1C5AB4F3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1/4</w:t>
            </w: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FB732" w14:textId="4C2B5DA1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3EA75" w14:textId="2B5EA7E9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USDOT; Noblis, Inc</w:t>
            </w:r>
          </w:p>
        </w:tc>
      </w:tr>
      <w:tr w:rsidR="00F6082E" w14:paraId="489763B0" w14:textId="77777777" w:rsidTr="00867E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36D70" w14:textId="182E10BE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A3216" w14:textId="043884EF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1/4</w:t>
            </w: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04C02" w14:textId="34FBB575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0D6A6" w14:textId="6E065A43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  <w:r>
              <w:rPr>
                <w:rFonts w:eastAsia="Times New Roman"/>
                <w:color w:val="000000"/>
              </w:rPr>
              <w:t>, Inc.</w:t>
            </w:r>
          </w:p>
        </w:tc>
      </w:tr>
      <w:tr w:rsidR="00F6082E" w14:paraId="26ECE1AC" w14:textId="77777777" w:rsidTr="00867E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8386B" w14:textId="16F237AD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946C5" w14:textId="1794C3B1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1/4</w:t>
            </w: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CF4F7" w14:textId="228172FD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Lorgeoux</w:t>
            </w:r>
            <w:proofErr w:type="spellEnd"/>
            <w:r>
              <w:rPr>
                <w:rFonts w:eastAsia="Times New Roman"/>
                <w:color w:val="000000"/>
              </w:rPr>
              <w:t>, Mikael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9C3E" w14:textId="3A05EB31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Canon Research Centre France</w:t>
            </w:r>
          </w:p>
        </w:tc>
      </w:tr>
      <w:tr w:rsidR="00F6082E" w14:paraId="6019867D" w14:textId="77777777" w:rsidTr="00867E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A5395" w14:textId="34304661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55BA4" w14:textId="5A30361F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1/4</w:t>
            </w: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95442" w14:textId="3B6E5B13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Magrin</w:t>
            </w:r>
            <w:proofErr w:type="spellEnd"/>
            <w:r>
              <w:rPr>
                <w:rFonts w:eastAsia="Times New Roman"/>
                <w:color w:val="000000"/>
              </w:rPr>
              <w:t>, Davide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22BDD" w14:textId="4AF55504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Meta Platforms Inc.</w:t>
            </w:r>
          </w:p>
        </w:tc>
      </w:tr>
      <w:tr w:rsidR="00F6082E" w14:paraId="2F201824" w14:textId="77777777" w:rsidTr="00867E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95502" w14:textId="53BB2F6D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F0145" w14:textId="4ADDEE8A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1/4</w:t>
            </w: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0A235" w14:textId="244320EA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McCann,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BCC0F" w14:textId="7CC8797B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Huawei Technologies Co., Ltd</w:t>
            </w:r>
          </w:p>
        </w:tc>
      </w:tr>
      <w:tr w:rsidR="00F6082E" w14:paraId="2437F7E9" w14:textId="77777777" w:rsidTr="00867E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AFBDC" w14:textId="5E1A9648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D1E82" w14:textId="64EC0A89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1/4</w:t>
            </w: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8372B" w14:textId="65B2F78D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Mutgan, Okan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95393" w14:textId="4828CBB6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Nokia</w:t>
            </w:r>
          </w:p>
        </w:tc>
      </w:tr>
      <w:tr w:rsidR="00F6082E" w14:paraId="3C5824CD" w14:textId="77777777" w:rsidTr="00867E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E6064" w14:textId="29F17B68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49F64" w14:textId="2841AC99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1/4</w:t>
            </w: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3889C" w14:textId="31F03AE2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Petrick</w:t>
            </w:r>
            <w:proofErr w:type="spellEnd"/>
            <w:r>
              <w:rPr>
                <w:rFonts w:eastAsia="Times New Roman"/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C94E1" w14:textId="3DA997EB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InterDigital</w:t>
            </w:r>
            <w:proofErr w:type="spellEnd"/>
          </w:p>
        </w:tc>
      </w:tr>
      <w:tr w:rsidR="00F6082E" w14:paraId="3C87BAEE" w14:textId="77777777" w:rsidTr="00867E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894A2" w14:textId="639CFD57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ABB41" w14:textId="30D4C2F1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1/4</w:t>
            </w: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E937E" w14:textId="6726AE66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Smith, Luther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D0B4F" w14:textId="7FDD9422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Cable Television Laboratories Inc. (</w:t>
            </w:r>
            <w:proofErr w:type="spellStart"/>
            <w:r>
              <w:rPr>
                <w:rFonts w:eastAsia="Times New Roman"/>
                <w:color w:val="000000"/>
              </w:rPr>
              <w:t>CableLabs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</w:tr>
      <w:tr w:rsidR="00F6082E" w14:paraId="690760E9" w14:textId="77777777" w:rsidTr="00867E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AFF39" w14:textId="09D22AB2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E017A" w14:textId="05E44DE9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1/4</w:t>
            </w: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B8203" w14:textId="2AC36AC4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 xml:space="preserve">Thakore, </w:t>
            </w:r>
            <w:proofErr w:type="spellStart"/>
            <w:r>
              <w:rPr>
                <w:rFonts w:eastAsia="Times New Roman"/>
                <w:color w:val="000000"/>
              </w:rPr>
              <w:t>Darshak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754A7" w14:textId="2A524047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Cable Television Laboratories Inc. (</w:t>
            </w:r>
            <w:proofErr w:type="spellStart"/>
            <w:r>
              <w:rPr>
                <w:rFonts w:eastAsia="Times New Roman"/>
                <w:color w:val="000000"/>
              </w:rPr>
              <w:t>CableLabs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</w:tr>
      <w:tr w:rsidR="00F6082E" w14:paraId="4632EDEC" w14:textId="77777777" w:rsidTr="00867E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DA71B" w14:textId="1ECB72AB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proofErr w:type="spellStart"/>
            <w:r>
              <w:rPr>
                <w:rFonts w:eastAsia="Times New Roman"/>
                <w:color w:val="000000"/>
              </w:rPr>
              <w:t>TGbi</w:t>
            </w:r>
            <w:proofErr w:type="spellEnd"/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09632" w14:textId="1BEE72B7" w:rsidR="00F6082E" w:rsidRPr="00B069D2" w:rsidRDefault="00F6082E" w:rsidP="00F6082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1/4</w:t>
            </w:r>
          </w:p>
        </w:tc>
        <w:tc>
          <w:tcPr>
            <w:tcW w:w="33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EB867" w14:textId="76B72B88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5491F" w14:textId="6E180AFD" w:rsidR="00F6082E" w:rsidRPr="00B069D2" w:rsidRDefault="00F6082E" w:rsidP="00F6082E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NSA-CSD</w:t>
            </w:r>
          </w:p>
        </w:tc>
      </w:tr>
    </w:tbl>
    <w:p w14:paraId="0DB48DD8" w14:textId="77777777" w:rsidR="009C6BD4" w:rsidRDefault="009C6BD4" w:rsidP="004E0E37"/>
    <w:sectPr w:rsidR="009C6BD4">
      <w:headerReference w:type="default" r:id="rId11"/>
      <w:footerReference w:type="default" r:id="rId12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23F7" w14:textId="77777777" w:rsidR="00DA6A82" w:rsidRDefault="00DA6A82">
      <w:r>
        <w:separator/>
      </w:r>
    </w:p>
  </w:endnote>
  <w:endnote w:type="continuationSeparator" w:id="0">
    <w:p w14:paraId="45688226" w14:textId="77777777" w:rsidR="00DA6A82" w:rsidRDefault="00DA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9090" w14:textId="77777777" w:rsidR="00DA6A82" w:rsidRDefault="00DA6A82">
      <w:r>
        <w:separator/>
      </w:r>
    </w:p>
  </w:footnote>
  <w:footnote w:type="continuationSeparator" w:id="0">
    <w:p w14:paraId="07C420E6" w14:textId="77777777" w:rsidR="00DA6A82" w:rsidRDefault="00DA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23893D67" w:rsidR="00405F70" w:rsidRDefault="00141690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2E098F">
      <w:t xml:space="preserve"> 202</w:t>
    </w:r>
    <w:r>
      <w:t>4</w:t>
    </w:r>
    <w:r w:rsidR="002E098F">
      <w:tab/>
    </w:r>
    <w:r w:rsidR="002E098F">
      <w:tab/>
      <w:t>doc.: IEEE 802.11-2</w:t>
    </w:r>
    <w:r>
      <w:t>4</w:t>
    </w:r>
    <w:r w:rsidR="002E098F">
      <w:t>/</w:t>
    </w:r>
    <w:r w:rsidR="007E681A">
      <w:t>0018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42AB6799"/>
    <w:multiLevelType w:val="hybridMultilevel"/>
    <w:tmpl w:val="51F69B40"/>
    <w:lvl w:ilvl="0" w:tplc="34FA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96F8">
      <w:numFmt w:val="bullet"/>
      <w:lvlText w:val=""/>
      <w:lvlJc w:val="left"/>
      <w:pPr>
        <w:ind w:left="1440" w:hanging="360"/>
      </w:pPr>
      <w:rPr>
        <w:rFonts w:ascii="Wingdings" w:eastAsia="MS Mincho;ＭＳ 明朝" w:hAnsi="Wingdings" w:cs="Times New Roman" w:hint="default"/>
      </w:rPr>
    </w:lvl>
    <w:lvl w:ilvl="2" w:tplc="315CD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27D21"/>
    <w:rsid w:val="00054B5B"/>
    <w:rsid w:val="000550C8"/>
    <w:rsid w:val="000660E3"/>
    <w:rsid w:val="00070489"/>
    <w:rsid w:val="000706F0"/>
    <w:rsid w:val="00071C15"/>
    <w:rsid w:val="0007517D"/>
    <w:rsid w:val="000852F5"/>
    <w:rsid w:val="00095A63"/>
    <w:rsid w:val="00096ACF"/>
    <w:rsid w:val="000B7E5F"/>
    <w:rsid w:val="000F03A3"/>
    <w:rsid w:val="000F521E"/>
    <w:rsid w:val="00103042"/>
    <w:rsid w:val="00107985"/>
    <w:rsid w:val="0012514A"/>
    <w:rsid w:val="00127656"/>
    <w:rsid w:val="00135B7B"/>
    <w:rsid w:val="00141690"/>
    <w:rsid w:val="00154872"/>
    <w:rsid w:val="001A45CE"/>
    <w:rsid w:val="001A7B3A"/>
    <w:rsid w:val="001B3A9F"/>
    <w:rsid w:val="001E020E"/>
    <w:rsid w:val="0020025B"/>
    <w:rsid w:val="00222E93"/>
    <w:rsid w:val="0027678D"/>
    <w:rsid w:val="00290496"/>
    <w:rsid w:val="002A19E0"/>
    <w:rsid w:val="002A3390"/>
    <w:rsid w:val="002C197D"/>
    <w:rsid w:val="002D444E"/>
    <w:rsid w:val="002E098F"/>
    <w:rsid w:val="002E6C6D"/>
    <w:rsid w:val="0034657F"/>
    <w:rsid w:val="00360D7C"/>
    <w:rsid w:val="00360F34"/>
    <w:rsid w:val="00364C99"/>
    <w:rsid w:val="00377381"/>
    <w:rsid w:val="00383021"/>
    <w:rsid w:val="00395CA8"/>
    <w:rsid w:val="0039764A"/>
    <w:rsid w:val="003C06BE"/>
    <w:rsid w:val="003C3387"/>
    <w:rsid w:val="00405F70"/>
    <w:rsid w:val="0040713C"/>
    <w:rsid w:val="00420934"/>
    <w:rsid w:val="0042749E"/>
    <w:rsid w:val="0044125A"/>
    <w:rsid w:val="0044272D"/>
    <w:rsid w:val="00452181"/>
    <w:rsid w:val="00487944"/>
    <w:rsid w:val="00496479"/>
    <w:rsid w:val="004C4B5E"/>
    <w:rsid w:val="004D07C3"/>
    <w:rsid w:val="004E0E37"/>
    <w:rsid w:val="004E6414"/>
    <w:rsid w:val="004F1692"/>
    <w:rsid w:val="0053440D"/>
    <w:rsid w:val="00541004"/>
    <w:rsid w:val="00547A99"/>
    <w:rsid w:val="005526D4"/>
    <w:rsid w:val="00554FF9"/>
    <w:rsid w:val="00555514"/>
    <w:rsid w:val="00576C6A"/>
    <w:rsid w:val="0058637A"/>
    <w:rsid w:val="00595E7F"/>
    <w:rsid w:val="005A491B"/>
    <w:rsid w:val="005C33F6"/>
    <w:rsid w:val="005C6244"/>
    <w:rsid w:val="005D5A0E"/>
    <w:rsid w:val="00603883"/>
    <w:rsid w:val="00614075"/>
    <w:rsid w:val="00616BAE"/>
    <w:rsid w:val="006323F2"/>
    <w:rsid w:val="00647B1E"/>
    <w:rsid w:val="006A5A2D"/>
    <w:rsid w:val="006B6EF0"/>
    <w:rsid w:val="006E29AC"/>
    <w:rsid w:val="00700763"/>
    <w:rsid w:val="007023DE"/>
    <w:rsid w:val="007034F7"/>
    <w:rsid w:val="00725BAD"/>
    <w:rsid w:val="0077643D"/>
    <w:rsid w:val="007B0AB8"/>
    <w:rsid w:val="007C10FF"/>
    <w:rsid w:val="007C197E"/>
    <w:rsid w:val="007C7FFC"/>
    <w:rsid w:val="007D7E40"/>
    <w:rsid w:val="007E5209"/>
    <w:rsid w:val="007E681A"/>
    <w:rsid w:val="008045E5"/>
    <w:rsid w:val="00833A6C"/>
    <w:rsid w:val="00854AC4"/>
    <w:rsid w:val="00867E6B"/>
    <w:rsid w:val="008A74CC"/>
    <w:rsid w:val="008D7AAD"/>
    <w:rsid w:val="008F139C"/>
    <w:rsid w:val="00941EE0"/>
    <w:rsid w:val="0094436A"/>
    <w:rsid w:val="009872A2"/>
    <w:rsid w:val="009917E5"/>
    <w:rsid w:val="009C6BD4"/>
    <w:rsid w:val="009E0315"/>
    <w:rsid w:val="009E2971"/>
    <w:rsid w:val="00A0007A"/>
    <w:rsid w:val="00A00A8D"/>
    <w:rsid w:val="00A31D3A"/>
    <w:rsid w:val="00A3584C"/>
    <w:rsid w:val="00A47AE7"/>
    <w:rsid w:val="00A56DBF"/>
    <w:rsid w:val="00A57E99"/>
    <w:rsid w:val="00A63C62"/>
    <w:rsid w:val="00A858FB"/>
    <w:rsid w:val="00AB1C9A"/>
    <w:rsid w:val="00AE280E"/>
    <w:rsid w:val="00AF2AC0"/>
    <w:rsid w:val="00B06483"/>
    <w:rsid w:val="00B065B7"/>
    <w:rsid w:val="00B069D2"/>
    <w:rsid w:val="00B12E3A"/>
    <w:rsid w:val="00B75C1C"/>
    <w:rsid w:val="00BA170E"/>
    <w:rsid w:val="00BA303F"/>
    <w:rsid w:val="00BA7B68"/>
    <w:rsid w:val="00BC103F"/>
    <w:rsid w:val="00BD57D1"/>
    <w:rsid w:val="00C01D3A"/>
    <w:rsid w:val="00C15165"/>
    <w:rsid w:val="00C15862"/>
    <w:rsid w:val="00C217E7"/>
    <w:rsid w:val="00C358D3"/>
    <w:rsid w:val="00C530D9"/>
    <w:rsid w:val="00C72F86"/>
    <w:rsid w:val="00C8731D"/>
    <w:rsid w:val="00C96B34"/>
    <w:rsid w:val="00CA031E"/>
    <w:rsid w:val="00CA0435"/>
    <w:rsid w:val="00CC0D52"/>
    <w:rsid w:val="00CC1331"/>
    <w:rsid w:val="00CE5F97"/>
    <w:rsid w:val="00CF6A8B"/>
    <w:rsid w:val="00D17A4E"/>
    <w:rsid w:val="00D2624B"/>
    <w:rsid w:val="00D27E86"/>
    <w:rsid w:val="00D35F8E"/>
    <w:rsid w:val="00D7252C"/>
    <w:rsid w:val="00D76F27"/>
    <w:rsid w:val="00DA352A"/>
    <w:rsid w:val="00DA6A82"/>
    <w:rsid w:val="00DB5E15"/>
    <w:rsid w:val="00DB7DCF"/>
    <w:rsid w:val="00DE7E80"/>
    <w:rsid w:val="00DF4709"/>
    <w:rsid w:val="00E054AE"/>
    <w:rsid w:val="00E2141C"/>
    <w:rsid w:val="00E63699"/>
    <w:rsid w:val="00E64E28"/>
    <w:rsid w:val="00E86FE3"/>
    <w:rsid w:val="00E932BB"/>
    <w:rsid w:val="00E96BDA"/>
    <w:rsid w:val="00EA6279"/>
    <w:rsid w:val="00EB3139"/>
    <w:rsid w:val="00EB3917"/>
    <w:rsid w:val="00EC1C6F"/>
    <w:rsid w:val="00ED084E"/>
    <w:rsid w:val="00ED4246"/>
    <w:rsid w:val="00EE13F7"/>
    <w:rsid w:val="00EF4AEE"/>
    <w:rsid w:val="00EF7DCB"/>
    <w:rsid w:val="00F124E5"/>
    <w:rsid w:val="00F164ED"/>
    <w:rsid w:val="00F309DF"/>
    <w:rsid w:val="00F40636"/>
    <w:rsid w:val="00F45B83"/>
    <w:rsid w:val="00F6082E"/>
    <w:rsid w:val="00F72FD7"/>
    <w:rsid w:val="00F813AA"/>
    <w:rsid w:val="00FB5256"/>
    <w:rsid w:val="00FD266C"/>
    <w:rsid w:val="00FD51AA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90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3/11-23-2098-03-00bi-frame-anonymization-fa-normative-text-for-11b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2162-03-00bi-agenda-for-dec-telecons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802.11-24/0018r0</dc:title>
  <dc:subject>Minutes</dc:subject>
  <dc:creator>stephane.baron@crf.canon.fr</dc:creator>
  <cp:keywords> </cp:keywords>
  <dc:description/>
  <cp:lastModifiedBy>BARON Stephane</cp:lastModifiedBy>
  <cp:revision>23</cp:revision>
  <dcterms:created xsi:type="dcterms:W3CDTF">2023-12-14T07:05:00Z</dcterms:created>
  <dcterms:modified xsi:type="dcterms:W3CDTF">2024-01-15T20:14:00Z</dcterms:modified>
  <dc:language>sv-SE</dc:language>
</cp:coreProperties>
</file>