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1778BD7E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</w:t>
            </w:r>
            <w:r w:rsidR="00920EEA">
              <w:rPr>
                <w:lang w:eastAsia="zh-CN"/>
              </w:rPr>
              <w:t>27</w:t>
            </w:r>
            <w:r w:rsidR="003205A2">
              <w:rPr>
                <w:lang w:eastAsia="zh-CN"/>
              </w:rPr>
              <w:t>5</w:t>
            </w:r>
            <w:r>
              <w:rPr>
                <w:lang w:eastAsia="zh-CN"/>
              </w:rPr>
              <w:t xml:space="preserve"> </w:t>
            </w:r>
            <w:r w:rsidR="00636A78">
              <w:rPr>
                <w:lang w:eastAsia="zh-CN"/>
              </w:rPr>
              <w:t xml:space="preserve">Proposed </w:t>
            </w:r>
            <w:r>
              <w:rPr>
                <w:lang w:eastAsia="zh-CN"/>
              </w:rPr>
              <w:t>Comment Resolution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089D0DC2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</w:t>
            </w:r>
            <w:r w:rsidR="00920EEA">
              <w:rPr>
                <w:b w:val="0"/>
                <w:sz w:val="22"/>
              </w:rPr>
              <w:t>3</w:t>
            </w:r>
            <w:r w:rsidR="001D4E29">
              <w:rPr>
                <w:b w:val="0"/>
                <w:sz w:val="22"/>
              </w:rPr>
              <w:t>/</w:t>
            </w:r>
            <w:r w:rsidR="003205A2">
              <w:rPr>
                <w:b w:val="0"/>
                <w:sz w:val="22"/>
              </w:rPr>
              <w:t>11</w:t>
            </w:r>
            <w:r w:rsidR="001D4E29">
              <w:rPr>
                <w:b w:val="0"/>
                <w:sz w:val="22"/>
              </w:rPr>
              <w:t>/</w:t>
            </w:r>
            <w:r w:rsidR="003205A2">
              <w:rPr>
                <w:b w:val="0"/>
                <w:sz w:val="22"/>
              </w:rPr>
              <w:t>0</w:t>
            </w:r>
            <w:r w:rsidR="00D82598">
              <w:rPr>
                <w:b w:val="0"/>
                <w:sz w:val="22"/>
              </w:rPr>
              <w:t>3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5B3A3685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3205A2">
                              <w:rPr>
                                <w:lang w:eastAsia="zh-CN"/>
                              </w:rPr>
                              <w:t>4</w:t>
                            </w:r>
                            <w:r w:rsidR="00920EEA">
                              <w:rPr>
                                <w:lang w:eastAsia="zh-CN"/>
                              </w:rPr>
                              <w:t>.0</w:t>
                            </w:r>
                            <w:r w:rsidR="00134062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22518769" w:rsidR="00B90546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0462E439" w14:textId="52F611F4" w:rsidR="00B90546" w:rsidRPr="003205A2" w:rsidRDefault="003205A2" w:rsidP="001D4E29">
                            <w:r>
                              <w:t>19034, 19035</w:t>
                            </w: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5B3A3685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3205A2">
                        <w:rPr>
                          <w:lang w:eastAsia="zh-CN"/>
                        </w:rPr>
                        <w:t>4</w:t>
                      </w:r>
                      <w:r w:rsidR="00920EEA">
                        <w:rPr>
                          <w:lang w:eastAsia="zh-CN"/>
                        </w:rPr>
                        <w:t>.0</w:t>
                      </w:r>
                      <w:r w:rsidR="00134062">
                        <w:rPr>
                          <w:lang w:eastAsia="zh-CN"/>
                        </w:rPr>
                        <w:t>.</w:t>
                      </w:r>
                    </w:p>
                    <w:p w14:paraId="01E5F689" w14:textId="77777777" w:rsidR="00B90546" w:rsidRPr="00CC639B" w:rsidRDefault="00B90546" w:rsidP="00222EB5"/>
                    <w:p w14:paraId="6E2FA47B" w14:textId="22518769" w:rsidR="00B90546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0462E439" w14:textId="52F611F4" w:rsidR="00B90546" w:rsidRPr="003205A2" w:rsidRDefault="003205A2" w:rsidP="001D4E29">
                      <w:r>
                        <w:t>19034, 19035</w:t>
                      </w: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14:paraId="782FDFBD" w14:textId="77777777" w:rsidTr="00E87703">
        <w:tc>
          <w:tcPr>
            <w:tcW w:w="2042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30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</w:tbl>
    <w:p w14:paraId="67A87454" w14:textId="77777777" w:rsidR="00422650" w:rsidRDefault="00422650" w:rsidP="00422650">
      <w:pPr>
        <w:pStyle w:val="BodyText"/>
        <w:rPr>
          <w:color w:val="000000"/>
          <w:sz w:val="24"/>
          <w:szCs w:val="24"/>
          <w:lang w:val="en-US" w:eastAsia="en-GB"/>
        </w:rPr>
      </w:pPr>
    </w:p>
    <w:p w14:paraId="4274FF32" w14:textId="3CA74F7A" w:rsidR="00314B87" w:rsidRPr="00314B87" w:rsidRDefault="00314B87" w:rsidP="00314B87">
      <w:pPr>
        <w:pStyle w:val="BodyText"/>
        <w:rPr>
          <w:b/>
          <w:bCs/>
          <w:color w:val="000000"/>
          <w:szCs w:val="22"/>
          <w:lang w:val="en-US" w:eastAsia="en-GB"/>
        </w:rPr>
      </w:pPr>
      <w:r w:rsidRPr="00F65004">
        <w:rPr>
          <w:b/>
          <w:bCs/>
          <w:color w:val="000000"/>
          <w:szCs w:val="22"/>
          <w:lang w:val="en-US" w:eastAsia="en-GB"/>
        </w:rPr>
        <w:t>Discussion (</w:t>
      </w:r>
      <w:r>
        <w:rPr>
          <w:b/>
          <w:bCs/>
          <w:color w:val="000000"/>
          <w:szCs w:val="22"/>
          <w:lang w:val="en-US" w:eastAsia="en-GB"/>
        </w:rPr>
        <w:t>19034, 19035</w:t>
      </w:r>
      <w:r w:rsidRPr="00F65004">
        <w:rPr>
          <w:b/>
          <w:bCs/>
          <w:color w:val="000000"/>
          <w:szCs w:val="22"/>
          <w:lang w:val="en-US" w:eastAsia="en-GB"/>
        </w:rPr>
        <w:t>)</w:t>
      </w:r>
    </w:p>
    <w:p w14:paraId="699BE15A" w14:textId="1C21291E" w:rsidR="00314B87" w:rsidRDefault="00314B87" w:rsidP="00314B87">
      <w:pPr>
        <w:pStyle w:val="BodyText"/>
        <w:rPr>
          <w:szCs w:val="22"/>
          <w:lang w:eastAsia="zh-CN"/>
        </w:rPr>
      </w:pPr>
      <w:r>
        <w:rPr>
          <w:color w:val="000000"/>
          <w:szCs w:val="22"/>
          <w:lang w:val="en-US" w:eastAsia="en-GB"/>
        </w:rPr>
        <w:t xml:space="preserve">Identical comments 10009 and 10010 appeared in LB266 and proposed resolutions to these CIDs were provided in </w:t>
      </w:r>
      <w:hyperlink r:id="rId9" w:history="1">
        <w:r w:rsidRPr="00815DC1">
          <w:rPr>
            <w:rStyle w:val="Hyperlink"/>
            <w:szCs w:val="22"/>
            <w:lang w:eastAsia="zh-CN"/>
          </w:rPr>
          <w:t>https://mentor.ieee.org/802.11/dcn/22/11-22-1876-01</w:t>
        </w:r>
      </w:hyperlink>
      <w:r>
        <w:rPr>
          <w:szCs w:val="22"/>
          <w:lang w:eastAsia="zh-CN"/>
        </w:rPr>
        <w:t>.</w:t>
      </w:r>
    </w:p>
    <w:p w14:paraId="6E158499" w14:textId="3F164B2A" w:rsidR="00314B87" w:rsidRDefault="00314B87" w:rsidP="00314B87">
      <w:pPr>
        <w:pStyle w:val="BodyText"/>
        <w:rPr>
          <w:szCs w:val="22"/>
          <w:lang w:eastAsia="zh-CN"/>
        </w:rPr>
      </w:pPr>
      <w:r>
        <w:rPr>
          <w:szCs w:val="22"/>
          <w:lang w:eastAsia="zh-CN"/>
        </w:rPr>
        <w:t>Following presentation of this submission and subsequent discussion (5</w:t>
      </w:r>
      <w:r w:rsidRPr="00314B87">
        <w:rPr>
          <w:szCs w:val="22"/>
          <w:vertAlign w:val="superscript"/>
          <w:lang w:eastAsia="zh-CN"/>
        </w:rPr>
        <w:t>th</w:t>
      </w:r>
      <w:r>
        <w:rPr>
          <w:szCs w:val="22"/>
          <w:lang w:eastAsia="zh-CN"/>
        </w:rPr>
        <w:t xml:space="preserve"> January 2023), the group rejected those comments as no consensus could be reached (see </w:t>
      </w:r>
      <w:hyperlink r:id="rId10" w:history="1">
        <w:r w:rsidRPr="00815DC1">
          <w:rPr>
            <w:rStyle w:val="Hyperlink"/>
            <w:szCs w:val="22"/>
            <w:lang w:eastAsia="zh-CN"/>
          </w:rPr>
          <w:t>https://mentor.ieee.org/802.11/dcn/22/11-22-0971-53-00be-ieee-802-11be-lb266-comments.xlsx</w:t>
        </w:r>
      </w:hyperlink>
      <w:r>
        <w:rPr>
          <w:szCs w:val="22"/>
          <w:lang w:eastAsia="zh-CN"/>
        </w:rPr>
        <w:t xml:space="preserve"> ).</w:t>
      </w:r>
    </w:p>
    <w:p w14:paraId="60297CBE" w14:textId="45546660" w:rsidR="00314B87" w:rsidRDefault="00314B87" w:rsidP="00422650">
      <w:pPr>
        <w:pStyle w:val="BodyText"/>
        <w:rPr>
          <w:szCs w:val="22"/>
          <w:lang w:eastAsia="zh-CN"/>
        </w:rPr>
      </w:pPr>
      <w:r>
        <w:rPr>
          <w:szCs w:val="22"/>
          <w:lang w:eastAsia="zh-CN"/>
        </w:rPr>
        <w:t>The commentor was recently consulted by private email and agrees that no further update has occurred since January 2023 and therefore these comments should be rejected.</w:t>
      </w:r>
    </w:p>
    <w:p w14:paraId="64C32A8A" w14:textId="77777777" w:rsidR="00314B87" w:rsidRPr="00314B87" w:rsidRDefault="00314B87" w:rsidP="00422650">
      <w:pPr>
        <w:pStyle w:val="BodyText"/>
        <w:rPr>
          <w:szCs w:val="22"/>
          <w:lang w:eastAsia="zh-CN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2062"/>
        <w:gridCol w:w="2665"/>
      </w:tblGrid>
      <w:tr w:rsidR="00422650" w:rsidRPr="00422650" w14:paraId="4A339FBA" w14:textId="77777777" w:rsidTr="00D82598">
        <w:trPr>
          <w:trHeight w:val="734"/>
        </w:trPr>
        <w:tc>
          <w:tcPr>
            <w:tcW w:w="866" w:type="dxa"/>
          </w:tcPr>
          <w:p w14:paraId="22E957E9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6CDE5644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Page.</w:t>
            </w:r>
          </w:p>
          <w:p w14:paraId="28A059A1" w14:textId="77777777" w:rsidR="00422650" w:rsidRPr="00422650" w:rsidRDefault="00422650" w:rsidP="0011474F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A9B30C2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1EAA4FF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2062" w:type="dxa"/>
            <w:shd w:val="clear" w:color="auto" w:fill="auto"/>
            <w:hideMark/>
          </w:tcPr>
          <w:p w14:paraId="06CA1671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11CB958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Resolution</w:t>
            </w:r>
          </w:p>
        </w:tc>
      </w:tr>
      <w:tr w:rsidR="00D82598" w:rsidRPr="00422650" w14:paraId="5794A97A" w14:textId="77777777" w:rsidTr="00D82598">
        <w:trPr>
          <w:trHeight w:val="1302"/>
        </w:trPr>
        <w:tc>
          <w:tcPr>
            <w:tcW w:w="866" w:type="dxa"/>
          </w:tcPr>
          <w:p w14:paraId="398373F1" w14:textId="54186C16" w:rsidR="00D82598" w:rsidRPr="00422650" w:rsidRDefault="00D82598" w:rsidP="00D8259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19034</w:t>
            </w:r>
          </w:p>
        </w:tc>
        <w:tc>
          <w:tcPr>
            <w:tcW w:w="850" w:type="dxa"/>
            <w:shd w:val="clear" w:color="auto" w:fill="auto"/>
          </w:tcPr>
          <w:p w14:paraId="764C4484" w14:textId="77777777" w:rsidR="00D82598" w:rsidRDefault="00D82598" w:rsidP="00D82598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192.50</w:t>
            </w:r>
          </w:p>
          <w:p w14:paraId="0303C86F" w14:textId="25DCC061" w:rsidR="00D82598" w:rsidRPr="00422650" w:rsidRDefault="00D82598" w:rsidP="00D82598">
            <w:pPr>
              <w:jc w:val="right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2D02AC" w14:textId="3F4DD9A5" w:rsidR="00D82598" w:rsidRPr="00422650" w:rsidRDefault="00D82598" w:rsidP="00D8259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9.4</w:t>
            </w:r>
          </w:p>
        </w:tc>
        <w:tc>
          <w:tcPr>
            <w:tcW w:w="2219" w:type="dxa"/>
            <w:shd w:val="clear" w:color="auto" w:fill="auto"/>
          </w:tcPr>
          <w:p w14:paraId="30CC4ABE" w14:textId="7312A933" w:rsidR="00D82598" w:rsidRPr="00422650" w:rsidRDefault="00D82598" w:rsidP="00D82598">
            <w:pPr>
              <w:rPr>
                <w:szCs w:val="22"/>
              </w:rPr>
            </w:pPr>
            <w:r w:rsidRPr="00E115B2">
              <w:t>MLD Average Access delay is missing, 11be should have a solution to extend BSS average Access Delay to MLD level average access delay.</w:t>
            </w:r>
          </w:p>
        </w:tc>
        <w:tc>
          <w:tcPr>
            <w:tcW w:w="2062" w:type="dxa"/>
            <w:shd w:val="clear" w:color="auto" w:fill="auto"/>
          </w:tcPr>
          <w:p w14:paraId="285C25BB" w14:textId="2DF20B3B" w:rsidR="00D82598" w:rsidRPr="00422650" w:rsidRDefault="00D82598" w:rsidP="00D82598">
            <w:pPr>
              <w:rPr>
                <w:szCs w:val="22"/>
              </w:rPr>
            </w:pPr>
            <w:r w:rsidRPr="00E115B2">
              <w:t>the commenter will provide a resolution</w:t>
            </w:r>
          </w:p>
        </w:tc>
        <w:tc>
          <w:tcPr>
            <w:tcW w:w="2665" w:type="dxa"/>
            <w:shd w:val="clear" w:color="auto" w:fill="auto"/>
          </w:tcPr>
          <w:p w14:paraId="3826525F" w14:textId="02EE1153" w:rsidR="00D82598" w:rsidRPr="00D82598" w:rsidRDefault="00D82598" w:rsidP="00D82598">
            <w:pPr>
              <w:rPr>
                <w:szCs w:val="22"/>
                <w:lang w:eastAsia="zh-CN"/>
              </w:rPr>
            </w:pPr>
            <w:r w:rsidRPr="00D82598">
              <w:rPr>
                <w:szCs w:val="22"/>
                <w:lang w:eastAsia="zh-CN"/>
              </w:rPr>
              <w:t>REJECTED</w:t>
            </w:r>
          </w:p>
          <w:p w14:paraId="72202E14" w14:textId="4D1392A8" w:rsidR="00D82598" w:rsidRPr="00422650" w:rsidRDefault="00D82598" w:rsidP="00D82598">
            <w:pPr>
              <w:rPr>
                <w:szCs w:val="22"/>
                <w:lang w:eastAsia="zh-CN"/>
              </w:rPr>
            </w:pPr>
            <w:r w:rsidRPr="00D82598">
              <w:rPr>
                <w:szCs w:val="22"/>
                <w:lang w:eastAsia="zh-CN"/>
              </w:rPr>
              <w:t>A proposed resolution for this CID was discussed as part of the comment resolutions in https://mentor.ieee.org/802.11/dcn/22/11-22-1876-01, however the group could not reach consensus on a proposed change that would resolve the comment. The issue of supporting MLD average access delay and diagnostics has been raised before in earlier comments (e.g. comment 10009</w:t>
            </w:r>
            <w:r w:rsidR="00314B87">
              <w:rPr>
                <w:szCs w:val="22"/>
                <w:lang w:eastAsia="zh-CN"/>
              </w:rPr>
              <w:t xml:space="preserve"> </w:t>
            </w:r>
            <w:r w:rsidRPr="00D82598">
              <w:rPr>
                <w:szCs w:val="22"/>
                <w:lang w:eastAsia="zh-CN"/>
              </w:rPr>
              <w:t>during LB266) and th</w:t>
            </w:r>
            <w:r w:rsidR="00314B87">
              <w:rPr>
                <w:szCs w:val="22"/>
                <w:lang w:eastAsia="zh-CN"/>
              </w:rPr>
              <w:t>is</w:t>
            </w:r>
            <w:r w:rsidRPr="00D82598">
              <w:rPr>
                <w:szCs w:val="22"/>
                <w:lang w:eastAsia="zh-CN"/>
              </w:rPr>
              <w:t xml:space="preserve"> w</w:t>
            </w:r>
            <w:r w:rsidR="00314B87">
              <w:rPr>
                <w:szCs w:val="22"/>
                <w:lang w:eastAsia="zh-CN"/>
              </w:rPr>
              <w:t>as</w:t>
            </w:r>
            <w:r w:rsidRPr="00D82598">
              <w:rPr>
                <w:szCs w:val="22"/>
                <w:lang w:eastAsia="zh-CN"/>
              </w:rPr>
              <w:t xml:space="preserve"> rejected due to the inability of the group to reach consensus.</w:t>
            </w:r>
          </w:p>
        </w:tc>
      </w:tr>
      <w:tr w:rsidR="00D82598" w:rsidRPr="00422650" w14:paraId="44419D7D" w14:textId="77777777" w:rsidTr="00D82598">
        <w:trPr>
          <w:trHeight w:val="1302"/>
        </w:trPr>
        <w:tc>
          <w:tcPr>
            <w:tcW w:w="866" w:type="dxa"/>
          </w:tcPr>
          <w:p w14:paraId="6004DA7A" w14:textId="22AAEA48" w:rsidR="00D82598" w:rsidRPr="00422650" w:rsidRDefault="00D82598" w:rsidP="00D82598">
            <w:pPr>
              <w:jc w:val="right"/>
              <w:rPr>
                <w:szCs w:val="22"/>
              </w:rPr>
            </w:pPr>
            <w:r w:rsidRPr="00D82598">
              <w:t>19035</w:t>
            </w:r>
          </w:p>
        </w:tc>
        <w:tc>
          <w:tcPr>
            <w:tcW w:w="850" w:type="dxa"/>
            <w:shd w:val="clear" w:color="auto" w:fill="auto"/>
          </w:tcPr>
          <w:p w14:paraId="040B9167" w14:textId="77777777" w:rsidR="00D82598" w:rsidRDefault="00D82598" w:rsidP="00D82598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192.50</w:t>
            </w:r>
          </w:p>
          <w:p w14:paraId="353E5EF3" w14:textId="0DC2C4FB" w:rsidR="00D82598" w:rsidRPr="00422650" w:rsidRDefault="00D82598" w:rsidP="00D82598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CD67F2" w14:textId="05A9CBFB" w:rsidR="00D82598" w:rsidRPr="00422650" w:rsidRDefault="00D82598" w:rsidP="00D8259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9.4</w:t>
            </w:r>
          </w:p>
        </w:tc>
        <w:tc>
          <w:tcPr>
            <w:tcW w:w="2219" w:type="dxa"/>
            <w:shd w:val="clear" w:color="auto" w:fill="auto"/>
          </w:tcPr>
          <w:p w14:paraId="47197652" w14:textId="1F045119" w:rsidR="00D82598" w:rsidRPr="00422650" w:rsidRDefault="00D82598" w:rsidP="00D82598">
            <w:pPr>
              <w:rPr>
                <w:szCs w:val="22"/>
              </w:rPr>
            </w:pPr>
            <w:r w:rsidRPr="003364CE">
              <w:t>11be should provide a solution to extend STA Statistics request/report to MLD level</w:t>
            </w:r>
          </w:p>
        </w:tc>
        <w:tc>
          <w:tcPr>
            <w:tcW w:w="2062" w:type="dxa"/>
            <w:shd w:val="clear" w:color="auto" w:fill="auto"/>
          </w:tcPr>
          <w:p w14:paraId="36DD059A" w14:textId="03A801F4" w:rsidR="00D82598" w:rsidRPr="00422650" w:rsidRDefault="00D82598" w:rsidP="00D82598">
            <w:pPr>
              <w:rPr>
                <w:szCs w:val="22"/>
              </w:rPr>
            </w:pPr>
            <w:r w:rsidRPr="003364CE">
              <w:t>the commenter will provide a resolution on it.</w:t>
            </w:r>
          </w:p>
        </w:tc>
        <w:tc>
          <w:tcPr>
            <w:tcW w:w="2665" w:type="dxa"/>
            <w:shd w:val="clear" w:color="auto" w:fill="auto"/>
          </w:tcPr>
          <w:p w14:paraId="01A8E08C" w14:textId="021B4BE9" w:rsidR="00D82598" w:rsidRPr="00D82598" w:rsidRDefault="00D82598" w:rsidP="00D82598">
            <w:pPr>
              <w:rPr>
                <w:szCs w:val="22"/>
                <w:lang w:eastAsia="zh-CN"/>
              </w:rPr>
            </w:pPr>
            <w:r w:rsidRPr="00D82598">
              <w:rPr>
                <w:szCs w:val="22"/>
                <w:lang w:eastAsia="zh-CN"/>
              </w:rPr>
              <w:t>REJECTED</w:t>
            </w:r>
          </w:p>
          <w:p w14:paraId="582CA84E" w14:textId="6C3BEA4F" w:rsidR="00D82598" w:rsidRPr="00422650" w:rsidRDefault="00D82598" w:rsidP="00D82598">
            <w:pPr>
              <w:rPr>
                <w:szCs w:val="22"/>
                <w:lang w:eastAsia="zh-CN"/>
              </w:rPr>
            </w:pPr>
            <w:r w:rsidRPr="00D82598">
              <w:rPr>
                <w:szCs w:val="22"/>
                <w:lang w:eastAsia="zh-CN"/>
              </w:rPr>
              <w:t xml:space="preserve">A proposed resolution for this CID was discussed as part of the comment resolutions in https://mentor.ieee.org/802.11/dcn/22/11-22-1876-01, however the group could not reach consensus on a proposed change that would resolve the comment. The issue of supporting MLD average </w:t>
            </w:r>
            <w:r w:rsidRPr="00D82598">
              <w:rPr>
                <w:szCs w:val="22"/>
                <w:lang w:eastAsia="zh-CN"/>
              </w:rPr>
              <w:lastRenderedPageBreak/>
              <w:t>access delay and diagnostics has been raised before in earlier comments (e.g. comment</w:t>
            </w:r>
            <w:r w:rsidR="00314B87">
              <w:rPr>
                <w:szCs w:val="22"/>
                <w:lang w:eastAsia="zh-CN"/>
              </w:rPr>
              <w:t xml:space="preserve"> </w:t>
            </w:r>
            <w:r w:rsidRPr="00D82598">
              <w:rPr>
                <w:szCs w:val="22"/>
                <w:lang w:eastAsia="zh-CN"/>
              </w:rPr>
              <w:t>10010 during LB266) and th</w:t>
            </w:r>
            <w:r w:rsidR="00314B87">
              <w:rPr>
                <w:szCs w:val="22"/>
                <w:lang w:eastAsia="zh-CN"/>
              </w:rPr>
              <w:t>is was</w:t>
            </w:r>
            <w:r w:rsidRPr="00D82598">
              <w:rPr>
                <w:szCs w:val="22"/>
                <w:lang w:eastAsia="zh-CN"/>
              </w:rPr>
              <w:t xml:space="preserve"> rejected due to the inability of the group to reach consensus.</w:t>
            </w:r>
          </w:p>
        </w:tc>
      </w:tr>
    </w:tbl>
    <w:p w14:paraId="7AE55298" w14:textId="5510110E" w:rsidR="00137044" w:rsidRPr="00F65004" w:rsidRDefault="00137044" w:rsidP="00137044">
      <w:pPr>
        <w:pStyle w:val="BodyText"/>
        <w:rPr>
          <w:color w:val="000000"/>
          <w:szCs w:val="22"/>
          <w:lang w:val="en-US" w:eastAsia="en-GB"/>
        </w:rPr>
      </w:pPr>
    </w:p>
    <w:sectPr w:rsidR="00137044" w:rsidRPr="00F6500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DC2B" w14:textId="77777777" w:rsidR="009D4EB0" w:rsidRDefault="009D4EB0">
      <w:r>
        <w:separator/>
      </w:r>
    </w:p>
  </w:endnote>
  <w:endnote w:type="continuationSeparator" w:id="0">
    <w:p w14:paraId="0D8163EF" w14:textId="77777777" w:rsidR="009D4EB0" w:rsidRDefault="009D4EB0">
      <w:r>
        <w:continuationSeparator/>
      </w:r>
    </w:p>
  </w:endnote>
  <w:endnote w:type="continuationNotice" w:id="1">
    <w:p w14:paraId="2EEF5446" w14:textId="77777777" w:rsidR="009D4EB0" w:rsidRDefault="009D4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97D5" w14:textId="77777777" w:rsidR="009D4EB0" w:rsidRDefault="009D4EB0">
      <w:r>
        <w:separator/>
      </w:r>
    </w:p>
  </w:footnote>
  <w:footnote w:type="continuationSeparator" w:id="0">
    <w:p w14:paraId="40582352" w14:textId="77777777" w:rsidR="009D4EB0" w:rsidRDefault="009D4EB0">
      <w:r>
        <w:continuationSeparator/>
      </w:r>
    </w:p>
  </w:footnote>
  <w:footnote w:type="continuationNotice" w:id="1">
    <w:p w14:paraId="61D0EC2D" w14:textId="77777777" w:rsidR="009D4EB0" w:rsidRDefault="009D4E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1A23AF25" w:rsidR="00B90546" w:rsidRDefault="00314B8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 w:rsidR="001D4E29">
      <w:rPr>
        <w:lang w:eastAsia="zh-CN"/>
      </w:rPr>
      <w:t>3</w:t>
    </w:r>
    <w:r w:rsidR="00B90546">
      <w:tab/>
    </w:r>
    <w:r w:rsidR="00B90546">
      <w:tab/>
    </w:r>
    <w:fldSimple w:instr=" TITLE  \* MERGEFORMAT ">
      <w:r>
        <w:t>doc.: IEEE 802.11-23/</w:t>
      </w:r>
      <w:r>
        <w:rPr>
          <w:lang w:eastAsia="zh-CN"/>
        </w:rPr>
        <w:t>1817r0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AF6C4A"/>
    <w:multiLevelType w:val="hybridMultilevel"/>
    <w:tmpl w:val="38F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930741">
    <w:abstractNumId w:val="11"/>
  </w:num>
  <w:num w:numId="2" w16cid:durableId="69348778">
    <w:abstractNumId w:val="3"/>
  </w:num>
  <w:num w:numId="3" w16cid:durableId="1052923348">
    <w:abstractNumId w:val="19"/>
  </w:num>
  <w:num w:numId="4" w16cid:durableId="1144664226">
    <w:abstractNumId w:val="25"/>
  </w:num>
  <w:num w:numId="5" w16cid:durableId="1686858874">
    <w:abstractNumId w:val="14"/>
  </w:num>
  <w:num w:numId="6" w16cid:durableId="454565506">
    <w:abstractNumId w:val="27"/>
  </w:num>
  <w:num w:numId="7" w16cid:durableId="79884374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08624722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41211499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602303211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5657820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564563366">
    <w:abstractNumId w:val="26"/>
  </w:num>
  <w:num w:numId="13" w16cid:durableId="447049018">
    <w:abstractNumId w:val="15"/>
  </w:num>
  <w:num w:numId="14" w16cid:durableId="1949921893">
    <w:abstractNumId w:val="8"/>
  </w:num>
  <w:num w:numId="15" w16cid:durableId="663511520">
    <w:abstractNumId w:val="2"/>
  </w:num>
  <w:num w:numId="16" w16cid:durableId="2016807479">
    <w:abstractNumId w:val="21"/>
  </w:num>
  <w:num w:numId="17" w16cid:durableId="1160653835">
    <w:abstractNumId w:val="9"/>
  </w:num>
  <w:num w:numId="18" w16cid:durableId="1476726710">
    <w:abstractNumId w:val="10"/>
  </w:num>
  <w:num w:numId="19" w16cid:durableId="177867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1277417">
    <w:abstractNumId w:val="12"/>
  </w:num>
  <w:num w:numId="21" w16cid:durableId="1907568764">
    <w:abstractNumId w:val="6"/>
  </w:num>
  <w:num w:numId="22" w16cid:durableId="745494035">
    <w:abstractNumId w:val="17"/>
  </w:num>
  <w:num w:numId="23" w16cid:durableId="914319310">
    <w:abstractNumId w:val="16"/>
  </w:num>
  <w:num w:numId="24" w16cid:durableId="694767636">
    <w:abstractNumId w:val="20"/>
  </w:num>
  <w:num w:numId="25" w16cid:durableId="1076394881">
    <w:abstractNumId w:val="4"/>
  </w:num>
  <w:num w:numId="26" w16cid:durableId="572588175">
    <w:abstractNumId w:val="22"/>
  </w:num>
  <w:num w:numId="27" w16cid:durableId="1848708897">
    <w:abstractNumId w:val="23"/>
  </w:num>
  <w:num w:numId="28" w16cid:durableId="778989613">
    <w:abstractNumId w:val="1"/>
  </w:num>
  <w:num w:numId="29" w16cid:durableId="1377462906">
    <w:abstractNumId w:val="5"/>
  </w:num>
  <w:num w:numId="30" w16cid:durableId="226183750">
    <w:abstractNumId w:val="7"/>
  </w:num>
  <w:num w:numId="31" w16cid:durableId="802892929">
    <w:abstractNumId w:val="18"/>
  </w:num>
  <w:num w:numId="32" w16cid:durableId="2051956804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8329901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96339580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3509945">
    <w:abstractNumId w:val="24"/>
  </w:num>
  <w:num w:numId="36" w16cid:durableId="1569419359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7885004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849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3AF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2C83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703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044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4E3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85D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D01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0D2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4E29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32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679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4BB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766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971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5D7"/>
    <w:rsid w:val="003048CE"/>
    <w:rsid w:val="00304A09"/>
    <w:rsid w:val="00304C2C"/>
    <w:rsid w:val="00305133"/>
    <w:rsid w:val="00305A18"/>
    <w:rsid w:val="00305F98"/>
    <w:rsid w:val="00306276"/>
    <w:rsid w:val="00306BB0"/>
    <w:rsid w:val="00307782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4B87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5A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372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0C9E"/>
    <w:rsid w:val="00401816"/>
    <w:rsid w:val="00401AAE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E1C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2650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524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489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8A7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B91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A78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CB4"/>
    <w:rsid w:val="00673ECE"/>
    <w:rsid w:val="00673F13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3F1E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13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53C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74C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4B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0FA8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0EEA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457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2426"/>
    <w:rsid w:val="009D3270"/>
    <w:rsid w:val="009D39FE"/>
    <w:rsid w:val="009D3F3B"/>
    <w:rsid w:val="009D3F5B"/>
    <w:rsid w:val="009D4407"/>
    <w:rsid w:val="009D450A"/>
    <w:rsid w:val="009D4633"/>
    <w:rsid w:val="009D4EB0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3603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61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6E3C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0BC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59A2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5FD4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D01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0D48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06A5D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89B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A79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5FA8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459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33ED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B93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59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CDB"/>
    <w:rsid w:val="00D92D68"/>
    <w:rsid w:val="00D937FB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224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0FEE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CD7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703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5E6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004"/>
    <w:rsid w:val="00F651CC"/>
    <w:rsid w:val="00F6531A"/>
    <w:rsid w:val="00F65553"/>
    <w:rsid w:val="00F65797"/>
    <w:rsid w:val="00F6582B"/>
    <w:rsid w:val="00F65B6A"/>
    <w:rsid w:val="00F663FB"/>
    <w:rsid w:val="00F666E3"/>
    <w:rsid w:val="00F66E9F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  <w:style w:type="character" w:styleId="UnresolvedMention">
    <w:name w:val="Unresolved Mention"/>
    <w:basedOn w:val="DefaultParagraphFont"/>
    <w:uiPriority w:val="99"/>
    <w:semiHidden/>
    <w:unhideWhenUsed/>
    <w:rsid w:val="0031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2/11-22-0971-53-00be-ieee-802-11be-lb266-comments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876-0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802.11-23/1817r0</vt:lpstr>
    </vt:vector>
  </TitlesOfParts>
  <Company>Huawei Technologies Co., Ltd</Company>
  <LinksUpToDate>false</LinksUpToDate>
  <CharactersWithSpaces>2421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802.11-23/1817r0</dc:title>
  <dc:subject>Submission</dc:subject>
  <dc:creator>Stephen McCann</dc:creator>
  <cp:keywords>November 2023</cp:keywords>
  <cp:lastModifiedBy>Stephen McCann</cp:lastModifiedBy>
  <cp:revision>9</cp:revision>
  <dcterms:created xsi:type="dcterms:W3CDTF">2023-04-06T15:46:00Z</dcterms:created>
  <dcterms:modified xsi:type="dcterms:W3CDTF">2023-11-03T11:08:00Z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