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4A640C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BA498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8238B">
              <w:rPr>
                <w:b w:val="0"/>
                <w:sz w:val="20"/>
              </w:rPr>
              <w:t>October</w:t>
            </w:r>
            <w:r w:rsidR="00E61628">
              <w:rPr>
                <w:b w:val="0"/>
                <w:sz w:val="20"/>
              </w:rPr>
              <w:t xml:space="preserve"> 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6162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3E2228E2" w14:textId="0A6A1DAC" w:rsidR="00F6481A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4E1454">
        <w:rPr>
          <w:rFonts w:ascii="Times New Roman" w:hAnsi="Times New Roman" w:cs="Times New Roman"/>
          <w:lang w:eastAsia="ko-KR"/>
        </w:rPr>
        <w:t>1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</w:t>
      </w:r>
      <w:r w:rsidR="00110BC1">
        <w:rPr>
          <w:rFonts w:ascii="Times New Roman" w:hAnsi="Times New Roman" w:cs="Times New Roman"/>
          <w:lang w:eastAsia="ko-KR"/>
        </w:rPr>
        <w:t>5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</w:p>
    <w:p w14:paraId="60403E25" w14:textId="599C2E09" w:rsidR="00D77ECA" w:rsidRPr="00C4752D" w:rsidRDefault="00AB2689" w:rsidP="00110BC1">
      <w:pPr>
        <w:suppressAutoHyphens/>
        <w:jc w:val="both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hAnsi="Times New Roman" w:cs="Times New Roman"/>
          <w:lang w:eastAsia="ko-KR"/>
        </w:rPr>
        <w:t xml:space="preserve"> </w:t>
      </w:r>
      <w:r w:rsidR="00110BC1" w:rsidRPr="00110BC1">
        <w:rPr>
          <w:rFonts w:ascii="Times New Roman" w:hAnsi="Times New Roman" w:cs="Times New Roman"/>
          <w:lang w:eastAsia="ko-KR"/>
        </w:rPr>
        <w:t>19019</w:t>
      </w:r>
      <w:r w:rsidR="00110BC1">
        <w:rPr>
          <w:rFonts w:ascii="Times New Roman" w:hAnsi="Times New Roman" w:cs="Times New Roman"/>
          <w:lang w:eastAsia="ko-KR"/>
        </w:rPr>
        <w:t xml:space="preserve">, </w:t>
      </w:r>
      <w:r w:rsidR="00110BC1" w:rsidRPr="00110BC1">
        <w:rPr>
          <w:rFonts w:ascii="Times New Roman" w:hAnsi="Times New Roman" w:cs="Times New Roman"/>
          <w:lang w:eastAsia="ko-KR"/>
        </w:rPr>
        <w:t>19152</w:t>
      </w:r>
      <w:r w:rsidR="00110BC1">
        <w:rPr>
          <w:rFonts w:ascii="Times New Roman" w:hAnsi="Times New Roman" w:cs="Times New Roman"/>
          <w:lang w:eastAsia="ko-KR"/>
        </w:rPr>
        <w:t xml:space="preserve">, </w:t>
      </w:r>
      <w:r w:rsidR="00110BC1" w:rsidRPr="00110BC1">
        <w:rPr>
          <w:rFonts w:ascii="Times New Roman" w:hAnsi="Times New Roman" w:cs="Times New Roman"/>
          <w:lang w:eastAsia="ko-KR"/>
        </w:rPr>
        <w:t>19180</w:t>
      </w: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B02C19" w:rsidRPr="00C4625B" w14:paraId="6FCABF7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4DFBCAC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19019</w:t>
            </w:r>
          </w:p>
          <w:p w14:paraId="2044EA29" w14:textId="540303ED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2FA7371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36.3.5</w:t>
            </w:r>
          </w:p>
          <w:p w14:paraId="0ED7ED41" w14:textId="6683E39A" w:rsidR="00B02C19" w:rsidRPr="0029783F" w:rsidRDefault="00B02C1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B59F99" w14:textId="12EF9EFF" w:rsidR="00B02C19" w:rsidRPr="0029783F" w:rsidRDefault="00110BC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29783F" w:rsidRPr="002978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0" w:type="dxa"/>
            <w:shd w:val="clear" w:color="auto" w:fill="auto"/>
            <w:noWrap/>
          </w:tcPr>
          <w:p w14:paraId="1C1925D3" w14:textId="45E067C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above frequency domain duplication occurs after LDPC tone mapping (36.3.13.8 (LDPC tone mapper))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segment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operations (36.3.13.9 (Segment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))." shouldn't after both tone mapper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Should be only after one of these two</w:t>
            </w:r>
          </w:p>
          <w:p w14:paraId="2EB860EA" w14:textId="68B5422C" w:rsidR="00B02C19" w:rsidRPr="0029783F" w:rsidRDefault="00B02C19" w:rsidP="00404C41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  <w:noWrap/>
          </w:tcPr>
          <w:p w14:paraId="456BA568" w14:textId="77777777" w:rsidR="00110BC1" w:rsidRDefault="00110BC1" w:rsidP="00110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 LDPC tone mapping (36.3.13.8 (LDPC tone mapper))</w:t>
            </w:r>
            <w:r>
              <w:rPr>
                <w:rFonts w:ascii="Arial" w:hAnsi="Arial" w:cs="Arial"/>
                <w:sz w:val="20"/>
                <w:szCs w:val="20"/>
              </w:rPr>
              <w:br/>
              <w:t>and"</w:t>
            </w:r>
          </w:p>
          <w:p w14:paraId="726AAA8D" w14:textId="2C051932" w:rsidR="00B02C19" w:rsidRPr="0029783F" w:rsidRDefault="00B02C19" w:rsidP="00404C41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</w:tcPr>
          <w:p w14:paraId="1CA2991E" w14:textId="328B4DF2" w:rsidR="00AB7B36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Rejected</w:t>
            </w:r>
            <w:r w:rsidRPr="00110BC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2DD5437C" w14:textId="77777777" w:rsidR="00110BC1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B1B052" w14:textId="3D5C61C2" w:rsid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10BC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Note for MCS 14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in 80Mhz or 160MHz, there is no segment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deparser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so the frequency domain duplication is after LDPC tone mapper. In 320MHz, </w:t>
            </w:r>
            <w:r w:rsidRPr="00110BC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the frequency domain duplication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is after segment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deparser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33EF6712" w14:textId="77777777" w:rsid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11DD03F" w14:textId="654EE6FD" w:rsidR="00110BC1" w:rsidRPr="00110BC1" w:rsidRDefault="00110BC1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7210" w:rsidRPr="00C4625B" w14:paraId="1D5A649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1F93FD9" w14:textId="40F84B3F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19152</w:t>
            </w:r>
          </w:p>
        </w:tc>
        <w:tc>
          <w:tcPr>
            <w:tcW w:w="900" w:type="dxa"/>
            <w:shd w:val="clear" w:color="auto" w:fill="auto"/>
            <w:noWrap/>
          </w:tcPr>
          <w:p w14:paraId="021349EB" w14:textId="3166A04D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36.3.1</w:t>
            </w:r>
          </w:p>
        </w:tc>
        <w:tc>
          <w:tcPr>
            <w:tcW w:w="810" w:type="dxa"/>
          </w:tcPr>
          <w:p w14:paraId="39076702" w14:textId="17655D68" w:rsidR="00D77210" w:rsidRDefault="00D7721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708.11</w:t>
            </w:r>
          </w:p>
        </w:tc>
        <w:tc>
          <w:tcPr>
            <w:tcW w:w="2580" w:type="dxa"/>
            <w:shd w:val="clear" w:color="auto" w:fill="auto"/>
            <w:noWrap/>
          </w:tcPr>
          <w:p w14:paraId="6C0778C4" w14:textId="336F7E2E" w:rsid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At the receiver, one PPDU may contain multiple PSDUs</w:t>
            </w:r>
          </w:p>
        </w:tc>
        <w:tc>
          <w:tcPr>
            <w:tcW w:w="2670" w:type="dxa"/>
            <w:shd w:val="clear" w:color="auto" w:fill="auto"/>
            <w:noWrap/>
          </w:tcPr>
          <w:p w14:paraId="7B397EFA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"delivery of the PSDU." to "delivery of the PSDU(s)."</w:t>
            </w:r>
          </w:p>
          <w:p w14:paraId="75B0DB28" w14:textId="2DB10487" w:rsidR="00D77210" w:rsidRPr="00D77210" w:rsidRDefault="00D77210" w:rsidP="00D7721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12F99D9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Revised. </w:t>
            </w:r>
          </w:p>
          <w:p w14:paraId="67334383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634241" w14:textId="2F491109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7721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The page and line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seem not correct. </w:t>
            </w:r>
          </w:p>
          <w:p w14:paraId="28B2FACB" w14:textId="77777777" w:rsidR="00D77210" w:rsidRDefault="00D77210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11CDACEE" w14:textId="77777777" w:rsidR="00D77210" w:rsidRDefault="00D77210" w:rsidP="00D77210">
            <w:pPr>
              <w:pStyle w:val="SP22274826"/>
              <w:spacing w:before="480" w:after="240"/>
              <w:rPr>
                <w:rStyle w:val="SC22323600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It showed “</w:t>
            </w:r>
            <w:r>
              <w:rPr>
                <w:rStyle w:val="SC22323600"/>
              </w:rPr>
              <w:t>delivery of the PSDU</w:t>
            </w:r>
            <w:r>
              <w:rPr>
                <w:rStyle w:val="SC22323600"/>
              </w:rPr>
              <w:t xml:space="preserve">” is on page 685 line 4. </w:t>
            </w:r>
          </w:p>
          <w:p w14:paraId="1FB6967C" w14:textId="77777777" w:rsidR="00D77210" w:rsidRDefault="00D77210" w:rsidP="00D77210">
            <w:pPr>
              <w:pStyle w:val="SP22274826"/>
              <w:spacing w:before="480" w:after="240"/>
              <w:rPr>
                <w:rStyle w:val="SC22323600"/>
              </w:rPr>
            </w:pPr>
            <w:r w:rsidRPr="00D77210">
              <w:rPr>
                <w:rStyle w:val="SC22323600"/>
                <w:highlight w:val="yellow"/>
              </w:rPr>
              <w:t>Editor:</w:t>
            </w:r>
          </w:p>
          <w:p w14:paraId="67DA6FD9" w14:textId="089A3A2D" w:rsidR="00D77210" w:rsidRPr="00D77210" w:rsidRDefault="00D77210" w:rsidP="00D77210">
            <w:pPr>
              <w:pStyle w:val="SP22274826"/>
              <w:spacing w:before="480" w:after="240"/>
            </w:pPr>
            <w:r>
              <w:rPr>
                <w:rStyle w:val="SC22323600"/>
              </w:rPr>
              <w:t>Please change “</w:t>
            </w:r>
            <w:r>
              <w:rPr>
                <w:rStyle w:val="SC22323600"/>
              </w:rPr>
              <w:t>delivery of the PSDU</w:t>
            </w:r>
            <w:r>
              <w:rPr>
                <w:rStyle w:val="SC22323600"/>
              </w:rPr>
              <w:t xml:space="preserve"> “ in the </w:t>
            </w:r>
            <w:r>
              <w:rPr>
                <w:rStyle w:val="SC22323600"/>
              </w:rPr>
              <w:t>page 685 line 4</w:t>
            </w:r>
            <w:r>
              <w:rPr>
                <w:rStyle w:val="SC22323600"/>
              </w:rPr>
              <w:t xml:space="preserve"> in D4.0 as “</w:t>
            </w:r>
            <w:r>
              <w:rPr>
                <w:rStyle w:val="SC22323600"/>
              </w:rPr>
              <w:t>delivery of the PSDU</w:t>
            </w:r>
            <w:r w:rsidRPr="00D77210">
              <w:rPr>
                <w:rStyle w:val="SC22323600"/>
                <w:color w:val="FF0000"/>
              </w:rPr>
              <w:t>(s)</w:t>
            </w:r>
            <w:r>
              <w:rPr>
                <w:rStyle w:val="SC22323600"/>
                <w:color w:val="FF0000"/>
              </w:rPr>
              <w:t>”.</w:t>
            </w:r>
          </w:p>
          <w:p w14:paraId="1CD4735C" w14:textId="4B03B8A8" w:rsidR="00D77210" w:rsidRPr="00D77210" w:rsidRDefault="00D77210" w:rsidP="00D77210">
            <w:pPr>
              <w:pStyle w:val="SP22274826"/>
              <w:spacing w:before="480" w:after="240"/>
              <w:rPr>
                <w:rFonts w:eastAsia="SimSun"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  <w:r w:rsidRPr="00D77210"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77210" w:rsidRPr="00C4625B" w14:paraId="0EA7E33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D564C90" w14:textId="6EB71F5F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19180</w:t>
            </w:r>
          </w:p>
        </w:tc>
        <w:tc>
          <w:tcPr>
            <w:tcW w:w="900" w:type="dxa"/>
            <w:shd w:val="clear" w:color="auto" w:fill="auto"/>
            <w:noWrap/>
          </w:tcPr>
          <w:p w14:paraId="72C437C8" w14:textId="1F959DBF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C9CDD14" w14:textId="4350A170" w:rsidR="00D77210" w:rsidRPr="00D77210" w:rsidRDefault="00D77210" w:rsidP="00404C4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707.12</w:t>
            </w:r>
          </w:p>
        </w:tc>
        <w:tc>
          <w:tcPr>
            <w:tcW w:w="2580" w:type="dxa"/>
            <w:shd w:val="clear" w:color="auto" w:fill="auto"/>
            <w:noWrap/>
          </w:tcPr>
          <w:p w14:paraId="58DA37FC" w14:textId="355CFA3C" w:rsidR="00D77210" w:rsidRPr="00D77210" w:rsidRDefault="00D77210" w:rsidP="00110BC1">
            <w:pPr>
              <w:rPr>
                <w:rFonts w:ascii="Arial" w:hAnsi="Arial" w:cs="Arial"/>
                <w:sz w:val="20"/>
                <w:szCs w:val="20"/>
              </w:rPr>
            </w:pPr>
            <w:r w:rsidRPr="00D77210">
              <w:rPr>
                <w:rFonts w:ascii="Arial" w:hAnsi="Arial" w:cs="Arial"/>
                <w:sz w:val="20"/>
                <w:szCs w:val="20"/>
              </w:rPr>
              <w:t xml:space="preserve">Text not </w:t>
            </w:r>
            <w:proofErr w:type="spellStart"/>
            <w:r w:rsidRPr="00D77210">
              <w:rPr>
                <w:rFonts w:ascii="Arial" w:hAnsi="Arial" w:cs="Arial"/>
                <w:sz w:val="20"/>
                <w:szCs w:val="20"/>
              </w:rPr>
              <w:t>inline</w:t>
            </w:r>
            <w:proofErr w:type="spellEnd"/>
            <w:r w:rsidRPr="00D77210">
              <w:rPr>
                <w:rFonts w:ascii="Arial" w:hAnsi="Arial" w:cs="Arial"/>
                <w:sz w:val="20"/>
                <w:szCs w:val="20"/>
              </w:rPr>
              <w:t xml:space="preserve"> with other part of the spec</w:t>
            </w:r>
          </w:p>
        </w:tc>
        <w:tc>
          <w:tcPr>
            <w:tcW w:w="2670" w:type="dxa"/>
            <w:shd w:val="clear" w:color="auto" w:fill="auto"/>
            <w:noWrap/>
          </w:tcPr>
          <w:p w14:paraId="78C6D4F9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text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to:"the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defined 996+484-tone MRUs in an OFDMA 160 MHz EHT PPDU are allowed in both the primary 160 MHz channel and the secondary 160 MHz channel."</w:t>
            </w:r>
          </w:p>
          <w:p w14:paraId="46A291CB" w14:textId="77777777" w:rsidR="00D77210" w:rsidRDefault="00D77210" w:rsidP="00D77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65BFEB04" w14:textId="3399037A" w:rsidR="00D77210" w:rsidRDefault="00E731D8" w:rsidP="00FB7B1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</w:t>
            </w:r>
            <w:r w:rsidR="00D7721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</w:tbl>
    <w:p w14:paraId="1BB143DF" w14:textId="6AD12DBA" w:rsidR="00602100" w:rsidRPr="00C4625B" w:rsidRDefault="00602100" w:rsidP="00A562EF">
      <w:pPr>
        <w:rPr>
          <w:rFonts w:ascii="Times New Roman" w:hAnsi="Times New Roman" w:cs="Times New Roman"/>
          <w:b/>
          <w:color w:val="FF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412C" w14:textId="77777777" w:rsidR="00FA414F" w:rsidRDefault="00FA414F">
      <w:pPr>
        <w:spacing w:after="0" w:line="240" w:lineRule="auto"/>
      </w:pPr>
      <w:r>
        <w:separator/>
      </w:r>
    </w:p>
  </w:endnote>
  <w:endnote w:type="continuationSeparator" w:id="0">
    <w:p w14:paraId="481BACE7" w14:textId="77777777" w:rsidR="00FA414F" w:rsidRDefault="00FA414F">
      <w:pPr>
        <w:spacing w:after="0" w:line="240" w:lineRule="auto"/>
      </w:pPr>
      <w:r>
        <w:continuationSeparator/>
      </w:r>
    </w:p>
  </w:endnote>
  <w:endnote w:type="continuationNotice" w:id="1">
    <w:p w14:paraId="676923E7" w14:textId="77777777" w:rsidR="00FA414F" w:rsidRDefault="00FA4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CA8" w14:textId="77777777" w:rsidR="00FA414F" w:rsidRDefault="00FA414F">
      <w:pPr>
        <w:spacing w:after="0" w:line="240" w:lineRule="auto"/>
      </w:pPr>
      <w:r>
        <w:separator/>
      </w:r>
    </w:p>
  </w:footnote>
  <w:footnote w:type="continuationSeparator" w:id="0">
    <w:p w14:paraId="383AC90C" w14:textId="77777777" w:rsidR="00FA414F" w:rsidRDefault="00FA414F">
      <w:pPr>
        <w:spacing w:after="0" w:line="240" w:lineRule="auto"/>
      </w:pPr>
      <w:r>
        <w:continuationSeparator/>
      </w:r>
    </w:p>
  </w:footnote>
  <w:footnote w:type="continuationNotice" w:id="1">
    <w:p w14:paraId="20FC1C2B" w14:textId="77777777" w:rsidR="00FA414F" w:rsidRDefault="00FA4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41E7FD6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1D7A03">
      <w:rPr>
        <w:rFonts w:ascii="Times New Roman" w:eastAsia="Malgun Gothic" w:hAnsi="Times New Roman" w:cs="Times New Roman"/>
        <w:b/>
        <w:sz w:val="28"/>
        <w:szCs w:val="20"/>
        <w:lang w:val="en-GB"/>
      </w:rPr>
      <w:t>1025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9BA29F3" w:rsidR="00BF026D" w:rsidRPr="00DE6B44" w:rsidRDefault="0048238B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Oct.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244CC8"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1815</w:t>
    </w:r>
    <w:r w:rsidR="00244CC8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5651">
    <w:abstractNumId w:val="13"/>
  </w:num>
  <w:num w:numId="2" w16cid:durableId="1265268416">
    <w:abstractNumId w:val="15"/>
  </w:num>
  <w:num w:numId="3" w16cid:durableId="196800264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282807629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990012201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90538319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336084554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76456880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011032352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454906604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200870332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1554849690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997372455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46447095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44954779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603076278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843252559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941453003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1673141667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952779541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189611079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2143231675">
    <w:abstractNumId w:val="17"/>
  </w:num>
  <w:num w:numId="23" w16cid:durableId="18522601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750420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7888857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55614404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370883943">
    <w:abstractNumId w:val="12"/>
  </w:num>
  <w:num w:numId="28" w16cid:durableId="1366713807">
    <w:abstractNumId w:val="14"/>
  </w:num>
  <w:num w:numId="29" w16cid:durableId="1493333002">
    <w:abstractNumId w:val="7"/>
  </w:num>
  <w:num w:numId="30" w16cid:durableId="1001471799">
    <w:abstractNumId w:val="6"/>
  </w:num>
  <w:num w:numId="31" w16cid:durableId="269969579">
    <w:abstractNumId w:val="16"/>
  </w:num>
  <w:num w:numId="32" w16cid:durableId="1326322646">
    <w:abstractNumId w:val="10"/>
  </w:num>
  <w:num w:numId="33" w16cid:durableId="1976640826">
    <w:abstractNumId w:val="11"/>
  </w:num>
  <w:num w:numId="34" w16cid:durableId="1916547935">
    <w:abstractNumId w:val="18"/>
  </w:num>
  <w:num w:numId="35" w16cid:durableId="119997287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839687956">
    <w:abstractNumId w:val="5"/>
  </w:num>
  <w:num w:numId="37" w16cid:durableId="1004473925">
    <w:abstractNumId w:val="3"/>
  </w:num>
  <w:num w:numId="38" w16cid:durableId="915673345">
    <w:abstractNumId w:val="2"/>
  </w:num>
  <w:num w:numId="39" w16cid:durableId="604308771">
    <w:abstractNumId w:val="1"/>
  </w:num>
  <w:num w:numId="40" w16cid:durableId="344743955">
    <w:abstractNumId w:val="4"/>
  </w:num>
  <w:num w:numId="41" w16cid:durableId="1129937870">
    <w:abstractNumId w:val="9"/>
  </w:num>
  <w:num w:numId="42" w16cid:durableId="51723649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0C4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0BC1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03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BA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515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3F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6B2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38B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298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54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EC5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0D7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AC0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A3A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25B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210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BC2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28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1D8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1A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14F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B19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C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74826">
    <w:name w:val="SP.22.274826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74837">
    <w:name w:val="SP.22.274837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74448">
    <w:name w:val="SP.22.274448"/>
    <w:basedOn w:val="Normal"/>
    <w:next w:val="Normal"/>
    <w:uiPriority w:val="99"/>
    <w:rsid w:val="00D77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D7721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109</cp:revision>
  <dcterms:created xsi:type="dcterms:W3CDTF">2022-08-01T22:52:00Z</dcterms:created>
  <dcterms:modified xsi:type="dcterms:W3CDTF">2023-10-18T21:15:00Z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