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66D8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D9E20D8" w14:textId="77777777">
        <w:trPr>
          <w:trHeight w:val="485"/>
          <w:jc w:val="center"/>
        </w:trPr>
        <w:tc>
          <w:tcPr>
            <w:tcW w:w="9576" w:type="dxa"/>
            <w:gridSpan w:val="5"/>
            <w:vAlign w:val="center"/>
          </w:tcPr>
          <w:p w14:paraId="43649E4A" w14:textId="5CE0CA87" w:rsidR="003B4FCF" w:rsidRDefault="003B4FCF">
            <w:pPr>
              <w:pStyle w:val="T2"/>
            </w:pPr>
            <w:r>
              <w:t>802.11 TGb</w:t>
            </w:r>
            <w:r w:rsidR="00497492">
              <w:t>e</w:t>
            </w:r>
          </w:p>
          <w:p w14:paraId="1F45A380" w14:textId="1D59F19D" w:rsidR="00CA09B2" w:rsidRDefault="00645D66">
            <w:pPr>
              <w:pStyle w:val="T2"/>
            </w:pPr>
            <w:r w:rsidRPr="00645D66">
              <w:t>LB27</w:t>
            </w:r>
            <w:r w:rsidR="00497492">
              <w:t>5</w:t>
            </w:r>
            <w:r w:rsidRPr="00645D66">
              <w:t xml:space="preserve"> </w:t>
            </w:r>
            <w:r w:rsidR="00497492">
              <w:t>CR for Subclause 6.5.24</w:t>
            </w:r>
          </w:p>
        </w:tc>
      </w:tr>
      <w:tr w:rsidR="00CA09B2" w14:paraId="3ECE29AF" w14:textId="77777777">
        <w:trPr>
          <w:trHeight w:val="359"/>
          <w:jc w:val="center"/>
        </w:trPr>
        <w:tc>
          <w:tcPr>
            <w:tcW w:w="9576" w:type="dxa"/>
            <w:gridSpan w:val="5"/>
            <w:vAlign w:val="center"/>
          </w:tcPr>
          <w:p w14:paraId="465ED2EA" w14:textId="30FC77C9" w:rsidR="00CA09B2" w:rsidRDefault="00CA09B2">
            <w:pPr>
              <w:pStyle w:val="T2"/>
              <w:ind w:left="0"/>
              <w:rPr>
                <w:sz w:val="20"/>
              </w:rPr>
            </w:pPr>
            <w:r>
              <w:rPr>
                <w:sz w:val="20"/>
              </w:rPr>
              <w:t>Date:</w:t>
            </w:r>
            <w:r>
              <w:rPr>
                <w:b w:val="0"/>
                <w:sz w:val="20"/>
              </w:rPr>
              <w:t xml:space="preserve">  </w:t>
            </w:r>
            <w:r w:rsidR="00645D66">
              <w:rPr>
                <w:b w:val="0"/>
                <w:sz w:val="20"/>
              </w:rPr>
              <w:t>2023</w:t>
            </w:r>
            <w:r>
              <w:rPr>
                <w:b w:val="0"/>
                <w:sz w:val="20"/>
              </w:rPr>
              <w:t>-</w:t>
            </w:r>
            <w:r w:rsidR="00645D66">
              <w:rPr>
                <w:b w:val="0"/>
                <w:sz w:val="20"/>
              </w:rPr>
              <w:t>1</w:t>
            </w:r>
            <w:r w:rsidR="00497492">
              <w:rPr>
                <w:b w:val="0"/>
                <w:sz w:val="20"/>
              </w:rPr>
              <w:t>1</w:t>
            </w:r>
            <w:r>
              <w:rPr>
                <w:b w:val="0"/>
                <w:sz w:val="20"/>
              </w:rPr>
              <w:t>-</w:t>
            </w:r>
            <w:r w:rsidR="0049384C">
              <w:rPr>
                <w:b w:val="0"/>
                <w:sz w:val="20"/>
              </w:rPr>
              <w:t>13</w:t>
            </w:r>
          </w:p>
        </w:tc>
      </w:tr>
      <w:tr w:rsidR="00CA09B2" w14:paraId="5EAB9E8B" w14:textId="77777777">
        <w:trPr>
          <w:cantSplit/>
          <w:jc w:val="center"/>
        </w:trPr>
        <w:tc>
          <w:tcPr>
            <w:tcW w:w="9576" w:type="dxa"/>
            <w:gridSpan w:val="5"/>
            <w:vAlign w:val="center"/>
          </w:tcPr>
          <w:p w14:paraId="0621EDC7" w14:textId="77777777" w:rsidR="00CA09B2" w:rsidRDefault="00CA09B2">
            <w:pPr>
              <w:pStyle w:val="T2"/>
              <w:spacing w:after="0"/>
              <w:ind w:left="0" w:right="0"/>
              <w:jc w:val="left"/>
              <w:rPr>
                <w:sz w:val="20"/>
              </w:rPr>
            </w:pPr>
            <w:r>
              <w:rPr>
                <w:sz w:val="20"/>
              </w:rPr>
              <w:t>Author(s):</w:t>
            </w:r>
          </w:p>
        </w:tc>
      </w:tr>
      <w:tr w:rsidR="00CA09B2" w14:paraId="6948F96C" w14:textId="77777777">
        <w:trPr>
          <w:jc w:val="center"/>
        </w:trPr>
        <w:tc>
          <w:tcPr>
            <w:tcW w:w="1336" w:type="dxa"/>
            <w:vAlign w:val="center"/>
          </w:tcPr>
          <w:p w14:paraId="78EE1DA0" w14:textId="77777777" w:rsidR="00CA09B2" w:rsidRDefault="00CA09B2">
            <w:pPr>
              <w:pStyle w:val="T2"/>
              <w:spacing w:after="0"/>
              <w:ind w:left="0" w:right="0"/>
              <w:jc w:val="left"/>
              <w:rPr>
                <w:sz w:val="20"/>
              </w:rPr>
            </w:pPr>
            <w:r>
              <w:rPr>
                <w:sz w:val="20"/>
              </w:rPr>
              <w:t>Name</w:t>
            </w:r>
          </w:p>
        </w:tc>
        <w:tc>
          <w:tcPr>
            <w:tcW w:w="2064" w:type="dxa"/>
            <w:vAlign w:val="center"/>
          </w:tcPr>
          <w:p w14:paraId="61F368E0" w14:textId="77777777" w:rsidR="00CA09B2" w:rsidRDefault="0062440B">
            <w:pPr>
              <w:pStyle w:val="T2"/>
              <w:spacing w:after="0"/>
              <w:ind w:left="0" w:right="0"/>
              <w:jc w:val="left"/>
              <w:rPr>
                <w:sz w:val="20"/>
              </w:rPr>
            </w:pPr>
            <w:r>
              <w:rPr>
                <w:sz w:val="20"/>
              </w:rPr>
              <w:t>Affiliation</w:t>
            </w:r>
          </w:p>
        </w:tc>
        <w:tc>
          <w:tcPr>
            <w:tcW w:w="2814" w:type="dxa"/>
            <w:vAlign w:val="center"/>
          </w:tcPr>
          <w:p w14:paraId="520B4CFD" w14:textId="77777777" w:rsidR="00CA09B2" w:rsidRDefault="00CA09B2">
            <w:pPr>
              <w:pStyle w:val="T2"/>
              <w:spacing w:after="0"/>
              <w:ind w:left="0" w:right="0"/>
              <w:jc w:val="left"/>
              <w:rPr>
                <w:sz w:val="20"/>
              </w:rPr>
            </w:pPr>
            <w:r>
              <w:rPr>
                <w:sz w:val="20"/>
              </w:rPr>
              <w:t>Address</w:t>
            </w:r>
          </w:p>
        </w:tc>
        <w:tc>
          <w:tcPr>
            <w:tcW w:w="1715" w:type="dxa"/>
            <w:vAlign w:val="center"/>
          </w:tcPr>
          <w:p w14:paraId="16956A2B" w14:textId="77777777" w:rsidR="00CA09B2" w:rsidRDefault="00CA09B2">
            <w:pPr>
              <w:pStyle w:val="T2"/>
              <w:spacing w:after="0"/>
              <w:ind w:left="0" w:right="0"/>
              <w:jc w:val="left"/>
              <w:rPr>
                <w:sz w:val="20"/>
              </w:rPr>
            </w:pPr>
            <w:r>
              <w:rPr>
                <w:sz w:val="20"/>
              </w:rPr>
              <w:t>Phone</w:t>
            </w:r>
          </w:p>
        </w:tc>
        <w:tc>
          <w:tcPr>
            <w:tcW w:w="1647" w:type="dxa"/>
            <w:vAlign w:val="center"/>
          </w:tcPr>
          <w:p w14:paraId="7D16A871" w14:textId="77777777" w:rsidR="00CA09B2" w:rsidRDefault="00CA09B2">
            <w:pPr>
              <w:pStyle w:val="T2"/>
              <w:spacing w:after="0"/>
              <w:ind w:left="0" w:right="0"/>
              <w:jc w:val="left"/>
              <w:rPr>
                <w:sz w:val="20"/>
              </w:rPr>
            </w:pPr>
            <w:r>
              <w:rPr>
                <w:sz w:val="20"/>
              </w:rPr>
              <w:t>email</w:t>
            </w:r>
          </w:p>
        </w:tc>
      </w:tr>
      <w:tr w:rsidR="00CA09B2" w14:paraId="6EF6C212" w14:textId="77777777">
        <w:trPr>
          <w:jc w:val="center"/>
        </w:trPr>
        <w:tc>
          <w:tcPr>
            <w:tcW w:w="1336" w:type="dxa"/>
            <w:vAlign w:val="center"/>
          </w:tcPr>
          <w:p w14:paraId="2F95A689" w14:textId="51E72DD7" w:rsidR="00CA09B2" w:rsidRDefault="00645D66">
            <w:pPr>
              <w:pStyle w:val="T2"/>
              <w:spacing w:after="0"/>
              <w:ind w:left="0" w:right="0"/>
              <w:rPr>
                <w:b w:val="0"/>
                <w:sz w:val="20"/>
              </w:rPr>
            </w:pPr>
            <w:r>
              <w:rPr>
                <w:b w:val="0"/>
                <w:sz w:val="20"/>
              </w:rPr>
              <w:t>Mark Hamilton</w:t>
            </w:r>
          </w:p>
        </w:tc>
        <w:tc>
          <w:tcPr>
            <w:tcW w:w="2064" w:type="dxa"/>
            <w:vAlign w:val="center"/>
          </w:tcPr>
          <w:p w14:paraId="1B22AABE" w14:textId="22391868" w:rsidR="00CA09B2" w:rsidRDefault="00645D66">
            <w:pPr>
              <w:pStyle w:val="T2"/>
              <w:spacing w:after="0"/>
              <w:ind w:left="0" w:right="0"/>
              <w:rPr>
                <w:b w:val="0"/>
                <w:sz w:val="20"/>
              </w:rPr>
            </w:pPr>
            <w:r>
              <w:rPr>
                <w:b w:val="0"/>
                <w:sz w:val="20"/>
              </w:rPr>
              <w:t>Ruckus/CommScope</w:t>
            </w:r>
          </w:p>
        </w:tc>
        <w:tc>
          <w:tcPr>
            <w:tcW w:w="2814" w:type="dxa"/>
            <w:vAlign w:val="center"/>
          </w:tcPr>
          <w:p w14:paraId="1BFCEDC1" w14:textId="35CB995C" w:rsidR="00CA09B2" w:rsidRDefault="00645D66">
            <w:pPr>
              <w:pStyle w:val="T2"/>
              <w:spacing w:after="0"/>
              <w:ind w:left="0" w:right="0"/>
              <w:rPr>
                <w:b w:val="0"/>
                <w:sz w:val="20"/>
              </w:rPr>
            </w:pPr>
            <w:r>
              <w:rPr>
                <w:b w:val="0"/>
                <w:sz w:val="20"/>
              </w:rPr>
              <w:t>350 W Java Dr, Sunnyvale, CA 94089</w:t>
            </w:r>
          </w:p>
        </w:tc>
        <w:tc>
          <w:tcPr>
            <w:tcW w:w="1715" w:type="dxa"/>
            <w:vAlign w:val="center"/>
          </w:tcPr>
          <w:p w14:paraId="5139B777" w14:textId="590ADC3E" w:rsidR="00CA09B2" w:rsidRDefault="00645D66">
            <w:pPr>
              <w:pStyle w:val="T2"/>
              <w:spacing w:after="0"/>
              <w:ind w:left="0" w:right="0"/>
              <w:rPr>
                <w:b w:val="0"/>
                <w:sz w:val="20"/>
              </w:rPr>
            </w:pPr>
            <w:r>
              <w:rPr>
                <w:b w:val="0"/>
                <w:sz w:val="20"/>
              </w:rPr>
              <w:t>303-818-8472</w:t>
            </w:r>
          </w:p>
        </w:tc>
        <w:tc>
          <w:tcPr>
            <w:tcW w:w="1647" w:type="dxa"/>
            <w:vAlign w:val="center"/>
          </w:tcPr>
          <w:p w14:paraId="2E402C78" w14:textId="71FBB7E8" w:rsidR="00CA09B2" w:rsidRDefault="00645D66">
            <w:pPr>
              <w:pStyle w:val="T2"/>
              <w:spacing w:after="0"/>
              <w:ind w:left="0" w:right="0"/>
              <w:rPr>
                <w:b w:val="0"/>
                <w:sz w:val="16"/>
              </w:rPr>
            </w:pPr>
            <w:r>
              <w:rPr>
                <w:b w:val="0"/>
                <w:sz w:val="16"/>
              </w:rPr>
              <w:t>mark.hamilton2152@gmail.com</w:t>
            </w:r>
          </w:p>
        </w:tc>
      </w:tr>
      <w:tr w:rsidR="00CA09B2" w14:paraId="45C5BADE" w14:textId="77777777">
        <w:trPr>
          <w:jc w:val="center"/>
        </w:trPr>
        <w:tc>
          <w:tcPr>
            <w:tcW w:w="1336" w:type="dxa"/>
            <w:vAlign w:val="center"/>
          </w:tcPr>
          <w:p w14:paraId="0B801B83" w14:textId="77777777" w:rsidR="00CA09B2" w:rsidRDefault="00CA09B2">
            <w:pPr>
              <w:pStyle w:val="T2"/>
              <w:spacing w:after="0"/>
              <w:ind w:left="0" w:right="0"/>
              <w:rPr>
                <w:b w:val="0"/>
                <w:sz w:val="20"/>
              </w:rPr>
            </w:pPr>
          </w:p>
        </w:tc>
        <w:tc>
          <w:tcPr>
            <w:tcW w:w="2064" w:type="dxa"/>
            <w:vAlign w:val="center"/>
          </w:tcPr>
          <w:p w14:paraId="4CAC2484" w14:textId="77777777" w:rsidR="00CA09B2" w:rsidRDefault="00CA09B2">
            <w:pPr>
              <w:pStyle w:val="T2"/>
              <w:spacing w:after="0"/>
              <w:ind w:left="0" w:right="0"/>
              <w:rPr>
                <w:b w:val="0"/>
                <w:sz w:val="20"/>
              </w:rPr>
            </w:pPr>
          </w:p>
        </w:tc>
        <w:tc>
          <w:tcPr>
            <w:tcW w:w="2814" w:type="dxa"/>
            <w:vAlign w:val="center"/>
          </w:tcPr>
          <w:p w14:paraId="0301B113" w14:textId="77777777" w:rsidR="00CA09B2" w:rsidRDefault="00CA09B2">
            <w:pPr>
              <w:pStyle w:val="T2"/>
              <w:spacing w:after="0"/>
              <w:ind w:left="0" w:right="0"/>
              <w:rPr>
                <w:b w:val="0"/>
                <w:sz w:val="20"/>
              </w:rPr>
            </w:pPr>
          </w:p>
        </w:tc>
        <w:tc>
          <w:tcPr>
            <w:tcW w:w="1715" w:type="dxa"/>
            <w:vAlign w:val="center"/>
          </w:tcPr>
          <w:p w14:paraId="72F2E690" w14:textId="77777777" w:rsidR="00CA09B2" w:rsidRDefault="00CA09B2">
            <w:pPr>
              <w:pStyle w:val="T2"/>
              <w:spacing w:after="0"/>
              <w:ind w:left="0" w:right="0"/>
              <w:rPr>
                <w:b w:val="0"/>
                <w:sz w:val="20"/>
              </w:rPr>
            </w:pPr>
          </w:p>
        </w:tc>
        <w:tc>
          <w:tcPr>
            <w:tcW w:w="1647" w:type="dxa"/>
            <w:vAlign w:val="center"/>
          </w:tcPr>
          <w:p w14:paraId="6B841926" w14:textId="77777777" w:rsidR="00CA09B2" w:rsidRDefault="00CA09B2">
            <w:pPr>
              <w:pStyle w:val="T2"/>
              <w:spacing w:after="0"/>
              <w:ind w:left="0" w:right="0"/>
              <w:rPr>
                <w:b w:val="0"/>
                <w:sz w:val="16"/>
              </w:rPr>
            </w:pPr>
          </w:p>
        </w:tc>
      </w:tr>
    </w:tbl>
    <w:p w14:paraId="4D9EBE6C"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7E88300E" wp14:editId="49A87D4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B20359" w14:textId="77777777" w:rsidR="0029020B" w:rsidRDefault="0029020B">
                            <w:pPr>
                              <w:pStyle w:val="T1"/>
                              <w:spacing w:after="120"/>
                            </w:pPr>
                            <w:r>
                              <w:t>Abstract</w:t>
                            </w:r>
                          </w:p>
                          <w:p w14:paraId="298DE009" w14:textId="4E601931" w:rsidR="00536115" w:rsidRDefault="003B4FCF" w:rsidP="00536115">
                            <w:r>
                              <w:t xml:space="preserve">This submission proposes resolutions to the following comments received </w:t>
                            </w:r>
                            <w:r w:rsidR="00497492">
                              <w:t xml:space="preserve">on </w:t>
                            </w:r>
                            <w:r>
                              <w:t>LB27</w:t>
                            </w:r>
                            <w:r w:rsidR="00497492">
                              <w:t>5</w:t>
                            </w:r>
                            <w:r>
                              <w:t xml:space="preserve">: </w:t>
                            </w:r>
                            <w:r w:rsidR="00536115">
                              <w:t>19096, 19097, 19222, 19316, 19341, 19479, 19480, 19481, 19482, 19483, 19484, 19619</w:t>
                            </w:r>
                            <w:r w:rsidR="00E90EFD">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8300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0B20359" w14:textId="77777777" w:rsidR="0029020B" w:rsidRDefault="0029020B">
                      <w:pPr>
                        <w:pStyle w:val="T1"/>
                        <w:spacing w:after="120"/>
                      </w:pPr>
                      <w:r>
                        <w:t>Abstract</w:t>
                      </w:r>
                    </w:p>
                    <w:p w14:paraId="298DE009" w14:textId="4E601931" w:rsidR="00536115" w:rsidRDefault="003B4FCF" w:rsidP="00536115">
                      <w:r>
                        <w:t xml:space="preserve">This submission proposes resolutions to the following comments received </w:t>
                      </w:r>
                      <w:r w:rsidR="00497492">
                        <w:t xml:space="preserve">on </w:t>
                      </w:r>
                      <w:r>
                        <w:t>LB27</w:t>
                      </w:r>
                      <w:r w:rsidR="00497492">
                        <w:t>5</w:t>
                      </w:r>
                      <w:r>
                        <w:t xml:space="preserve">: </w:t>
                      </w:r>
                      <w:r w:rsidR="00536115">
                        <w:t>19096</w:t>
                      </w:r>
                      <w:r w:rsidR="00536115">
                        <w:t xml:space="preserve">, </w:t>
                      </w:r>
                      <w:r w:rsidR="00536115">
                        <w:t>19097</w:t>
                      </w:r>
                      <w:r w:rsidR="00536115">
                        <w:t xml:space="preserve">, </w:t>
                      </w:r>
                      <w:r w:rsidR="00536115">
                        <w:t>19222</w:t>
                      </w:r>
                      <w:r w:rsidR="00536115">
                        <w:t xml:space="preserve">, </w:t>
                      </w:r>
                      <w:r w:rsidR="00536115">
                        <w:t>19316</w:t>
                      </w:r>
                      <w:r w:rsidR="00536115">
                        <w:t xml:space="preserve">, </w:t>
                      </w:r>
                      <w:r w:rsidR="00536115">
                        <w:t>19341</w:t>
                      </w:r>
                      <w:r w:rsidR="00536115">
                        <w:t xml:space="preserve">, </w:t>
                      </w:r>
                      <w:r w:rsidR="00536115">
                        <w:t>19479</w:t>
                      </w:r>
                      <w:r w:rsidR="00536115">
                        <w:t xml:space="preserve">, </w:t>
                      </w:r>
                      <w:r w:rsidR="00536115">
                        <w:t>19480</w:t>
                      </w:r>
                      <w:r w:rsidR="00536115">
                        <w:t xml:space="preserve">, </w:t>
                      </w:r>
                      <w:r w:rsidR="00536115">
                        <w:t>19481</w:t>
                      </w:r>
                      <w:r w:rsidR="00536115">
                        <w:t xml:space="preserve">, </w:t>
                      </w:r>
                      <w:r w:rsidR="00536115">
                        <w:t>19482</w:t>
                      </w:r>
                      <w:r w:rsidR="00536115">
                        <w:t xml:space="preserve">, </w:t>
                      </w:r>
                      <w:r w:rsidR="00536115">
                        <w:t>19483</w:t>
                      </w:r>
                      <w:r w:rsidR="00536115">
                        <w:t xml:space="preserve">, </w:t>
                      </w:r>
                      <w:r w:rsidR="00536115">
                        <w:t>19484</w:t>
                      </w:r>
                      <w:r w:rsidR="00536115">
                        <w:t xml:space="preserve">, </w:t>
                      </w:r>
                      <w:r w:rsidR="00536115">
                        <w:t>19619</w:t>
                      </w:r>
                      <w:r w:rsidR="00E90EFD">
                        <w:t>.</w:t>
                      </w:r>
                    </w:p>
                  </w:txbxContent>
                </v:textbox>
              </v:shape>
            </w:pict>
          </mc:Fallback>
        </mc:AlternateContent>
      </w:r>
    </w:p>
    <w:p w14:paraId="0273AE01" w14:textId="60CB21BC" w:rsidR="00CA09B2" w:rsidRDefault="00CA09B2" w:rsidP="00645D66">
      <w:pPr>
        <w:pStyle w:val="Heading1"/>
      </w:pPr>
      <w:r>
        <w:br w:type="page"/>
      </w:r>
    </w:p>
    <w:p w14:paraId="3588439B" w14:textId="77777777" w:rsidR="003B4FCF" w:rsidRPr="000F4867" w:rsidRDefault="003B4FCF" w:rsidP="000F4867">
      <w:pPr>
        <w:pStyle w:val="Heading1"/>
      </w:pPr>
      <w:r>
        <w:lastRenderedPageBreak/>
        <w:t>Revision History</w:t>
      </w:r>
    </w:p>
    <w:p w14:paraId="56859D10" w14:textId="77777777" w:rsidR="003B4FCF" w:rsidRDefault="003B4FCF" w:rsidP="003B4FCF"/>
    <w:p w14:paraId="2AE70188" w14:textId="42AFFB37" w:rsidR="00CA09B2" w:rsidRDefault="003B4FCF">
      <w:r>
        <w:t xml:space="preserve">R0 – </w:t>
      </w:r>
      <w:proofErr w:type="spellStart"/>
      <w:r>
        <w:t>Iinitial</w:t>
      </w:r>
      <w:proofErr w:type="spellEnd"/>
      <w:r>
        <w:t xml:space="preserve"> version</w:t>
      </w:r>
    </w:p>
    <w:p w14:paraId="74453941" w14:textId="56CAD678" w:rsidR="0049384C" w:rsidRDefault="0049384C">
      <w:r>
        <w:t>R1 – All CIDs completed, with minor updates as shown.</w:t>
      </w:r>
    </w:p>
    <w:p w14:paraId="344FAA29" w14:textId="77777777" w:rsidR="003B4FCF" w:rsidRPr="000F4867" w:rsidRDefault="003B4FCF" w:rsidP="000F4867">
      <w:pPr>
        <w:pStyle w:val="Heading1"/>
      </w:pPr>
      <w:r>
        <w:t>Draft version</w:t>
      </w:r>
    </w:p>
    <w:p w14:paraId="1E13E020" w14:textId="77777777" w:rsidR="003B4FCF" w:rsidRDefault="003B4FCF" w:rsidP="003B4FCF"/>
    <w:p w14:paraId="6F3FB6FE" w14:textId="37D3AB51" w:rsidR="003B4FCF" w:rsidRDefault="003B4FCF" w:rsidP="003B4FCF">
      <w:r>
        <w:t>Changes are relative to TGb</w:t>
      </w:r>
      <w:r w:rsidR="00E90EFD">
        <w:t>e</w:t>
      </w:r>
      <w:r>
        <w:t xml:space="preserve"> D</w:t>
      </w:r>
      <w:r w:rsidR="00E90EFD">
        <w:t>4</w:t>
      </w:r>
      <w:r>
        <w:t>.0, unless stated otherwise.</w:t>
      </w:r>
    </w:p>
    <w:p w14:paraId="59D1CD91" w14:textId="77777777" w:rsidR="00CA09B2" w:rsidRDefault="00CA09B2"/>
    <w:p w14:paraId="123966C3" w14:textId="42FACF14" w:rsidR="000F4867" w:rsidRPr="000F4867" w:rsidRDefault="00CA09B2" w:rsidP="000F4867">
      <w:pPr>
        <w:pStyle w:val="Heading1"/>
      </w:pPr>
      <w:r>
        <w:br w:type="page"/>
      </w:r>
      <w:r w:rsidR="000F4867" w:rsidRPr="000F4867">
        <w:lastRenderedPageBreak/>
        <w:t>Ready for Discussion</w:t>
      </w:r>
    </w:p>
    <w:p w14:paraId="6B1A9A0A" w14:textId="67DCE1B2" w:rsidR="00C05CB8" w:rsidRDefault="00C05CB8"/>
    <w:tbl>
      <w:tblPr>
        <w:tblStyle w:val="TableGrid"/>
        <w:tblW w:w="10070" w:type="dxa"/>
        <w:tblLook w:val="04A0" w:firstRow="1" w:lastRow="0" w:firstColumn="1" w:lastColumn="0" w:noHBand="0" w:noVBand="1"/>
      </w:tblPr>
      <w:tblGrid>
        <w:gridCol w:w="773"/>
        <w:gridCol w:w="1139"/>
        <w:gridCol w:w="730"/>
        <w:gridCol w:w="773"/>
        <w:gridCol w:w="3240"/>
        <w:gridCol w:w="3415"/>
      </w:tblGrid>
      <w:tr w:rsidR="00E90EFD" w:rsidRPr="00FE338E" w14:paraId="11D27DFC" w14:textId="77777777" w:rsidTr="00E90EFD">
        <w:trPr>
          <w:trHeight w:val="570"/>
        </w:trPr>
        <w:tc>
          <w:tcPr>
            <w:tcW w:w="773" w:type="dxa"/>
            <w:hideMark/>
          </w:tcPr>
          <w:p w14:paraId="7FFF1943" w14:textId="77777777" w:rsidR="00E90EFD" w:rsidRPr="00FE338E" w:rsidRDefault="00E90EFD" w:rsidP="00AC7B37">
            <w:pPr>
              <w:rPr>
                <w:b/>
                <w:bCs/>
                <w:lang w:val="en-US"/>
              </w:rPr>
            </w:pPr>
            <w:r w:rsidRPr="00FE338E">
              <w:rPr>
                <w:b/>
                <w:bCs/>
              </w:rPr>
              <w:t>CID</w:t>
            </w:r>
          </w:p>
        </w:tc>
        <w:tc>
          <w:tcPr>
            <w:tcW w:w="1139" w:type="dxa"/>
            <w:hideMark/>
          </w:tcPr>
          <w:p w14:paraId="5688AE2D" w14:textId="77777777" w:rsidR="00E90EFD" w:rsidRPr="00FE338E" w:rsidRDefault="00E90EFD" w:rsidP="00AC7B37">
            <w:pPr>
              <w:rPr>
                <w:b/>
                <w:bCs/>
              </w:rPr>
            </w:pPr>
            <w:r w:rsidRPr="00FE338E">
              <w:rPr>
                <w:b/>
                <w:bCs/>
              </w:rPr>
              <w:t>Clause Number</w:t>
            </w:r>
          </w:p>
        </w:tc>
        <w:tc>
          <w:tcPr>
            <w:tcW w:w="730" w:type="dxa"/>
            <w:hideMark/>
          </w:tcPr>
          <w:p w14:paraId="055ADB2F" w14:textId="018AF3AB" w:rsidR="00E90EFD" w:rsidRPr="00FE338E" w:rsidRDefault="00E90EFD" w:rsidP="00AC7B37">
            <w:pPr>
              <w:rPr>
                <w:b/>
                <w:bCs/>
              </w:rPr>
            </w:pPr>
            <w:r>
              <w:rPr>
                <w:b/>
                <w:bCs/>
              </w:rPr>
              <w:t>Page</w:t>
            </w:r>
          </w:p>
        </w:tc>
        <w:tc>
          <w:tcPr>
            <w:tcW w:w="773" w:type="dxa"/>
          </w:tcPr>
          <w:p w14:paraId="527EE956" w14:textId="39E4BA6C" w:rsidR="00E90EFD" w:rsidRPr="00FE338E" w:rsidRDefault="00E90EFD" w:rsidP="00AC7B37">
            <w:pPr>
              <w:rPr>
                <w:b/>
                <w:bCs/>
              </w:rPr>
            </w:pPr>
            <w:r>
              <w:rPr>
                <w:b/>
                <w:bCs/>
              </w:rPr>
              <w:t>Line</w:t>
            </w:r>
          </w:p>
        </w:tc>
        <w:tc>
          <w:tcPr>
            <w:tcW w:w="3240" w:type="dxa"/>
            <w:hideMark/>
          </w:tcPr>
          <w:p w14:paraId="09974250" w14:textId="370B95CF" w:rsidR="00E90EFD" w:rsidRPr="00FE338E" w:rsidRDefault="00E90EFD" w:rsidP="00AC7B37">
            <w:pPr>
              <w:rPr>
                <w:b/>
                <w:bCs/>
              </w:rPr>
            </w:pPr>
            <w:r w:rsidRPr="00FE338E">
              <w:rPr>
                <w:b/>
                <w:bCs/>
              </w:rPr>
              <w:t>Comment</w:t>
            </w:r>
          </w:p>
        </w:tc>
        <w:tc>
          <w:tcPr>
            <w:tcW w:w="3415" w:type="dxa"/>
            <w:hideMark/>
          </w:tcPr>
          <w:p w14:paraId="0AD7BF4C" w14:textId="77777777" w:rsidR="00E90EFD" w:rsidRPr="00FE338E" w:rsidRDefault="00E90EFD" w:rsidP="00AC7B37">
            <w:pPr>
              <w:rPr>
                <w:b/>
                <w:bCs/>
              </w:rPr>
            </w:pPr>
            <w:r w:rsidRPr="00FE338E">
              <w:rPr>
                <w:b/>
                <w:bCs/>
              </w:rPr>
              <w:t>Proposed Change</w:t>
            </w:r>
          </w:p>
        </w:tc>
      </w:tr>
      <w:tr w:rsidR="00E90EFD" w:rsidRPr="00FE338E" w14:paraId="55490995" w14:textId="77777777" w:rsidTr="00E90EFD">
        <w:trPr>
          <w:trHeight w:val="855"/>
        </w:trPr>
        <w:tc>
          <w:tcPr>
            <w:tcW w:w="773" w:type="dxa"/>
            <w:noWrap/>
            <w:hideMark/>
          </w:tcPr>
          <w:p w14:paraId="4C3D19F3" w14:textId="27780B72" w:rsidR="00E90EFD" w:rsidRPr="00FE338E" w:rsidRDefault="00E90EFD" w:rsidP="00E90EFD">
            <w:r w:rsidRPr="00A26EDE">
              <w:rPr>
                <w:rFonts w:ascii="Arial" w:hAnsi="Arial" w:cs="Arial"/>
                <w:sz w:val="20"/>
                <w:lang w:val="en-US"/>
              </w:rPr>
              <w:t>19619</w:t>
            </w:r>
          </w:p>
        </w:tc>
        <w:tc>
          <w:tcPr>
            <w:tcW w:w="1139" w:type="dxa"/>
            <w:noWrap/>
            <w:hideMark/>
          </w:tcPr>
          <w:p w14:paraId="6BBEAE16" w14:textId="36CA9C91" w:rsidR="00E90EFD" w:rsidRPr="00FE338E" w:rsidRDefault="00E90EFD" w:rsidP="00E90EFD">
            <w:r w:rsidRPr="00A26EDE">
              <w:rPr>
                <w:rFonts w:ascii="Arial" w:hAnsi="Arial" w:cs="Arial"/>
                <w:sz w:val="20"/>
                <w:lang w:val="en-US"/>
              </w:rPr>
              <w:t>6.5.24a</w:t>
            </w:r>
          </w:p>
        </w:tc>
        <w:tc>
          <w:tcPr>
            <w:tcW w:w="730" w:type="dxa"/>
            <w:noWrap/>
            <w:hideMark/>
          </w:tcPr>
          <w:p w14:paraId="0D29777C" w14:textId="13064660" w:rsidR="00E90EFD" w:rsidRPr="00FE338E" w:rsidRDefault="00E90EFD" w:rsidP="00E90EFD">
            <w:r w:rsidRPr="00A26EDE">
              <w:rPr>
                <w:rFonts w:ascii="Arial" w:hAnsi="Arial" w:cs="Arial"/>
                <w:sz w:val="20"/>
                <w:lang w:val="en-US"/>
              </w:rPr>
              <w:t>98</w:t>
            </w:r>
          </w:p>
        </w:tc>
        <w:tc>
          <w:tcPr>
            <w:tcW w:w="773" w:type="dxa"/>
          </w:tcPr>
          <w:p w14:paraId="12B1A1DC" w14:textId="72C68A58" w:rsidR="00E90EFD" w:rsidRPr="00FE338E" w:rsidRDefault="00E90EFD" w:rsidP="00E90EFD">
            <w:r w:rsidRPr="00A26EDE">
              <w:rPr>
                <w:rFonts w:ascii="Arial" w:hAnsi="Arial" w:cs="Arial"/>
                <w:sz w:val="20"/>
                <w:lang w:val="en-US"/>
              </w:rPr>
              <w:t>48</w:t>
            </w:r>
          </w:p>
        </w:tc>
        <w:tc>
          <w:tcPr>
            <w:tcW w:w="3240" w:type="dxa"/>
            <w:hideMark/>
          </w:tcPr>
          <w:p w14:paraId="0AD97C55" w14:textId="7A9000F0" w:rsidR="00E90EFD" w:rsidRPr="00FE338E" w:rsidRDefault="00E90EFD" w:rsidP="00E90EFD">
            <w:r w:rsidRPr="00A26EDE">
              <w:rPr>
                <w:rFonts w:ascii="Arial" w:hAnsi="Arial" w:cs="Arial"/>
                <w:sz w:val="20"/>
                <w:lang w:val="en-US"/>
              </w:rPr>
              <w:t>Given Table 6-1 additions, why are subclauses 6.5.24(a-c) needed?</w:t>
            </w:r>
          </w:p>
        </w:tc>
        <w:tc>
          <w:tcPr>
            <w:tcW w:w="3415" w:type="dxa"/>
            <w:hideMark/>
          </w:tcPr>
          <w:p w14:paraId="548389C4" w14:textId="4AB6B3A0" w:rsidR="00E90EFD" w:rsidRPr="00FE338E" w:rsidRDefault="00E90EFD" w:rsidP="00E90EFD">
            <w:r w:rsidRPr="00A26EDE">
              <w:rPr>
                <w:rFonts w:ascii="Arial" w:hAnsi="Arial" w:cs="Arial"/>
                <w:sz w:val="20"/>
                <w:lang w:val="en-US"/>
              </w:rPr>
              <w:t>Delete subclauses 6.5.24a through 6.5.24c.  (Note, retain 6.5.24d through 6.5.24f.)</w:t>
            </w:r>
          </w:p>
        </w:tc>
      </w:tr>
    </w:tbl>
    <w:p w14:paraId="6CE909BC" w14:textId="4327570D" w:rsidR="00E777C9" w:rsidRDefault="00E777C9"/>
    <w:p w14:paraId="72FFC5B2" w14:textId="77777777" w:rsidR="00E90EFD" w:rsidRDefault="00E90EFD"/>
    <w:p w14:paraId="54B8081F" w14:textId="51A86AD8" w:rsidR="00655D52" w:rsidRDefault="00550A6B" w:rsidP="00655D52">
      <w:r>
        <w:t>Explanation from REVme subclause 6.5, for when primitives are detailed:</w:t>
      </w:r>
    </w:p>
    <w:p w14:paraId="4517CB2B" w14:textId="4A4A0CC1" w:rsidR="00550A6B" w:rsidRDefault="00550A6B" w:rsidP="00550A6B">
      <w:pPr>
        <w:pBdr>
          <w:top w:val="single" w:sz="4" w:space="1" w:color="auto"/>
          <w:left w:val="single" w:sz="4" w:space="4" w:color="auto"/>
          <w:bottom w:val="single" w:sz="4" w:space="1" w:color="auto"/>
          <w:right w:val="single" w:sz="4" w:space="4" w:color="auto"/>
        </w:pBdr>
      </w:pPr>
      <w:r>
        <w:rPr>
          <w:noProof/>
        </w:rPr>
        <w:drawing>
          <wp:inline distT="0" distB="0" distL="0" distR="0" wp14:anchorId="2330CAE1" wp14:editId="3A14C804">
            <wp:extent cx="6391275" cy="1533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1275" cy="1533525"/>
                    </a:xfrm>
                    <a:prstGeom prst="rect">
                      <a:avLst/>
                    </a:prstGeom>
                    <a:noFill/>
                    <a:ln>
                      <a:noFill/>
                    </a:ln>
                  </pic:spPr>
                </pic:pic>
              </a:graphicData>
            </a:graphic>
          </wp:inline>
        </w:drawing>
      </w:r>
    </w:p>
    <w:p w14:paraId="11D6394E" w14:textId="15D83703" w:rsidR="00550A6B" w:rsidRDefault="00550A6B" w:rsidP="00655D52"/>
    <w:p w14:paraId="22C31AF9" w14:textId="604C4AFF" w:rsidR="00550A6B" w:rsidRDefault="00550A6B" w:rsidP="00655D52">
      <w:r>
        <w:t xml:space="preserve">From this, we can see that the primitives should only be detailed in a subclause of 6.5, when the parameters and/or primitives do not directly correspond to the frame(s), or other aspects need to be explained to be </w:t>
      </w:r>
      <w:proofErr w:type="gramStart"/>
      <w:r>
        <w:t>more clear</w:t>
      </w:r>
      <w:proofErr w:type="gramEnd"/>
      <w:r>
        <w:t>.</w:t>
      </w:r>
    </w:p>
    <w:p w14:paraId="69E60EA6" w14:textId="39CCD35E" w:rsidR="00550A6B" w:rsidRDefault="00550A6B" w:rsidP="00655D52"/>
    <w:p w14:paraId="01D5878E" w14:textId="3D741AFE" w:rsidR="00550A6B" w:rsidRDefault="00550A6B" w:rsidP="00655D52">
      <w:r>
        <w:t xml:space="preserve">That is not the case here.  From the example below (for EPCS Priority Access Enable, it can be seen clearly that the parameters match exactly what you’d expect based on the frame contents, and there is no “interesting” </w:t>
      </w:r>
      <w:proofErr w:type="spellStart"/>
      <w:r>
        <w:t>behavior</w:t>
      </w:r>
      <w:proofErr w:type="spellEnd"/>
      <w:r>
        <w:t xml:space="preserve"> described, just the expected transmission/reception of the expected frames.</w:t>
      </w:r>
    </w:p>
    <w:p w14:paraId="41667C38" w14:textId="44350918" w:rsidR="00550A6B" w:rsidRDefault="00550A6B" w:rsidP="00655D52"/>
    <w:p w14:paraId="626507C5" w14:textId="77777777" w:rsidR="00550A6B" w:rsidRDefault="00550A6B" w:rsidP="00550A6B">
      <w:pPr>
        <w:pBdr>
          <w:top w:val="single" w:sz="4" w:space="1" w:color="auto"/>
          <w:left w:val="single" w:sz="4" w:space="4" w:color="auto"/>
          <w:right w:val="single" w:sz="4" w:space="4" w:color="auto"/>
        </w:pBdr>
      </w:pPr>
      <w:r>
        <w:rPr>
          <w:noProof/>
        </w:rPr>
        <w:drawing>
          <wp:inline distT="0" distB="0" distL="0" distR="0" wp14:anchorId="4198F5C0" wp14:editId="2418AEFA">
            <wp:extent cx="6395720" cy="101473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5720" cy="1014730"/>
                    </a:xfrm>
                    <a:prstGeom prst="rect">
                      <a:avLst/>
                    </a:prstGeom>
                    <a:noFill/>
                    <a:ln>
                      <a:noFill/>
                    </a:ln>
                  </pic:spPr>
                </pic:pic>
              </a:graphicData>
            </a:graphic>
          </wp:inline>
        </w:drawing>
      </w:r>
    </w:p>
    <w:p w14:paraId="58E7F87E" w14:textId="2A3C6A5A" w:rsidR="00550A6B" w:rsidRDefault="00550A6B" w:rsidP="00550A6B">
      <w:pPr>
        <w:pBdr>
          <w:left w:val="single" w:sz="4" w:space="4" w:color="auto"/>
          <w:bottom w:val="single" w:sz="4" w:space="1" w:color="auto"/>
          <w:right w:val="single" w:sz="4" w:space="4" w:color="auto"/>
        </w:pBdr>
      </w:pPr>
      <w:r>
        <w:rPr>
          <w:noProof/>
        </w:rPr>
        <w:lastRenderedPageBreak/>
        <w:drawing>
          <wp:inline distT="0" distB="0" distL="0" distR="0" wp14:anchorId="61FD79B2" wp14:editId="54328970">
            <wp:extent cx="6400800" cy="42976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4297680"/>
                    </a:xfrm>
                    <a:prstGeom prst="rect">
                      <a:avLst/>
                    </a:prstGeom>
                    <a:noFill/>
                    <a:ln>
                      <a:noFill/>
                    </a:ln>
                  </pic:spPr>
                </pic:pic>
              </a:graphicData>
            </a:graphic>
          </wp:inline>
        </w:drawing>
      </w:r>
    </w:p>
    <w:p w14:paraId="6AC8BDA2" w14:textId="081C0846" w:rsidR="00550A6B" w:rsidRDefault="00550A6B" w:rsidP="00550A6B">
      <w:pPr>
        <w:pBdr>
          <w:left w:val="single" w:sz="4" w:space="4" w:color="auto"/>
          <w:bottom w:val="single" w:sz="4" w:space="1" w:color="auto"/>
          <w:right w:val="single" w:sz="4" w:space="4" w:color="auto"/>
        </w:pBdr>
      </w:pPr>
      <w:r>
        <w:rPr>
          <w:noProof/>
        </w:rPr>
        <w:drawing>
          <wp:inline distT="0" distB="0" distL="0" distR="0" wp14:anchorId="5772BDBA" wp14:editId="407CA03D">
            <wp:extent cx="6400800" cy="18395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839595"/>
                    </a:xfrm>
                    <a:prstGeom prst="rect">
                      <a:avLst/>
                    </a:prstGeom>
                    <a:noFill/>
                    <a:ln>
                      <a:noFill/>
                    </a:ln>
                  </pic:spPr>
                </pic:pic>
              </a:graphicData>
            </a:graphic>
          </wp:inline>
        </w:drawing>
      </w:r>
    </w:p>
    <w:p w14:paraId="5634D124" w14:textId="040C27C0" w:rsidR="00550A6B" w:rsidRDefault="00550A6B" w:rsidP="00550A6B"/>
    <w:p w14:paraId="615D94F0" w14:textId="6DA36037" w:rsidR="00A506EE" w:rsidRDefault="00A506EE" w:rsidP="00550A6B">
      <w:r>
        <w:t>The frame format for this primitive is below, where the same fields can be clearly seen:</w:t>
      </w:r>
    </w:p>
    <w:p w14:paraId="434823FA" w14:textId="77777777" w:rsidR="00550A6B" w:rsidRDefault="00550A6B" w:rsidP="00550A6B">
      <w:pPr>
        <w:pBdr>
          <w:top w:val="single" w:sz="4" w:space="1" w:color="auto"/>
          <w:left w:val="single" w:sz="4" w:space="4" w:color="auto"/>
          <w:bottom w:val="single" w:sz="4" w:space="1" w:color="auto"/>
          <w:right w:val="single" w:sz="4" w:space="4" w:color="auto"/>
        </w:pBdr>
      </w:pPr>
      <w:r>
        <w:rPr>
          <w:noProof/>
        </w:rPr>
        <w:lastRenderedPageBreak/>
        <w:drawing>
          <wp:inline distT="0" distB="0" distL="0" distR="0" wp14:anchorId="31CF7D7B" wp14:editId="000DB1D4">
            <wp:extent cx="6395720" cy="295973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5720" cy="2959735"/>
                    </a:xfrm>
                    <a:prstGeom prst="rect">
                      <a:avLst/>
                    </a:prstGeom>
                    <a:noFill/>
                    <a:ln>
                      <a:noFill/>
                    </a:ln>
                  </pic:spPr>
                </pic:pic>
              </a:graphicData>
            </a:graphic>
          </wp:inline>
        </w:drawing>
      </w:r>
    </w:p>
    <w:p w14:paraId="41AAB6F5" w14:textId="4D39BBA8" w:rsidR="00550A6B" w:rsidRDefault="00550A6B" w:rsidP="00655D52"/>
    <w:p w14:paraId="3AE0F007" w14:textId="7BA18D0E" w:rsidR="00550A6B" w:rsidRDefault="00550A6B" w:rsidP="00655D52">
      <w:r>
        <w:t>Thus, agree with the commenter, for these three subclauses</w:t>
      </w:r>
      <w:r w:rsidR="00A506EE">
        <w:t xml:space="preserve"> (they are all very similar to this example)</w:t>
      </w:r>
      <w:r>
        <w:t>, there is no reason to have this information detailed in 6.5.</w:t>
      </w:r>
    </w:p>
    <w:p w14:paraId="7B25BC2C" w14:textId="77777777" w:rsidR="00550A6B" w:rsidRDefault="00550A6B" w:rsidP="00655D52"/>
    <w:p w14:paraId="6313C8F8" w14:textId="2E92D3E6" w:rsidR="00655D52" w:rsidRPr="00095D6B" w:rsidRDefault="00655D52" w:rsidP="00655D52">
      <w:pPr>
        <w:rPr>
          <w:u w:val="single"/>
        </w:rPr>
      </w:pPr>
      <w:r w:rsidRPr="00095D6B">
        <w:rPr>
          <w:b/>
          <w:bCs/>
          <w:u w:val="single"/>
        </w:rPr>
        <w:t>Proposed Resolution:</w:t>
      </w:r>
    </w:p>
    <w:p w14:paraId="51D7D8EC" w14:textId="307955E6" w:rsidR="00655D52" w:rsidRDefault="00550A6B" w:rsidP="00655D52">
      <w:r w:rsidRPr="0049384C">
        <w:rPr>
          <w:highlight w:val="green"/>
        </w:rPr>
        <w:t>Accepted.</w:t>
      </w:r>
    </w:p>
    <w:p w14:paraId="3F6CBA91" w14:textId="77777777" w:rsidR="00283AA7" w:rsidRPr="00655D52" w:rsidRDefault="00283AA7" w:rsidP="00655D52"/>
    <w:p w14:paraId="71B9D709" w14:textId="06F8B311" w:rsidR="007D4FB6" w:rsidRDefault="00E777C9" w:rsidP="00E90EFD">
      <w:r>
        <w:br w:type="page"/>
      </w:r>
    </w:p>
    <w:tbl>
      <w:tblPr>
        <w:tblStyle w:val="TableGrid"/>
        <w:tblW w:w="10070" w:type="dxa"/>
        <w:tblLook w:val="04A0" w:firstRow="1" w:lastRow="0" w:firstColumn="1" w:lastColumn="0" w:noHBand="0" w:noVBand="1"/>
      </w:tblPr>
      <w:tblGrid>
        <w:gridCol w:w="773"/>
        <w:gridCol w:w="1139"/>
        <w:gridCol w:w="730"/>
        <w:gridCol w:w="773"/>
        <w:gridCol w:w="3240"/>
        <w:gridCol w:w="3415"/>
      </w:tblGrid>
      <w:tr w:rsidR="00095D6B" w:rsidRPr="00FE338E" w14:paraId="6DA3B4A6" w14:textId="77777777" w:rsidTr="00AC7B37">
        <w:trPr>
          <w:trHeight w:val="570"/>
        </w:trPr>
        <w:tc>
          <w:tcPr>
            <w:tcW w:w="773" w:type="dxa"/>
            <w:hideMark/>
          </w:tcPr>
          <w:p w14:paraId="54D16DB6" w14:textId="77777777" w:rsidR="00095D6B" w:rsidRPr="00FE338E" w:rsidRDefault="00095D6B" w:rsidP="00AC7B37">
            <w:pPr>
              <w:rPr>
                <w:b/>
                <w:bCs/>
                <w:lang w:val="en-US"/>
              </w:rPr>
            </w:pPr>
            <w:r w:rsidRPr="00FE338E">
              <w:rPr>
                <w:b/>
                <w:bCs/>
              </w:rPr>
              <w:lastRenderedPageBreak/>
              <w:t>CID</w:t>
            </w:r>
          </w:p>
        </w:tc>
        <w:tc>
          <w:tcPr>
            <w:tcW w:w="1139" w:type="dxa"/>
            <w:hideMark/>
          </w:tcPr>
          <w:p w14:paraId="016ABD3B" w14:textId="77777777" w:rsidR="00095D6B" w:rsidRPr="00FE338E" w:rsidRDefault="00095D6B" w:rsidP="00AC7B37">
            <w:pPr>
              <w:rPr>
                <w:b/>
                <w:bCs/>
              </w:rPr>
            </w:pPr>
            <w:r w:rsidRPr="00FE338E">
              <w:rPr>
                <w:b/>
                <w:bCs/>
              </w:rPr>
              <w:t>Clause Number</w:t>
            </w:r>
          </w:p>
        </w:tc>
        <w:tc>
          <w:tcPr>
            <w:tcW w:w="730" w:type="dxa"/>
            <w:hideMark/>
          </w:tcPr>
          <w:p w14:paraId="76EA394D" w14:textId="77777777" w:rsidR="00095D6B" w:rsidRPr="00FE338E" w:rsidRDefault="00095D6B" w:rsidP="00AC7B37">
            <w:pPr>
              <w:rPr>
                <w:b/>
                <w:bCs/>
              </w:rPr>
            </w:pPr>
            <w:r>
              <w:rPr>
                <w:b/>
                <w:bCs/>
              </w:rPr>
              <w:t>Page</w:t>
            </w:r>
          </w:p>
        </w:tc>
        <w:tc>
          <w:tcPr>
            <w:tcW w:w="773" w:type="dxa"/>
          </w:tcPr>
          <w:p w14:paraId="12A53A02" w14:textId="77777777" w:rsidR="00095D6B" w:rsidRPr="00FE338E" w:rsidRDefault="00095D6B" w:rsidP="00AC7B37">
            <w:pPr>
              <w:rPr>
                <w:b/>
                <w:bCs/>
              </w:rPr>
            </w:pPr>
            <w:r>
              <w:rPr>
                <w:b/>
                <w:bCs/>
              </w:rPr>
              <w:t>Line</w:t>
            </w:r>
          </w:p>
        </w:tc>
        <w:tc>
          <w:tcPr>
            <w:tcW w:w="3240" w:type="dxa"/>
            <w:hideMark/>
          </w:tcPr>
          <w:p w14:paraId="67AF277B" w14:textId="77777777" w:rsidR="00095D6B" w:rsidRPr="00FE338E" w:rsidRDefault="00095D6B" w:rsidP="00AC7B37">
            <w:pPr>
              <w:rPr>
                <w:b/>
                <w:bCs/>
              </w:rPr>
            </w:pPr>
            <w:r w:rsidRPr="00FE338E">
              <w:rPr>
                <w:b/>
                <w:bCs/>
              </w:rPr>
              <w:t>Comment</w:t>
            </w:r>
          </w:p>
        </w:tc>
        <w:tc>
          <w:tcPr>
            <w:tcW w:w="3415" w:type="dxa"/>
            <w:hideMark/>
          </w:tcPr>
          <w:p w14:paraId="458A81D5" w14:textId="77777777" w:rsidR="00095D6B" w:rsidRPr="00FE338E" w:rsidRDefault="00095D6B" w:rsidP="00AC7B37">
            <w:pPr>
              <w:rPr>
                <w:b/>
                <w:bCs/>
              </w:rPr>
            </w:pPr>
            <w:r w:rsidRPr="00FE338E">
              <w:rPr>
                <w:b/>
                <w:bCs/>
              </w:rPr>
              <w:t>Proposed Change</w:t>
            </w:r>
          </w:p>
        </w:tc>
      </w:tr>
      <w:tr w:rsidR="00095D6B" w:rsidRPr="00FE338E" w14:paraId="33F74C32" w14:textId="77777777" w:rsidTr="00AC7B37">
        <w:trPr>
          <w:trHeight w:val="855"/>
        </w:trPr>
        <w:tc>
          <w:tcPr>
            <w:tcW w:w="773" w:type="dxa"/>
            <w:noWrap/>
          </w:tcPr>
          <w:p w14:paraId="33C1C494" w14:textId="737C68A4" w:rsidR="00095D6B" w:rsidRPr="00A26EDE" w:rsidRDefault="00095D6B" w:rsidP="00095D6B">
            <w:pPr>
              <w:rPr>
                <w:rFonts w:ascii="Arial" w:hAnsi="Arial" w:cs="Arial"/>
                <w:sz w:val="20"/>
                <w:lang w:val="en-US"/>
              </w:rPr>
            </w:pPr>
            <w:r w:rsidRPr="00A26EDE">
              <w:rPr>
                <w:rFonts w:ascii="Arial" w:hAnsi="Arial" w:cs="Arial"/>
                <w:sz w:val="20"/>
                <w:lang w:val="en-US"/>
              </w:rPr>
              <w:t>19479</w:t>
            </w:r>
          </w:p>
        </w:tc>
        <w:tc>
          <w:tcPr>
            <w:tcW w:w="1139" w:type="dxa"/>
            <w:noWrap/>
          </w:tcPr>
          <w:p w14:paraId="2B9F323D" w14:textId="06C74D19" w:rsidR="00095D6B" w:rsidRPr="00A26EDE" w:rsidRDefault="00095D6B" w:rsidP="00095D6B">
            <w:pPr>
              <w:rPr>
                <w:rFonts w:ascii="Arial" w:hAnsi="Arial" w:cs="Arial"/>
                <w:sz w:val="20"/>
                <w:lang w:val="en-US"/>
              </w:rPr>
            </w:pPr>
            <w:r w:rsidRPr="00A26EDE">
              <w:rPr>
                <w:rFonts w:ascii="Arial" w:hAnsi="Arial" w:cs="Arial"/>
                <w:sz w:val="20"/>
                <w:lang w:val="en-US"/>
              </w:rPr>
              <w:t>6.5.24a</w:t>
            </w:r>
          </w:p>
        </w:tc>
        <w:tc>
          <w:tcPr>
            <w:tcW w:w="730" w:type="dxa"/>
            <w:noWrap/>
          </w:tcPr>
          <w:p w14:paraId="15572B26" w14:textId="26E572C1" w:rsidR="00095D6B" w:rsidRPr="00A26EDE" w:rsidRDefault="00095D6B" w:rsidP="00095D6B">
            <w:pPr>
              <w:rPr>
                <w:rFonts w:ascii="Arial" w:hAnsi="Arial" w:cs="Arial"/>
                <w:sz w:val="20"/>
                <w:lang w:val="en-US"/>
              </w:rPr>
            </w:pPr>
            <w:r w:rsidRPr="00A26EDE">
              <w:rPr>
                <w:rFonts w:ascii="Arial" w:hAnsi="Arial" w:cs="Arial"/>
                <w:sz w:val="20"/>
                <w:lang w:val="en-US"/>
              </w:rPr>
              <w:t>98</w:t>
            </w:r>
          </w:p>
        </w:tc>
        <w:tc>
          <w:tcPr>
            <w:tcW w:w="773" w:type="dxa"/>
          </w:tcPr>
          <w:p w14:paraId="4C1F143D" w14:textId="4B701235" w:rsidR="00095D6B" w:rsidRPr="00A26EDE" w:rsidRDefault="00095D6B" w:rsidP="00095D6B">
            <w:pPr>
              <w:rPr>
                <w:rFonts w:ascii="Arial" w:hAnsi="Arial" w:cs="Arial"/>
                <w:sz w:val="20"/>
                <w:lang w:val="en-US"/>
              </w:rPr>
            </w:pPr>
            <w:r w:rsidRPr="00A26EDE">
              <w:rPr>
                <w:rFonts w:ascii="Arial" w:hAnsi="Arial" w:cs="Arial"/>
                <w:sz w:val="20"/>
                <w:lang w:val="en-US"/>
              </w:rPr>
              <w:t>48</w:t>
            </w:r>
          </w:p>
        </w:tc>
        <w:tc>
          <w:tcPr>
            <w:tcW w:w="3240" w:type="dxa"/>
          </w:tcPr>
          <w:p w14:paraId="5F585448" w14:textId="257748A8" w:rsidR="00095D6B" w:rsidRPr="00A26EDE" w:rsidRDefault="00095D6B" w:rsidP="00095D6B">
            <w:pPr>
              <w:rPr>
                <w:rFonts w:ascii="Arial" w:hAnsi="Arial" w:cs="Arial"/>
                <w:sz w:val="20"/>
                <w:lang w:val="en-US"/>
              </w:rPr>
            </w:pPr>
            <w:r w:rsidRPr="00A26EDE">
              <w:rPr>
                <w:rFonts w:ascii="Arial" w:hAnsi="Arial" w:cs="Arial"/>
                <w:sz w:val="20"/>
                <w:lang w:val="en-US"/>
              </w:rPr>
              <w:t>As per the clause 6 changes in the baseline (read 6.5.1), EPCS primitives are redundant relative to the frames and elements documented in clause 9. Furthermore, there is already a table entry in 6.1 which references clause 9.</w:t>
            </w:r>
          </w:p>
        </w:tc>
        <w:tc>
          <w:tcPr>
            <w:tcW w:w="3415" w:type="dxa"/>
          </w:tcPr>
          <w:p w14:paraId="5AA62C1D" w14:textId="6C2B20DB" w:rsidR="00095D6B" w:rsidRPr="00A26EDE" w:rsidRDefault="00095D6B" w:rsidP="00095D6B">
            <w:pPr>
              <w:rPr>
                <w:rFonts w:ascii="Arial" w:hAnsi="Arial" w:cs="Arial"/>
                <w:sz w:val="20"/>
                <w:lang w:val="en-US"/>
              </w:rPr>
            </w:pPr>
            <w:r w:rsidRPr="00A26EDE">
              <w:rPr>
                <w:rFonts w:ascii="Arial" w:hAnsi="Arial" w:cs="Arial"/>
                <w:sz w:val="20"/>
                <w:lang w:val="en-US"/>
              </w:rPr>
              <w:t xml:space="preserve">Remove 6.5.24a and all sub-clauses. NOTE to Editor. There are no cross-references to </w:t>
            </w:r>
            <w:proofErr w:type="gramStart"/>
            <w:r w:rsidRPr="00A26EDE">
              <w:rPr>
                <w:rFonts w:ascii="Arial" w:hAnsi="Arial" w:cs="Arial"/>
                <w:sz w:val="20"/>
                <w:lang w:val="en-US"/>
              </w:rPr>
              <w:t>this clauses</w:t>
            </w:r>
            <w:proofErr w:type="gramEnd"/>
            <w:r w:rsidRPr="00A26EDE">
              <w:rPr>
                <w:rFonts w:ascii="Arial" w:hAnsi="Arial" w:cs="Arial"/>
                <w:sz w:val="20"/>
                <w:lang w:val="en-US"/>
              </w:rPr>
              <w:t xml:space="preserve"> in the remainder of the specification.</w:t>
            </w:r>
          </w:p>
        </w:tc>
      </w:tr>
      <w:tr w:rsidR="00095D6B" w:rsidRPr="00FE338E" w14:paraId="10B46A8B" w14:textId="77777777" w:rsidTr="00AC7B37">
        <w:trPr>
          <w:trHeight w:val="855"/>
        </w:trPr>
        <w:tc>
          <w:tcPr>
            <w:tcW w:w="773" w:type="dxa"/>
            <w:noWrap/>
          </w:tcPr>
          <w:p w14:paraId="2DFD6964" w14:textId="74680A58" w:rsidR="00095D6B" w:rsidRPr="00A26EDE" w:rsidRDefault="00095D6B" w:rsidP="00095D6B">
            <w:pPr>
              <w:rPr>
                <w:rFonts w:ascii="Arial" w:hAnsi="Arial" w:cs="Arial"/>
                <w:sz w:val="20"/>
                <w:lang w:val="en-US"/>
              </w:rPr>
            </w:pPr>
            <w:r w:rsidRPr="00A26EDE">
              <w:rPr>
                <w:rFonts w:ascii="Arial" w:hAnsi="Arial" w:cs="Arial"/>
                <w:sz w:val="20"/>
                <w:lang w:val="en-US"/>
              </w:rPr>
              <w:t>19480</w:t>
            </w:r>
          </w:p>
        </w:tc>
        <w:tc>
          <w:tcPr>
            <w:tcW w:w="1139" w:type="dxa"/>
            <w:noWrap/>
          </w:tcPr>
          <w:p w14:paraId="6DC0F95E" w14:textId="5661C67B" w:rsidR="00095D6B" w:rsidRPr="00A26EDE" w:rsidRDefault="00095D6B" w:rsidP="00095D6B">
            <w:pPr>
              <w:rPr>
                <w:rFonts w:ascii="Arial" w:hAnsi="Arial" w:cs="Arial"/>
                <w:sz w:val="20"/>
                <w:lang w:val="en-US"/>
              </w:rPr>
            </w:pPr>
            <w:r w:rsidRPr="00A26EDE">
              <w:rPr>
                <w:rFonts w:ascii="Arial" w:hAnsi="Arial" w:cs="Arial"/>
                <w:sz w:val="20"/>
                <w:lang w:val="en-US"/>
              </w:rPr>
              <w:t>6.5.24b</w:t>
            </w:r>
          </w:p>
        </w:tc>
        <w:tc>
          <w:tcPr>
            <w:tcW w:w="730" w:type="dxa"/>
            <w:noWrap/>
          </w:tcPr>
          <w:p w14:paraId="1F2B7566" w14:textId="000847E9" w:rsidR="00095D6B" w:rsidRPr="00A26EDE" w:rsidRDefault="00095D6B" w:rsidP="00095D6B">
            <w:pPr>
              <w:rPr>
                <w:rFonts w:ascii="Arial" w:hAnsi="Arial" w:cs="Arial"/>
                <w:sz w:val="20"/>
                <w:lang w:val="en-US"/>
              </w:rPr>
            </w:pPr>
            <w:r w:rsidRPr="00A26EDE">
              <w:rPr>
                <w:rFonts w:ascii="Arial" w:hAnsi="Arial" w:cs="Arial"/>
                <w:sz w:val="20"/>
                <w:lang w:val="en-US"/>
              </w:rPr>
              <w:t>103</w:t>
            </w:r>
          </w:p>
        </w:tc>
        <w:tc>
          <w:tcPr>
            <w:tcW w:w="773" w:type="dxa"/>
          </w:tcPr>
          <w:p w14:paraId="61439368" w14:textId="58BB6659" w:rsidR="00095D6B" w:rsidRPr="00A26EDE" w:rsidRDefault="00095D6B" w:rsidP="00095D6B">
            <w:pPr>
              <w:rPr>
                <w:rFonts w:ascii="Arial" w:hAnsi="Arial" w:cs="Arial"/>
                <w:sz w:val="20"/>
                <w:lang w:val="en-US"/>
              </w:rPr>
            </w:pPr>
            <w:r w:rsidRPr="00A26EDE">
              <w:rPr>
                <w:rFonts w:ascii="Arial" w:hAnsi="Arial" w:cs="Arial"/>
                <w:sz w:val="20"/>
                <w:lang w:val="en-US"/>
              </w:rPr>
              <w:t>26</w:t>
            </w:r>
          </w:p>
        </w:tc>
        <w:tc>
          <w:tcPr>
            <w:tcW w:w="3240" w:type="dxa"/>
          </w:tcPr>
          <w:p w14:paraId="787AF650" w14:textId="285240B9" w:rsidR="00095D6B" w:rsidRPr="00A26EDE" w:rsidRDefault="00095D6B" w:rsidP="00095D6B">
            <w:pPr>
              <w:rPr>
                <w:rFonts w:ascii="Arial" w:hAnsi="Arial" w:cs="Arial"/>
                <w:sz w:val="20"/>
                <w:lang w:val="en-US"/>
              </w:rPr>
            </w:pPr>
            <w:r w:rsidRPr="00A26EDE">
              <w:rPr>
                <w:rFonts w:ascii="Arial" w:hAnsi="Arial" w:cs="Arial"/>
                <w:sz w:val="20"/>
                <w:lang w:val="en-US"/>
              </w:rPr>
              <w:t>As per the clause 6 changes in the baseline (read 6.5.1), TTLM primitives are redundant relative to the frames and elements documented in clause 9. Furthermore, there is already a table entry in 6.1 which references clause 9.</w:t>
            </w:r>
          </w:p>
        </w:tc>
        <w:tc>
          <w:tcPr>
            <w:tcW w:w="3415" w:type="dxa"/>
          </w:tcPr>
          <w:p w14:paraId="20484CBB" w14:textId="7689B8E5" w:rsidR="00095D6B" w:rsidRPr="00A26EDE" w:rsidRDefault="00095D6B" w:rsidP="00095D6B">
            <w:pPr>
              <w:rPr>
                <w:rFonts w:ascii="Arial" w:hAnsi="Arial" w:cs="Arial"/>
                <w:sz w:val="20"/>
                <w:lang w:val="en-US"/>
              </w:rPr>
            </w:pPr>
            <w:r w:rsidRPr="00A26EDE">
              <w:rPr>
                <w:rFonts w:ascii="Arial" w:hAnsi="Arial" w:cs="Arial"/>
                <w:sz w:val="20"/>
                <w:lang w:val="en-US"/>
              </w:rPr>
              <w:t xml:space="preserve">Remove 6.5.24b and all sub-clauses. NOTE to Editor. There are no cross-references to </w:t>
            </w:r>
            <w:proofErr w:type="gramStart"/>
            <w:r w:rsidRPr="00A26EDE">
              <w:rPr>
                <w:rFonts w:ascii="Arial" w:hAnsi="Arial" w:cs="Arial"/>
                <w:sz w:val="20"/>
                <w:lang w:val="en-US"/>
              </w:rPr>
              <w:t>this clauses</w:t>
            </w:r>
            <w:proofErr w:type="gramEnd"/>
            <w:r w:rsidRPr="00A26EDE">
              <w:rPr>
                <w:rFonts w:ascii="Arial" w:hAnsi="Arial" w:cs="Arial"/>
                <w:sz w:val="20"/>
                <w:lang w:val="en-US"/>
              </w:rPr>
              <w:t xml:space="preserve"> in the remainder of the specification.</w:t>
            </w:r>
          </w:p>
        </w:tc>
      </w:tr>
      <w:tr w:rsidR="00095D6B" w:rsidRPr="00FE338E" w14:paraId="0E99000A" w14:textId="77777777" w:rsidTr="00AC7B37">
        <w:trPr>
          <w:trHeight w:val="855"/>
        </w:trPr>
        <w:tc>
          <w:tcPr>
            <w:tcW w:w="773" w:type="dxa"/>
            <w:noWrap/>
          </w:tcPr>
          <w:p w14:paraId="0166B623" w14:textId="1EA333EF" w:rsidR="00095D6B" w:rsidRPr="00A26EDE" w:rsidRDefault="00095D6B" w:rsidP="00095D6B">
            <w:pPr>
              <w:rPr>
                <w:rFonts w:ascii="Arial" w:hAnsi="Arial" w:cs="Arial"/>
                <w:sz w:val="20"/>
                <w:lang w:val="en-US"/>
              </w:rPr>
            </w:pPr>
            <w:r w:rsidRPr="00A26EDE">
              <w:rPr>
                <w:rFonts w:ascii="Arial" w:hAnsi="Arial" w:cs="Arial"/>
                <w:sz w:val="20"/>
                <w:lang w:val="en-US"/>
              </w:rPr>
              <w:t>19481</w:t>
            </w:r>
          </w:p>
        </w:tc>
        <w:tc>
          <w:tcPr>
            <w:tcW w:w="1139" w:type="dxa"/>
            <w:noWrap/>
          </w:tcPr>
          <w:p w14:paraId="5C6617AF" w14:textId="760C296B" w:rsidR="00095D6B" w:rsidRPr="00A26EDE" w:rsidRDefault="00095D6B" w:rsidP="00095D6B">
            <w:pPr>
              <w:rPr>
                <w:rFonts w:ascii="Arial" w:hAnsi="Arial" w:cs="Arial"/>
                <w:sz w:val="20"/>
                <w:lang w:val="en-US"/>
              </w:rPr>
            </w:pPr>
            <w:r w:rsidRPr="00A26EDE">
              <w:rPr>
                <w:rFonts w:ascii="Arial" w:hAnsi="Arial" w:cs="Arial"/>
                <w:sz w:val="20"/>
                <w:lang w:val="en-US"/>
              </w:rPr>
              <w:t>6.5.24c</w:t>
            </w:r>
          </w:p>
        </w:tc>
        <w:tc>
          <w:tcPr>
            <w:tcW w:w="730" w:type="dxa"/>
            <w:noWrap/>
          </w:tcPr>
          <w:p w14:paraId="53A76C8A" w14:textId="4B9DE6A8" w:rsidR="00095D6B" w:rsidRPr="00A26EDE" w:rsidRDefault="00095D6B" w:rsidP="00095D6B">
            <w:pPr>
              <w:rPr>
                <w:rFonts w:ascii="Arial" w:hAnsi="Arial" w:cs="Arial"/>
                <w:sz w:val="20"/>
                <w:lang w:val="en-US"/>
              </w:rPr>
            </w:pPr>
            <w:r w:rsidRPr="00A26EDE">
              <w:rPr>
                <w:rFonts w:ascii="Arial" w:hAnsi="Arial" w:cs="Arial"/>
                <w:sz w:val="20"/>
                <w:lang w:val="en-US"/>
              </w:rPr>
              <w:t>107</w:t>
            </w:r>
          </w:p>
        </w:tc>
        <w:tc>
          <w:tcPr>
            <w:tcW w:w="773" w:type="dxa"/>
          </w:tcPr>
          <w:p w14:paraId="58FBD8E0" w14:textId="03A68D62" w:rsidR="00095D6B" w:rsidRPr="00A26EDE" w:rsidRDefault="00095D6B" w:rsidP="00095D6B">
            <w:pPr>
              <w:rPr>
                <w:rFonts w:ascii="Arial" w:hAnsi="Arial" w:cs="Arial"/>
                <w:sz w:val="20"/>
                <w:lang w:val="en-US"/>
              </w:rPr>
            </w:pPr>
            <w:r w:rsidRPr="00A26EDE">
              <w:rPr>
                <w:rFonts w:ascii="Arial" w:hAnsi="Arial" w:cs="Arial"/>
                <w:sz w:val="20"/>
                <w:lang w:val="en-US"/>
              </w:rPr>
              <w:t>22</w:t>
            </w:r>
          </w:p>
        </w:tc>
        <w:tc>
          <w:tcPr>
            <w:tcW w:w="3240" w:type="dxa"/>
          </w:tcPr>
          <w:p w14:paraId="50BBF50C" w14:textId="278A8D9E" w:rsidR="00095D6B" w:rsidRPr="00A26EDE" w:rsidRDefault="00095D6B" w:rsidP="00095D6B">
            <w:pPr>
              <w:rPr>
                <w:rFonts w:ascii="Arial" w:hAnsi="Arial" w:cs="Arial"/>
                <w:sz w:val="20"/>
                <w:lang w:val="en-US"/>
              </w:rPr>
            </w:pPr>
            <w:r w:rsidRPr="00A26EDE">
              <w:rPr>
                <w:rFonts w:ascii="Arial" w:hAnsi="Arial" w:cs="Arial"/>
                <w:sz w:val="20"/>
                <w:lang w:val="en-US"/>
              </w:rPr>
              <w:t>As per the clause 6 changes in the baseline (read 6.5.1), EML operating mode notification primitives are redundant relative to the frames and elements documented in clause 9. Furthermore, there is already a table entry in 6.1 which references clause 9.</w:t>
            </w:r>
          </w:p>
        </w:tc>
        <w:tc>
          <w:tcPr>
            <w:tcW w:w="3415" w:type="dxa"/>
          </w:tcPr>
          <w:p w14:paraId="55B4A7DF" w14:textId="0967B5E7" w:rsidR="00095D6B" w:rsidRPr="00A26EDE" w:rsidRDefault="00095D6B" w:rsidP="00095D6B">
            <w:pPr>
              <w:rPr>
                <w:rFonts w:ascii="Arial" w:hAnsi="Arial" w:cs="Arial"/>
                <w:sz w:val="20"/>
                <w:lang w:val="en-US"/>
              </w:rPr>
            </w:pPr>
            <w:r w:rsidRPr="00A26EDE">
              <w:rPr>
                <w:rFonts w:ascii="Arial" w:hAnsi="Arial" w:cs="Arial"/>
                <w:sz w:val="20"/>
                <w:lang w:val="en-US"/>
              </w:rPr>
              <w:t xml:space="preserve">Remove 6.5.24c and all sub-clauses. NOTE to Editor. There are no cross-references to </w:t>
            </w:r>
            <w:proofErr w:type="gramStart"/>
            <w:r w:rsidRPr="00A26EDE">
              <w:rPr>
                <w:rFonts w:ascii="Arial" w:hAnsi="Arial" w:cs="Arial"/>
                <w:sz w:val="20"/>
                <w:lang w:val="en-US"/>
              </w:rPr>
              <w:t>this clauses</w:t>
            </w:r>
            <w:proofErr w:type="gramEnd"/>
            <w:r w:rsidRPr="00A26EDE">
              <w:rPr>
                <w:rFonts w:ascii="Arial" w:hAnsi="Arial" w:cs="Arial"/>
                <w:sz w:val="20"/>
                <w:lang w:val="en-US"/>
              </w:rPr>
              <w:t xml:space="preserve"> in the remainder of the specification.</w:t>
            </w:r>
          </w:p>
        </w:tc>
      </w:tr>
    </w:tbl>
    <w:p w14:paraId="098FDBEA" w14:textId="77777777" w:rsidR="00095D6B" w:rsidRDefault="00095D6B" w:rsidP="00095D6B"/>
    <w:p w14:paraId="6EF45278" w14:textId="485437C7" w:rsidR="00095D6B" w:rsidRDefault="00095D6B" w:rsidP="00095D6B">
      <w:pPr>
        <w:rPr>
          <w:rFonts w:ascii="Arial" w:hAnsi="Arial" w:cs="Arial"/>
          <w:sz w:val="20"/>
          <w:lang w:val="en-US"/>
        </w:rPr>
      </w:pPr>
      <w:r>
        <w:t xml:space="preserve">Per discussion just above, for CID </w:t>
      </w:r>
      <w:r w:rsidRPr="00A26EDE">
        <w:rPr>
          <w:rFonts w:ascii="Arial" w:hAnsi="Arial" w:cs="Arial"/>
          <w:sz w:val="20"/>
          <w:lang w:val="en-US"/>
        </w:rPr>
        <w:t>19619</w:t>
      </w:r>
      <w:r>
        <w:rPr>
          <w:rFonts w:ascii="Arial" w:hAnsi="Arial" w:cs="Arial"/>
          <w:sz w:val="20"/>
          <w:lang w:val="en-US"/>
        </w:rPr>
        <w:t>, agree to remove these subclauses.</w:t>
      </w:r>
    </w:p>
    <w:p w14:paraId="61ECB6A4" w14:textId="51279A41" w:rsidR="00095D6B" w:rsidRDefault="00095D6B" w:rsidP="00095D6B">
      <w:pPr>
        <w:rPr>
          <w:rFonts w:ascii="Arial" w:hAnsi="Arial" w:cs="Arial"/>
          <w:sz w:val="20"/>
          <w:lang w:val="en-US"/>
        </w:rPr>
      </w:pPr>
    </w:p>
    <w:p w14:paraId="77557FEF" w14:textId="2911E945" w:rsidR="00095D6B" w:rsidRPr="00591646" w:rsidRDefault="00095D6B" w:rsidP="00095D6B">
      <w:pPr>
        <w:rPr>
          <w:b/>
          <w:bCs/>
          <w:u w:val="single"/>
        </w:rPr>
      </w:pPr>
      <w:r w:rsidRPr="00591646">
        <w:rPr>
          <w:b/>
          <w:bCs/>
          <w:u w:val="single"/>
        </w:rPr>
        <w:t>Proposed Resolution:</w:t>
      </w:r>
    </w:p>
    <w:p w14:paraId="2F2EBFA7" w14:textId="2D83E757" w:rsidR="00095D6B" w:rsidRPr="00591646" w:rsidRDefault="00095D6B" w:rsidP="00095D6B">
      <w:r w:rsidRPr="0049384C">
        <w:rPr>
          <w:highlight w:val="green"/>
        </w:rPr>
        <w:t>Accepted.</w:t>
      </w:r>
    </w:p>
    <w:p w14:paraId="384EBB90" w14:textId="77777777" w:rsidR="00095D6B" w:rsidRPr="00591646" w:rsidRDefault="00095D6B" w:rsidP="00095D6B"/>
    <w:p w14:paraId="766FEFFA" w14:textId="77777777" w:rsidR="00095D6B" w:rsidRDefault="00095D6B">
      <w:pPr>
        <w:rPr>
          <w:rFonts w:ascii="Arial" w:hAnsi="Arial" w:cs="Arial"/>
          <w:sz w:val="20"/>
          <w:lang w:val="en-US"/>
        </w:rPr>
      </w:pPr>
      <w:r>
        <w:rPr>
          <w:rFonts w:ascii="Arial" w:hAnsi="Arial" w:cs="Arial"/>
          <w:sz w:val="20"/>
          <w:lang w:val="en-US"/>
        </w:rPr>
        <w:br w:type="page"/>
      </w:r>
    </w:p>
    <w:tbl>
      <w:tblPr>
        <w:tblStyle w:val="TableGrid"/>
        <w:tblW w:w="10070" w:type="dxa"/>
        <w:tblLook w:val="04A0" w:firstRow="1" w:lastRow="0" w:firstColumn="1" w:lastColumn="0" w:noHBand="0" w:noVBand="1"/>
      </w:tblPr>
      <w:tblGrid>
        <w:gridCol w:w="773"/>
        <w:gridCol w:w="1139"/>
        <w:gridCol w:w="730"/>
        <w:gridCol w:w="773"/>
        <w:gridCol w:w="3240"/>
        <w:gridCol w:w="3415"/>
      </w:tblGrid>
      <w:tr w:rsidR="00095D6B" w:rsidRPr="00FE338E" w14:paraId="604627C7" w14:textId="77777777" w:rsidTr="00AC7B37">
        <w:trPr>
          <w:trHeight w:val="570"/>
        </w:trPr>
        <w:tc>
          <w:tcPr>
            <w:tcW w:w="773" w:type="dxa"/>
            <w:hideMark/>
          </w:tcPr>
          <w:p w14:paraId="3F5636B1" w14:textId="77777777" w:rsidR="00095D6B" w:rsidRPr="00FE338E" w:rsidRDefault="00095D6B" w:rsidP="00AC7B37">
            <w:pPr>
              <w:rPr>
                <w:b/>
                <w:bCs/>
                <w:lang w:val="en-US"/>
              </w:rPr>
            </w:pPr>
            <w:r w:rsidRPr="00FE338E">
              <w:rPr>
                <w:b/>
                <w:bCs/>
              </w:rPr>
              <w:lastRenderedPageBreak/>
              <w:t>CID</w:t>
            </w:r>
          </w:p>
        </w:tc>
        <w:tc>
          <w:tcPr>
            <w:tcW w:w="1139" w:type="dxa"/>
            <w:hideMark/>
          </w:tcPr>
          <w:p w14:paraId="697CFB4A" w14:textId="77777777" w:rsidR="00095D6B" w:rsidRPr="00FE338E" w:rsidRDefault="00095D6B" w:rsidP="00AC7B37">
            <w:pPr>
              <w:rPr>
                <w:b/>
                <w:bCs/>
              </w:rPr>
            </w:pPr>
            <w:r w:rsidRPr="00FE338E">
              <w:rPr>
                <w:b/>
                <w:bCs/>
              </w:rPr>
              <w:t>Clause Number</w:t>
            </w:r>
          </w:p>
        </w:tc>
        <w:tc>
          <w:tcPr>
            <w:tcW w:w="730" w:type="dxa"/>
            <w:hideMark/>
          </w:tcPr>
          <w:p w14:paraId="7AC141A9" w14:textId="77777777" w:rsidR="00095D6B" w:rsidRPr="00FE338E" w:rsidRDefault="00095D6B" w:rsidP="00AC7B37">
            <w:pPr>
              <w:rPr>
                <w:b/>
                <w:bCs/>
              </w:rPr>
            </w:pPr>
            <w:r>
              <w:rPr>
                <w:b/>
                <w:bCs/>
              </w:rPr>
              <w:t>Page</w:t>
            </w:r>
          </w:p>
        </w:tc>
        <w:tc>
          <w:tcPr>
            <w:tcW w:w="773" w:type="dxa"/>
          </w:tcPr>
          <w:p w14:paraId="6300F34B" w14:textId="77777777" w:rsidR="00095D6B" w:rsidRPr="00FE338E" w:rsidRDefault="00095D6B" w:rsidP="00AC7B37">
            <w:pPr>
              <w:rPr>
                <w:b/>
                <w:bCs/>
              </w:rPr>
            </w:pPr>
            <w:r>
              <w:rPr>
                <w:b/>
                <w:bCs/>
              </w:rPr>
              <w:t>Line</w:t>
            </w:r>
          </w:p>
        </w:tc>
        <w:tc>
          <w:tcPr>
            <w:tcW w:w="3240" w:type="dxa"/>
            <w:hideMark/>
          </w:tcPr>
          <w:p w14:paraId="36826AAD" w14:textId="77777777" w:rsidR="00095D6B" w:rsidRPr="00FE338E" w:rsidRDefault="00095D6B" w:rsidP="00AC7B37">
            <w:pPr>
              <w:rPr>
                <w:b/>
                <w:bCs/>
              </w:rPr>
            </w:pPr>
            <w:r w:rsidRPr="00FE338E">
              <w:rPr>
                <w:b/>
                <w:bCs/>
              </w:rPr>
              <w:t>Comment</w:t>
            </w:r>
          </w:p>
        </w:tc>
        <w:tc>
          <w:tcPr>
            <w:tcW w:w="3415" w:type="dxa"/>
            <w:hideMark/>
          </w:tcPr>
          <w:p w14:paraId="44432DF0" w14:textId="77777777" w:rsidR="00095D6B" w:rsidRPr="00FE338E" w:rsidRDefault="00095D6B" w:rsidP="00AC7B37">
            <w:pPr>
              <w:rPr>
                <w:b/>
                <w:bCs/>
              </w:rPr>
            </w:pPr>
            <w:r w:rsidRPr="00FE338E">
              <w:rPr>
                <w:b/>
                <w:bCs/>
              </w:rPr>
              <w:t>Proposed Change</w:t>
            </w:r>
          </w:p>
        </w:tc>
      </w:tr>
      <w:tr w:rsidR="00095D6B" w:rsidRPr="00FE338E" w14:paraId="7E9A72A5" w14:textId="77777777" w:rsidTr="00AC7B37">
        <w:trPr>
          <w:trHeight w:val="855"/>
        </w:trPr>
        <w:tc>
          <w:tcPr>
            <w:tcW w:w="773" w:type="dxa"/>
            <w:noWrap/>
          </w:tcPr>
          <w:p w14:paraId="59C4725C" w14:textId="224EEC00" w:rsidR="00095D6B" w:rsidRPr="00A26EDE" w:rsidRDefault="00095D6B" w:rsidP="00095D6B">
            <w:pPr>
              <w:rPr>
                <w:rFonts w:ascii="Arial" w:hAnsi="Arial" w:cs="Arial"/>
                <w:sz w:val="20"/>
                <w:lang w:val="en-US"/>
              </w:rPr>
            </w:pPr>
            <w:r w:rsidRPr="00A26EDE">
              <w:rPr>
                <w:rFonts w:ascii="Arial" w:hAnsi="Arial" w:cs="Arial"/>
                <w:sz w:val="20"/>
                <w:lang w:val="en-US"/>
              </w:rPr>
              <w:t>19482</w:t>
            </w:r>
          </w:p>
        </w:tc>
        <w:tc>
          <w:tcPr>
            <w:tcW w:w="1139" w:type="dxa"/>
            <w:noWrap/>
          </w:tcPr>
          <w:p w14:paraId="60641594" w14:textId="48C08940" w:rsidR="00095D6B" w:rsidRPr="00A26EDE" w:rsidRDefault="00095D6B" w:rsidP="00095D6B">
            <w:pPr>
              <w:rPr>
                <w:rFonts w:ascii="Arial" w:hAnsi="Arial" w:cs="Arial"/>
                <w:sz w:val="20"/>
                <w:lang w:val="en-US"/>
              </w:rPr>
            </w:pPr>
            <w:r w:rsidRPr="00A26EDE">
              <w:rPr>
                <w:rFonts w:ascii="Arial" w:hAnsi="Arial" w:cs="Arial"/>
                <w:sz w:val="20"/>
                <w:lang w:val="en-US"/>
              </w:rPr>
              <w:t>6.5.24d</w:t>
            </w:r>
          </w:p>
        </w:tc>
        <w:tc>
          <w:tcPr>
            <w:tcW w:w="730" w:type="dxa"/>
            <w:noWrap/>
          </w:tcPr>
          <w:p w14:paraId="7A9CA6A7" w14:textId="1D5E4082" w:rsidR="00095D6B" w:rsidRPr="00A26EDE" w:rsidRDefault="00095D6B" w:rsidP="00095D6B">
            <w:pPr>
              <w:rPr>
                <w:rFonts w:ascii="Arial" w:hAnsi="Arial" w:cs="Arial"/>
                <w:sz w:val="20"/>
                <w:lang w:val="en-US"/>
              </w:rPr>
            </w:pPr>
            <w:r w:rsidRPr="00A26EDE">
              <w:rPr>
                <w:rFonts w:ascii="Arial" w:hAnsi="Arial" w:cs="Arial"/>
                <w:sz w:val="20"/>
                <w:lang w:val="en-US"/>
              </w:rPr>
              <w:t>108</w:t>
            </w:r>
          </w:p>
        </w:tc>
        <w:tc>
          <w:tcPr>
            <w:tcW w:w="773" w:type="dxa"/>
          </w:tcPr>
          <w:p w14:paraId="66B25757" w14:textId="43DD700D" w:rsidR="00095D6B" w:rsidRPr="00A26EDE" w:rsidRDefault="00095D6B" w:rsidP="00095D6B">
            <w:pPr>
              <w:rPr>
                <w:rFonts w:ascii="Arial" w:hAnsi="Arial" w:cs="Arial"/>
                <w:sz w:val="20"/>
                <w:lang w:val="en-US"/>
              </w:rPr>
            </w:pPr>
            <w:r w:rsidRPr="00A26EDE">
              <w:rPr>
                <w:rFonts w:ascii="Arial" w:hAnsi="Arial" w:cs="Arial"/>
                <w:sz w:val="20"/>
                <w:lang w:val="en-US"/>
              </w:rPr>
              <w:t>58</w:t>
            </w:r>
          </w:p>
        </w:tc>
        <w:tc>
          <w:tcPr>
            <w:tcW w:w="3240" w:type="dxa"/>
          </w:tcPr>
          <w:p w14:paraId="62CD9C6A" w14:textId="21207EBD" w:rsidR="00095D6B" w:rsidRPr="00A26EDE" w:rsidRDefault="00095D6B" w:rsidP="00095D6B">
            <w:pPr>
              <w:rPr>
                <w:rFonts w:ascii="Arial" w:hAnsi="Arial" w:cs="Arial"/>
                <w:sz w:val="20"/>
                <w:lang w:val="en-US"/>
              </w:rPr>
            </w:pPr>
            <w:r w:rsidRPr="00A26EDE">
              <w:rPr>
                <w:rFonts w:ascii="Arial" w:hAnsi="Arial" w:cs="Arial"/>
                <w:sz w:val="20"/>
                <w:lang w:val="en-US"/>
              </w:rPr>
              <w:t>As per the clause 6 changes in the baseline (read 6.5.1), Link disable primitives are redundant relative to the frames and elements documented in clause 9. Furthermore, there is already a table entry in 6.1 which references clause 9.</w:t>
            </w:r>
          </w:p>
        </w:tc>
        <w:tc>
          <w:tcPr>
            <w:tcW w:w="3415" w:type="dxa"/>
          </w:tcPr>
          <w:p w14:paraId="04F6795C" w14:textId="76AACE3B" w:rsidR="00095D6B" w:rsidRPr="00A26EDE" w:rsidRDefault="00095D6B" w:rsidP="00095D6B">
            <w:pPr>
              <w:rPr>
                <w:rFonts w:ascii="Arial" w:hAnsi="Arial" w:cs="Arial"/>
                <w:sz w:val="20"/>
                <w:lang w:val="en-US"/>
              </w:rPr>
            </w:pPr>
            <w:r w:rsidRPr="00A26EDE">
              <w:rPr>
                <w:rFonts w:ascii="Arial" w:hAnsi="Arial" w:cs="Arial"/>
                <w:sz w:val="20"/>
                <w:lang w:val="en-US"/>
              </w:rPr>
              <w:t xml:space="preserve">Remove 6.5.24d and all sub-clauses. NOTE to Editor. There are no cross-references to </w:t>
            </w:r>
            <w:proofErr w:type="gramStart"/>
            <w:r w:rsidRPr="00A26EDE">
              <w:rPr>
                <w:rFonts w:ascii="Arial" w:hAnsi="Arial" w:cs="Arial"/>
                <w:sz w:val="20"/>
                <w:lang w:val="en-US"/>
              </w:rPr>
              <w:t>this clauses</w:t>
            </w:r>
            <w:proofErr w:type="gramEnd"/>
            <w:r w:rsidRPr="00A26EDE">
              <w:rPr>
                <w:rFonts w:ascii="Arial" w:hAnsi="Arial" w:cs="Arial"/>
                <w:sz w:val="20"/>
                <w:lang w:val="en-US"/>
              </w:rPr>
              <w:t xml:space="preserve"> in the remainder of the specification.</w:t>
            </w:r>
          </w:p>
        </w:tc>
      </w:tr>
      <w:tr w:rsidR="00095D6B" w:rsidRPr="00FE338E" w14:paraId="40CB9F7D" w14:textId="77777777" w:rsidTr="00AC7B37">
        <w:trPr>
          <w:trHeight w:val="855"/>
        </w:trPr>
        <w:tc>
          <w:tcPr>
            <w:tcW w:w="773" w:type="dxa"/>
            <w:noWrap/>
          </w:tcPr>
          <w:p w14:paraId="3DF528F0" w14:textId="5EB248E3" w:rsidR="00095D6B" w:rsidRPr="00A26EDE" w:rsidRDefault="00095D6B" w:rsidP="00095D6B">
            <w:pPr>
              <w:rPr>
                <w:rFonts w:ascii="Arial" w:hAnsi="Arial" w:cs="Arial"/>
                <w:sz w:val="20"/>
                <w:lang w:val="en-US"/>
              </w:rPr>
            </w:pPr>
            <w:r w:rsidRPr="00A26EDE">
              <w:rPr>
                <w:rFonts w:ascii="Arial" w:hAnsi="Arial" w:cs="Arial"/>
                <w:sz w:val="20"/>
                <w:lang w:val="en-US"/>
              </w:rPr>
              <w:t>19483</w:t>
            </w:r>
          </w:p>
        </w:tc>
        <w:tc>
          <w:tcPr>
            <w:tcW w:w="1139" w:type="dxa"/>
            <w:noWrap/>
          </w:tcPr>
          <w:p w14:paraId="0130513D" w14:textId="78A31B6E" w:rsidR="00095D6B" w:rsidRPr="00A26EDE" w:rsidRDefault="00095D6B" w:rsidP="00095D6B">
            <w:pPr>
              <w:rPr>
                <w:rFonts w:ascii="Arial" w:hAnsi="Arial" w:cs="Arial"/>
                <w:sz w:val="20"/>
                <w:lang w:val="en-US"/>
              </w:rPr>
            </w:pPr>
            <w:r w:rsidRPr="00A26EDE">
              <w:rPr>
                <w:rFonts w:ascii="Arial" w:hAnsi="Arial" w:cs="Arial"/>
                <w:sz w:val="20"/>
                <w:lang w:val="en-US"/>
              </w:rPr>
              <w:t>6.5.24e</w:t>
            </w:r>
          </w:p>
        </w:tc>
        <w:tc>
          <w:tcPr>
            <w:tcW w:w="730" w:type="dxa"/>
            <w:noWrap/>
          </w:tcPr>
          <w:p w14:paraId="35A940AA" w14:textId="24604B8A" w:rsidR="00095D6B" w:rsidRPr="00A26EDE" w:rsidRDefault="00095D6B" w:rsidP="00095D6B">
            <w:pPr>
              <w:rPr>
                <w:rFonts w:ascii="Arial" w:hAnsi="Arial" w:cs="Arial"/>
                <w:sz w:val="20"/>
                <w:lang w:val="en-US"/>
              </w:rPr>
            </w:pPr>
            <w:r w:rsidRPr="00A26EDE">
              <w:rPr>
                <w:rFonts w:ascii="Arial" w:hAnsi="Arial" w:cs="Arial"/>
                <w:sz w:val="20"/>
                <w:lang w:val="en-US"/>
              </w:rPr>
              <w:t>110</w:t>
            </w:r>
          </w:p>
        </w:tc>
        <w:tc>
          <w:tcPr>
            <w:tcW w:w="773" w:type="dxa"/>
          </w:tcPr>
          <w:p w14:paraId="392299BE" w14:textId="1D3EBB49" w:rsidR="00095D6B" w:rsidRPr="00A26EDE" w:rsidRDefault="00095D6B" w:rsidP="00095D6B">
            <w:pPr>
              <w:rPr>
                <w:rFonts w:ascii="Arial" w:hAnsi="Arial" w:cs="Arial"/>
                <w:sz w:val="20"/>
                <w:lang w:val="en-US"/>
              </w:rPr>
            </w:pPr>
            <w:r w:rsidRPr="00A26EDE">
              <w:rPr>
                <w:rFonts w:ascii="Arial" w:hAnsi="Arial" w:cs="Arial"/>
                <w:sz w:val="20"/>
                <w:lang w:val="en-US"/>
              </w:rPr>
              <w:t>12</w:t>
            </w:r>
          </w:p>
        </w:tc>
        <w:tc>
          <w:tcPr>
            <w:tcW w:w="3240" w:type="dxa"/>
          </w:tcPr>
          <w:p w14:paraId="7F70E71C" w14:textId="0AA3A44F" w:rsidR="00095D6B" w:rsidRPr="00A26EDE" w:rsidRDefault="00095D6B" w:rsidP="00095D6B">
            <w:pPr>
              <w:rPr>
                <w:rFonts w:ascii="Arial" w:hAnsi="Arial" w:cs="Arial"/>
                <w:sz w:val="20"/>
                <w:lang w:val="en-US"/>
              </w:rPr>
            </w:pPr>
            <w:r w:rsidRPr="00A26EDE">
              <w:rPr>
                <w:rFonts w:ascii="Arial" w:hAnsi="Arial" w:cs="Arial"/>
                <w:sz w:val="20"/>
                <w:lang w:val="en-US"/>
              </w:rPr>
              <w:t>As per the clause 6 changes in the baseline (read 6.5.1), Link enable primitives are redundant relative to the frames and elements documented in clause 9. Furthermore, there is already a table entry in 6.1 which references clause 9.</w:t>
            </w:r>
          </w:p>
        </w:tc>
        <w:tc>
          <w:tcPr>
            <w:tcW w:w="3415" w:type="dxa"/>
          </w:tcPr>
          <w:p w14:paraId="295F1C41" w14:textId="42E3146F" w:rsidR="00095D6B" w:rsidRPr="00A26EDE" w:rsidRDefault="00095D6B" w:rsidP="00095D6B">
            <w:pPr>
              <w:rPr>
                <w:rFonts w:ascii="Arial" w:hAnsi="Arial" w:cs="Arial"/>
                <w:sz w:val="20"/>
                <w:lang w:val="en-US"/>
              </w:rPr>
            </w:pPr>
            <w:r w:rsidRPr="00A26EDE">
              <w:rPr>
                <w:rFonts w:ascii="Arial" w:hAnsi="Arial" w:cs="Arial"/>
                <w:sz w:val="20"/>
                <w:lang w:val="en-US"/>
              </w:rPr>
              <w:t xml:space="preserve">Remove 6.5.24e and all sub-clauses. NOTE to Editor. There are no cross-references to </w:t>
            </w:r>
            <w:proofErr w:type="gramStart"/>
            <w:r w:rsidRPr="00A26EDE">
              <w:rPr>
                <w:rFonts w:ascii="Arial" w:hAnsi="Arial" w:cs="Arial"/>
                <w:sz w:val="20"/>
                <w:lang w:val="en-US"/>
              </w:rPr>
              <w:t>this clauses</w:t>
            </w:r>
            <w:proofErr w:type="gramEnd"/>
            <w:r w:rsidRPr="00A26EDE">
              <w:rPr>
                <w:rFonts w:ascii="Arial" w:hAnsi="Arial" w:cs="Arial"/>
                <w:sz w:val="20"/>
                <w:lang w:val="en-US"/>
              </w:rPr>
              <w:t xml:space="preserve"> in the remainder of the specification.</w:t>
            </w:r>
          </w:p>
        </w:tc>
      </w:tr>
      <w:tr w:rsidR="00095D6B" w:rsidRPr="00FE338E" w14:paraId="51F1C5AC" w14:textId="77777777" w:rsidTr="00AC7B37">
        <w:trPr>
          <w:trHeight w:val="855"/>
        </w:trPr>
        <w:tc>
          <w:tcPr>
            <w:tcW w:w="773" w:type="dxa"/>
            <w:noWrap/>
          </w:tcPr>
          <w:p w14:paraId="21045A80" w14:textId="43392D5A" w:rsidR="00095D6B" w:rsidRPr="00A26EDE" w:rsidRDefault="00095D6B" w:rsidP="00095D6B">
            <w:pPr>
              <w:rPr>
                <w:rFonts w:ascii="Arial" w:hAnsi="Arial" w:cs="Arial"/>
                <w:sz w:val="20"/>
                <w:lang w:val="en-US"/>
              </w:rPr>
            </w:pPr>
            <w:r w:rsidRPr="00A26EDE">
              <w:rPr>
                <w:rFonts w:ascii="Arial" w:hAnsi="Arial" w:cs="Arial"/>
                <w:sz w:val="20"/>
                <w:lang w:val="en-US"/>
              </w:rPr>
              <w:t>19484</w:t>
            </w:r>
          </w:p>
        </w:tc>
        <w:tc>
          <w:tcPr>
            <w:tcW w:w="1139" w:type="dxa"/>
            <w:noWrap/>
          </w:tcPr>
          <w:p w14:paraId="3F10B3BF" w14:textId="038DB5AF" w:rsidR="00095D6B" w:rsidRPr="00A26EDE" w:rsidRDefault="00095D6B" w:rsidP="00095D6B">
            <w:pPr>
              <w:rPr>
                <w:rFonts w:ascii="Arial" w:hAnsi="Arial" w:cs="Arial"/>
                <w:sz w:val="20"/>
                <w:lang w:val="en-US"/>
              </w:rPr>
            </w:pPr>
            <w:r w:rsidRPr="00A26EDE">
              <w:rPr>
                <w:rFonts w:ascii="Arial" w:hAnsi="Arial" w:cs="Arial"/>
                <w:sz w:val="20"/>
                <w:lang w:val="en-US"/>
              </w:rPr>
              <w:t>6.5.24f</w:t>
            </w:r>
          </w:p>
        </w:tc>
        <w:tc>
          <w:tcPr>
            <w:tcW w:w="730" w:type="dxa"/>
            <w:noWrap/>
          </w:tcPr>
          <w:p w14:paraId="7ECC78A8" w14:textId="6E7FA1D6" w:rsidR="00095D6B" w:rsidRPr="00A26EDE" w:rsidRDefault="00095D6B" w:rsidP="00095D6B">
            <w:pPr>
              <w:rPr>
                <w:rFonts w:ascii="Arial" w:hAnsi="Arial" w:cs="Arial"/>
                <w:sz w:val="20"/>
                <w:lang w:val="en-US"/>
              </w:rPr>
            </w:pPr>
            <w:r w:rsidRPr="00A26EDE">
              <w:rPr>
                <w:rFonts w:ascii="Arial" w:hAnsi="Arial" w:cs="Arial"/>
                <w:sz w:val="20"/>
                <w:lang w:val="en-US"/>
              </w:rPr>
              <w:t>111</w:t>
            </w:r>
          </w:p>
        </w:tc>
        <w:tc>
          <w:tcPr>
            <w:tcW w:w="773" w:type="dxa"/>
          </w:tcPr>
          <w:p w14:paraId="053DAFCF" w14:textId="31706F7A" w:rsidR="00095D6B" w:rsidRPr="00A26EDE" w:rsidRDefault="00095D6B" w:rsidP="00095D6B">
            <w:pPr>
              <w:rPr>
                <w:rFonts w:ascii="Arial" w:hAnsi="Arial" w:cs="Arial"/>
                <w:sz w:val="20"/>
                <w:lang w:val="en-US"/>
              </w:rPr>
            </w:pPr>
            <w:r w:rsidRPr="00A26EDE">
              <w:rPr>
                <w:rFonts w:ascii="Arial" w:hAnsi="Arial" w:cs="Arial"/>
                <w:sz w:val="20"/>
                <w:lang w:val="en-US"/>
              </w:rPr>
              <w:t>34</w:t>
            </w:r>
          </w:p>
        </w:tc>
        <w:tc>
          <w:tcPr>
            <w:tcW w:w="3240" w:type="dxa"/>
          </w:tcPr>
          <w:p w14:paraId="2A8E4588" w14:textId="417161FA" w:rsidR="00095D6B" w:rsidRPr="00A26EDE" w:rsidRDefault="00095D6B" w:rsidP="00095D6B">
            <w:pPr>
              <w:rPr>
                <w:rFonts w:ascii="Arial" w:hAnsi="Arial" w:cs="Arial"/>
                <w:sz w:val="20"/>
                <w:lang w:val="en-US"/>
              </w:rPr>
            </w:pPr>
            <w:r w:rsidRPr="00A26EDE">
              <w:rPr>
                <w:rFonts w:ascii="Arial" w:hAnsi="Arial" w:cs="Arial"/>
                <w:sz w:val="20"/>
                <w:lang w:val="en-US"/>
              </w:rPr>
              <w:t>As per the clause 6 changes in the baseline (read 6.5.1), AP removal primitives are redundant relative to the frames and elements documented in clause 9. Furthermore, there is already a table entry in 6.1 which references clause 9.</w:t>
            </w:r>
          </w:p>
        </w:tc>
        <w:tc>
          <w:tcPr>
            <w:tcW w:w="3415" w:type="dxa"/>
          </w:tcPr>
          <w:p w14:paraId="2F0E4820" w14:textId="35C898AD" w:rsidR="00095D6B" w:rsidRPr="00A26EDE" w:rsidRDefault="00095D6B" w:rsidP="00095D6B">
            <w:pPr>
              <w:rPr>
                <w:rFonts w:ascii="Arial" w:hAnsi="Arial" w:cs="Arial"/>
                <w:sz w:val="20"/>
                <w:lang w:val="en-US"/>
              </w:rPr>
            </w:pPr>
            <w:r w:rsidRPr="00A26EDE">
              <w:rPr>
                <w:rFonts w:ascii="Arial" w:hAnsi="Arial" w:cs="Arial"/>
                <w:sz w:val="20"/>
                <w:lang w:val="en-US"/>
              </w:rPr>
              <w:t xml:space="preserve">Remove 6.5.24f and all sub-clauses. NOTE to Editor. There are no cross-references to </w:t>
            </w:r>
            <w:proofErr w:type="gramStart"/>
            <w:r w:rsidRPr="00A26EDE">
              <w:rPr>
                <w:rFonts w:ascii="Arial" w:hAnsi="Arial" w:cs="Arial"/>
                <w:sz w:val="20"/>
                <w:lang w:val="en-US"/>
              </w:rPr>
              <w:t>this clauses</w:t>
            </w:r>
            <w:proofErr w:type="gramEnd"/>
            <w:r w:rsidRPr="00A26EDE">
              <w:rPr>
                <w:rFonts w:ascii="Arial" w:hAnsi="Arial" w:cs="Arial"/>
                <w:sz w:val="20"/>
                <w:lang w:val="en-US"/>
              </w:rPr>
              <w:t xml:space="preserve"> in the remainder of the specification.</w:t>
            </w:r>
          </w:p>
        </w:tc>
      </w:tr>
    </w:tbl>
    <w:p w14:paraId="77313403" w14:textId="77777777" w:rsidR="00095D6B" w:rsidRDefault="00095D6B" w:rsidP="00095D6B"/>
    <w:p w14:paraId="35A55E43" w14:textId="57A21F40" w:rsidR="00095D6B" w:rsidRPr="00A56017" w:rsidRDefault="00095D6B" w:rsidP="00095D6B">
      <w:r>
        <w:t xml:space="preserve">Similar to discussion just above, for CIDs </w:t>
      </w:r>
      <w:r w:rsidRPr="00A26EDE">
        <w:t>19619</w:t>
      </w:r>
      <w:r w:rsidRPr="00A56017">
        <w:t>, 19479, 19480 and 19481, However there is an important difference for subclauses …24d, 24e and 24f.</w:t>
      </w:r>
    </w:p>
    <w:p w14:paraId="0195D1B1" w14:textId="6B9A14F1" w:rsidR="00095D6B" w:rsidRPr="00A56017" w:rsidRDefault="00095D6B" w:rsidP="00095D6B"/>
    <w:p w14:paraId="68E8255C" w14:textId="77777777" w:rsidR="00095D6B" w:rsidRPr="00A56017" w:rsidRDefault="00095D6B" w:rsidP="00095D6B">
      <w:r w:rsidRPr="00A56017">
        <w:t xml:space="preserve">Per below, note that these primitives do not (directly) generate an 802.11 MAC frame, which matches the primitive.  </w:t>
      </w:r>
    </w:p>
    <w:p w14:paraId="49FB616B" w14:textId="10A750EE" w:rsidR="00095D6B" w:rsidRDefault="00095D6B" w:rsidP="00095D6B">
      <w:pPr>
        <w:pBdr>
          <w:top w:val="single" w:sz="4" w:space="1" w:color="auto"/>
          <w:left w:val="single" w:sz="4" w:space="4" w:color="auto"/>
          <w:bottom w:val="single" w:sz="4" w:space="1" w:color="auto"/>
          <w:right w:val="single" w:sz="4" w:space="4" w:color="auto"/>
        </w:pBdr>
        <w:rPr>
          <w:rFonts w:ascii="Arial" w:hAnsi="Arial" w:cs="Arial"/>
          <w:sz w:val="20"/>
          <w:lang w:val="en-US"/>
        </w:rPr>
      </w:pPr>
      <w:r>
        <w:rPr>
          <w:rFonts w:ascii="Arial" w:hAnsi="Arial" w:cs="Arial"/>
          <w:noProof/>
          <w:sz w:val="20"/>
          <w:lang w:val="en-US"/>
        </w:rPr>
        <w:drawing>
          <wp:inline distT="0" distB="0" distL="0" distR="0" wp14:anchorId="69F9FF5B" wp14:editId="792AA135">
            <wp:extent cx="6391275" cy="11334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91275" cy="1133475"/>
                    </a:xfrm>
                    <a:prstGeom prst="rect">
                      <a:avLst/>
                    </a:prstGeom>
                    <a:noFill/>
                    <a:ln>
                      <a:noFill/>
                    </a:ln>
                  </pic:spPr>
                </pic:pic>
              </a:graphicData>
            </a:graphic>
          </wp:inline>
        </w:drawing>
      </w:r>
    </w:p>
    <w:p w14:paraId="4A289B0C" w14:textId="757105AA" w:rsidR="00095D6B" w:rsidRDefault="00095D6B" w:rsidP="00095D6B">
      <w:pPr>
        <w:rPr>
          <w:rFonts w:ascii="Arial" w:hAnsi="Arial" w:cs="Arial"/>
          <w:sz w:val="20"/>
          <w:lang w:val="en-US"/>
        </w:rPr>
      </w:pPr>
    </w:p>
    <w:p w14:paraId="0BF33A7B" w14:textId="61A9E609" w:rsidR="00095D6B" w:rsidRDefault="00095D6B" w:rsidP="00095D6B">
      <w:pPr>
        <w:pBdr>
          <w:top w:val="single" w:sz="4" w:space="1" w:color="auto"/>
          <w:left w:val="single" w:sz="4" w:space="4" w:color="auto"/>
          <w:bottom w:val="single" w:sz="4" w:space="1" w:color="auto"/>
          <w:right w:val="single" w:sz="4" w:space="4" w:color="auto"/>
        </w:pBdr>
        <w:rPr>
          <w:rFonts w:ascii="Arial" w:hAnsi="Arial" w:cs="Arial"/>
          <w:sz w:val="20"/>
          <w:lang w:val="en-US"/>
        </w:rPr>
      </w:pPr>
      <w:r>
        <w:rPr>
          <w:rFonts w:ascii="Arial" w:hAnsi="Arial" w:cs="Arial"/>
          <w:noProof/>
          <w:sz w:val="20"/>
          <w:lang w:val="en-US"/>
        </w:rPr>
        <w:drawing>
          <wp:inline distT="0" distB="0" distL="0" distR="0" wp14:anchorId="6023331E" wp14:editId="6453106C">
            <wp:extent cx="640080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1276350"/>
                    </a:xfrm>
                    <a:prstGeom prst="rect">
                      <a:avLst/>
                    </a:prstGeom>
                    <a:noFill/>
                    <a:ln>
                      <a:noFill/>
                    </a:ln>
                  </pic:spPr>
                </pic:pic>
              </a:graphicData>
            </a:graphic>
          </wp:inline>
        </w:drawing>
      </w:r>
    </w:p>
    <w:p w14:paraId="768669BF" w14:textId="77777777" w:rsidR="00095D6B" w:rsidRDefault="00095D6B" w:rsidP="00095D6B">
      <w:pPr>
        <w:rPr>
          <w:rFonts w:ascii="Arial" w:hAnsi="Arial" w:cs="Arial"/>
          <w:sz w:val="20"/>
          <w:lang w:val="en-US"/>
        </w:rPr>
      </w:pPr>
    </w:p>
    <w:p w14:paraId="112250C0" w14:textId="43D0EE91" w:rsidR="00095D6B" w:rsidRPr="00A56017" w:rsidRDefault="00095D6B" w:rsidP="00095D6B">
      <w:r w:rsidRPr="00A56017">
        <w:t xml:space="preserve">Per the introduction to 6.5, those </w:t>
      </w:r>
      <w:proofErr w:type="spellStart"/>
      <w:r w:rsidRPr="00A56017">
        <w:t>primivites</w:t>
      </w:r>
      <w:proofErr w:type="spellEnd"/>
      <w:r w:rsidRPr="00A56017">
        <w:t xml:space="preserve"> which are not obviously described based simply by looking at the frame exchange to which they relate, should be detailed as a subclause in 6.5.</w:t>
      </w:r>
    </w:p>
    <w:p w14:paraId="415D07AB" w14:textId="28FC008B" w:rsidR="006F6C7D" w:rsidRPr="00A56017" w:rsidRDefault="006F6C7D" w:rsidP="00095D6B"/>
    <w:p w14:paraId="66AD8AAB" w14:textId="7D95350F" w:rsidR="006F6C7D" w:rsidRPr="00A56017" w:rsidRDefault="006F6C7D" w:rsidP="00095D6B">
      <w:r w:rsidRPr="00A56017">
        <w:t xml:space="preserve">The primitives in …24d, 24e and 24f are all of the type that do not map obviously to/from a simple frame transmission/reception.  Thus, they are appropriate to list out in detail in subclause </w:t>
      </w:r>
      <w:proofErr w:type="gramStart"/>
      <w:r w:rsidRPr="00A56017">
        <w:t>6.5</w:t>
      </w:r>
      <w:proofErr w:type="gramEnd"/>
    </w:p>
    <w:p w14:paraId="6021812D" w14:textId="00657797" w:rsidR="006F6C7D" w:rsidRPr="00A56017" w:rsidRDefault="006F6C7D" w:rsidP="00095D6B"/>
    <w:p w14:paraId="4FA97FF8" w14:textId="4BC44485" w:rsidR="006F6C7D" w:rsidRPr="00A56017" w:rsidRDefault="006F6C7D" w:rsidP="00095D6B">
      <w:r w:rsidRPr="00A56017">
        <w:lastRenderedPageBreak/>
        <w:t>However, when this is the situation, that the primitive is more complex, then the subclause of 6.5 with the primitive details should be referenced in Table 6-1, rather than just a cross-reference to some frame that happens to be a (small) part of the procedure.  So, Table 6-1 entries for these primitives should be updated to cross-reference these 6.5 subclauses, similar to the entries for Event (and subclauses 6.5.18, 6.5.19, 6.5.20), or On-channel Tunneling (and subclause 6.5.21).</w:t>
      </w:r>
    </w:p>
    <w:p w14:paraId="241DFDE5" w14:textId="77777777" w:rsidR="00095D6B" w:rsidRPr="00A56017" w:rsidRDefault="00095D6B" w:rsidP="00095D6B"/>
    <w:p w14:paraId="2DA1ED98" w14:textId="77777777" w:rsidR="00095D6B" w:rsidRPr="003F5B29" w:rsidRDefault="00095D6B" w:rsidP="00095D6B">
      <w:pPr>
        <w:rPr>
          <w:b/>
          <w:bCs/>
          <w:u w:val="single"/>
        </w:rPr>
      </w:pPr>
      <w:r w:rsidRPr="003F5B29">
        <w:rPr>
          <w:b/>
          <w:bCs/>
          <w:u w:val="single"/>
        </w:rPr>
        <w:t>Proposed Resolution:</w:t>
      </w:r>
    </w:p>
    <w:p w14:paraId="3824AAEC" w14:textId="57D89AFC" w:rsidR="00095D6B" w:rsidRPr="00A56017" w:rsidRDefault="00095D6B" w:rsidP="00095D6B">
      <w:r w:rsidRPr="0049384C">
        <w:rPr>
          <w:highlight w:val="green"/>
        </w:rPr>
        <w:t>Revised.</w:t>
      </w:r>
    </w:p>
    <w:p w14:paraId="2BBE978E" w14:textId="6B564ECA" w:rsidR="00095D6B" w:rsidRPr="00A56017" w:rsidRDefault="006F6C7D" w:rsidP="00095D6B">
      <w:r w:rsidRPr="00A56017">
        <w:t>Modify the rows in Table 6-1, as shown:</w:t>
      </w:r>
    </w:p>
    <w:tbl>
      <w:tblPr>
        <w:tblStyle w:val="TableGrid"/>
        <w:tblW w:w="0" w:type="auto"/>
        <w:tblLook w:val="04A0" w:firstRow="1" w:lastRow="0" w:firstColumn="1" w:lastColumn="0" w:noHBand="0" w:noVBand="1"/>
      </w:tblPr>
      <w:tblGrid>
        <w:gridCol w:w="2014"/>
        <w:gridCol w:w="2014"/>
        <w:gridCol w:w="2014"/>
        <w:gridCol w:w="2014"/>
        <w:gridCol w:w="2014"/>
      </w:tblGrid>
      <w:tr w:rsidR="006F6C7D" w14:paraId="69DA6D72" w14:textId="77777777" w:rsidTr="006F6C7D">
        <w:tc>
          <w:tcPr>
            <w:tcW w:w="2014" w:type="dxa"/>
          </w:tcPr>
          <w:p w14:paraId="4A3CEB8A" w14:textId="7EBD6630" w:rsidR="006F6C7D" w:rsidRDefault="006F6C7D" w:rsidP="00095D6B">
            <w:pPr>
              <w:rPr>
                <w:rFonts w:ascii="Arial" w:hAnsi="Arial" w:cs="Arial"/>
                <w:sz w:val="20"/>
                <w:lang w:val="en-US"/>
              </w:rPr>
            </w:pPr>
            <w:r>
              <w:rPr>
                <w:rFonts w:ascii="Arial" w:hAnsi="Arial" w:cs="Arial"/>
                <w:sz w:val="20"/>
                <w:lang w:val="en-US"/>
              </w:rPr>
              <w:t>Service Name</w:t>
            </w:r>
          </w:p>
        </w:tc>
        <w:tc>
          <w:tcPr>
            <w:tcW w:w="2014" w:type="dxa"/>
          </w:tcPr>
          <w:p w14:paraId="1E24FA28" w14:textId="50554BDB" w:rsidR="006F6C7D" w:rsidRDefault="006F6C7D" w:rsidP="00095D6B">
            <w:pPr>
              <w:rPr>
                <w:rFonts w:ascii="Arial" w:hAnsi="Arial" w:cs="Arial"/>
                <w:sz w:val="20"/>
                <w:lang w:val="en-US"/>
              </w:rPr>
            </w:pPr>
            <w:r>
              <w:rPr>
                <w:rFonts w:ascii="Arial" w:hAnsi="Arial" w:cs="Arial"/>
                <w:sz w:val="20"/>
                <w:lang w:val="en-US"/>
              </w:rPr>
              <w:t>MLME-XXX</w:t>
            </w:r>
          </w:p>
        </w:tc>
        <w:tc>
          <w:tcPr>
            <w:tcW w:w="2014" w:type="dxa"/>
          </w:tcPr>
          <w:p w14:paraId="0B9D8F06" w14:textId="12968253" w:rsidR="006F6C7D" w:rsidRDefault="006F6C7D" w:rsidP="00095D6B">
            <w:pPr>
              <w:rPr>
                <w:rFonts w:ascii="Arial" w:hAnsi="Arial" w:cs="Arial"/>
                <w:sz w:val="20"/>
                <w:lang w:val="en-US"/>
              </w:rPr>
            </w:pPr>
            <w:r>
              <w:rPr>
                <w:rFonts w:ascii="Arial" w:hAnsi="Arial" w:cs="Arial"/>
                <w:sz w:val="20"/>
                <w:lang w:val="en-US"/>
              </w:rPr>
              <w:t>Type</w:t>
            </w:r>
          </w:p>
        </w:tc>
        <w:tc>
          <w:tcPr>
            <w:tcW w:w="2014" w:type="dxa"/>
          </w:tcPr>
          <w:p w14:paraId="36849F63" w14:textId="34784354" w:rsidR="006F6C7D" w:rsidRDefault="006F6C7D" w:rsidP="00095D6B">
            <w:pPr>
              <w:rPr>
                <w:rFonts w:ascii="Arial" w:hAnsi="Arial" w:cs="Arial"/>
                <w:sz w:val="20"/>
                <w:lang w:val="en-US"/>
              </w:rPr>
            </w:pPr>
            <w:r>
              <w:rPr>
                <w:rFonts w:ascii="Arial" w:hAnsi="Arial" w:cs="Arial"/>
                <w:sz w:val="20"/>
                <w:lang w:val="en-US"/>
              </w:rPr>
              <w:t>References</w:t>
            </w:r>
          </w:p>
        </w:tc>
        <w:tc>
          <w:tcPr>
            <w:tcW w:w="2014" w:type="dxa"/>
          </w:tcPr>
          <w:p w14:paraId="18E37A60" w14:textId="6490A268" w:rsidR="006F6C7D" w:rsidRDefault="006F6C7D" w:rsidP="00095D6B">
            <w:pPr>
              <w:rPr>
                <w:rFonts w:ascii="Arial" w:hAnsi="Arial" w:cs="Arial"/>
                <w:sz w:val="20"/>
                <w:lang w:val="en-US"/>
              </w:rPr>
            </w:pPr>
            <w:r>
              <w:rPr>
                <w:rFonts w:ascii="Arial" w:hAnsi="Arial" w:cs="Arial"/>
                <w:sz w:val="20"/>
                <w:lang w:val="en-US"/>
              </w:rPr>
              <w:t>Comments</w:t>
            </w:r>
          </w:p>
        </w:tc>
      </w:tr>
      <w:tr w:rsidR="006F6C7D" w14:paraId="1A81B3BE" w14:textId="77777777" w:rsidTr="006F6C7D">
        <w:tc>
          <w:tcPr>
            <w:tcW w:w="2014" w:type="dxa"/>
          </w:tcPr>
          <w:p w14:paraId="7BA58D92" w14:textId="5285E024" w:rsidR="006F6C7D" w:rsidRDefault="006F6C7D" w:rsidP="00095D6B">
            <w:pPr>
              <w:rPr>
                <w:rFonts w:ascii="Arial" w:hAnsi="Arial" w:cs="Arial"/>
                <w:sz w:val="20"/>
                <w:lang w:val="en-US"/>
              </w:rPr>
            </w:pPr>
            <w:r>
              <w:rPr>
                <w:rFonts w:ascii="Arial" w:hAnsi="Arial" w:cs="Arial"/>
                <w:sz w:val="20"/>
                <w:lang w:val="en-US"/>
              </w:rPr>
              <w:t>Link disable</w:t>
            </w:r>
          </w:p>
        </w:tc>
        <w:tc>
          <w:tcPr>
            <w:tcW w:w="2014" w:type="dxa"/>
          </w:tcPr>
          <w:p w14:paraId="19350E1B" w14:textId="3642A1F6" w:rsidR="006F6C7D" w:rsidRDefault="006F6C7D" w:rsidP="00095D6B">
            <w:pPr>
              <w:rPr>
                <w:rFonts w:ascii="Arial" w:hAnsi="Arial" w:cs="Arial"/>
                <w:sz w:val="20"/>
                <w:lang w:val="en-US"/>
              </w:rPr>
            </w:pPr>
            <w:r>
              <w:rPr>
                <w:rFonts w:ascii="Arial" w:hAnsi="Arial" w:cs="Arial"/>
                <w:sz w:val="20"/>
                <w:lang w:val="en-US"/>
              </w:rPr>
              <w:t>BSS-LINK-DISABLE</w:t>
            </w:r>
          </w:p>
        </w:tc>
        <w:tc>
          <w:tcPr>
            <w:tcW w:w="2014" w:type="dxa"/>
          </w:tcPr>
          <w:p w14:paraId="236AE339" w14:textId="354C28BE" w:rsidR="006F6C7D" w:rsidRDefault="006F6C7D" w:rsidP="00095D6B">
            <w:pPr>
              <w:rPr>
                <w:rFonts w:ascii="Arial" w:hAnsi="Arial" w:cs="Arial"/>
                <w:sz w:val="20"/>
                <w:lang w:val="en-US"/>
              </w:rPr>
            </w:pPr>
            <w:r>
              <w:rPr>
                <w:rFonts w:ascii="Arial" w:hAnsi="Arial" w:cs="Arial"/>
                <w:sz w:val="20"/>
                <w:lang w:val="en-US"/>
              </w:rPr>
              <w:t>4</w:t>
            </w:r>
          </w:p>
        </w:tc>
        <w:tc>
          <w:tcPr>
            <w:tcW w:w="2014" w:type="dxa"/>
          </w:tcPr>
          <w:p w14:paraId="569BCB23" w14:textId="61CB3999" w:rsidR="006F6C7D" w:rsidRPr="006F6C7D" w:rsidRDefault="006F6C7D" w:rsidP="00095D6B">
            <w:pPr>
              <w:rPr>
                <w:rFonts w:ascii="Arial" w:hAnsi="Arial" w:cs="Arial"/>
                <w:sz w:val="20"/>
                <w:u w:val="single"/>
                <w:lang w:val="en-US"/>
              </w:rPr>
            </w:pPr>
            <w:r w:rsidRPr="006F6C7D">
              <w:rPr>
                <w:rFonts w:ascii="Arial" w:hAnsi="Arial" w:cs="Arial"/>
                <w:strike/>
                <w:sz w:val="20"/>
                <w:lang w:val="en-US"/>
              </w:rPr>
              <w:t>9.6.35.9 (Link Recommendation frame format)</w:t>
            </w:r>
            <w:r>
              <w:rPr>
                <w:rFonts w:ascii="Arial" w:hAnsi="Arial" w:cs="Arial"/>
                <w:sz w:val="20"/>
                <w:u w:val="single"/>
                <w:lang w:val="en-US"/>
              </w:rPr>
              <w:t xml:space="preserve"> </w:t>
            </w:r>
            <w:r w:rsidRPr="006F6C7D">
              <w:rPr>
                <w:rFonts w:ascii="Arial" w:hAnsi="Arial" w:cs="Arial"/>
                <w:sz w:val="20"/>
                <w:u w:val="single"/>
                <w:lang w:val="en-US"/>
              </w:rPr>
              <w:t>6.5.24d (Link disable)</w:t>
            </w:r>
          </w:p>
        </w:tc>
        <w:tc>
          <w:tcPr>
            <w:tcW w:w="2014" w:type="dxa"/>
            <w:vMerge w:val="restart"/>
          </w:tcPr>
          <w:p w14:paraId="31CCD7DB" w14:textId="774D18A7" w:rsidR="006F6C7D" w:rsidRDefault="006F6C7D" w:rsidP="00095D6B">
            <w:pPr>
              <w:rPr>
                <w:rFonts w:ascii="Arial" w:hAnsi="Arial" w:cs="Arial"/>
                <w:sz w:val="20"/>
                <w:lang w:val="en-US"/>
              </w:rPr>
            </w:pPr>
            <w:r>
              <w:rPr>
                <w:rFonts w:ascii="Arial" w:hAnsi="Arial" w:cs="Arial"/>
                <w:sz w:val="20"/>
                <w:lang w:val="en-US"/>
              </w:rPr>
              <w:t>See 35.3.7.5 (Affiliated AP link disablement and enablement)</w:t>
            </w:r>
          </w:p>
        </w:tc>
      </w:tr>
      <w:tr w:rsidR="006F6C7D" w14:paraId="578161BF" w14:textId="77777777" w:rsidTr="006F6C7D">
        <w:tc>
          <w:tcPr>
            <w:tcW w:w="2014" w:type="dxa"/>
          </w:tcPr>
          <w:p w14:paraId="7CD948ED" w14:textId="4118E7AF" w:rsidR="006F6C7D" w:rsidRDefault="006F6C7D" w:rsidP="00095D6B">
            <w:pPr>
              <w:rPr>
                <w:rFonts w:ascii="Arial" w:hAnsi="Arial" w:cs="Arial"/>
                <w:sz w:val="20"/>
                <w:lang w:val="en-US"/>
              </w:rPr>
            </w:pPr>
            <w:r>
              <w:rPr>
                <w:rFonts w:ascii="Arial" w:hAnsi="Arial" w:cs="Arial"/>
                <w:sz w:val="20"/>
                <w:lang w:val="en-US"/>
              </w:rPr>
              <w:t>Link enable</w:t>
            </w:r>
          </w:p>
        </w:tc>
        <w:tc>
          <w:tcPr>
            <w:tcW w:w="2014" w:type="dxa"/>
          </w:tcPr>
          <w:p w14:paraId="36CFA22F" w14:textId="650376D6" w:rsidR="006F6C7D" w:rsidRDefault="006F6C7D" w:rsidP="00095D6B">
            <w:pPr>
              <w:rPr>
                <w:rFonts w:ascii="Arial" w:hAnsi="Arial" w:cs="Arial"/>
                <w:sz w:val="20"/>
                <w:lang w:val="en-US"/>
              </w:rPr>
            </w:pPr>
            <w:r>
              <w:rPr>
                <w:rFonts w:ascii="Arial" w:hAnsi="Arial" w:cs="Arial"/>
                <w:sz w:val="20"/>
                <w:lang w:val="en-US"/>
              </w:rPr>
              <w:t>BSS-LINK-ENABLE</w:t>
            </w:r>
          </w:p>
        </w:tc>
        <w:tc>
          <w:tcPr>
            <w:tcW w:w="2014" w:type="dxa"/>
          </w:tcPr>
          <w:p w14:paraId="568DC91A" w14:textId="50F2CFCD" w:rsidR="006F6C7D" w:rsidRDefault="006F6C7D" w:rsidP="00095D6B">
            <w:pPr>
              <w:rPr>
                <w:rFonts w:ascii="Arial" w:hAnsi="Arial" w:cs="Arial"/>
                <w:sz w:val="20"/>
                <w:lang w:val="en-US"/>
              </w:rPr>
            </w:pPr>
            <w:r>
              <w:rPr>
                <w:rFonts w:ascii="Arial" w:hAnsi="Arial" w:cs="Arial"/>
                <w:sz w:val="20"/>
                <w:lang w:val="en-US"/>
              </w:rPr>
              <w:t>4</w:t>
            </w:r>
          </w:p>
        </w:tc>
        <w:tc>
          <w:tcPr>
            <w:tcW w:w="2014" w:type="dxa"/>
          </w:tcPr>
          <w:p w14:paraId="1868D718" w14:textId="2886FE14" w:rsidR="006F6C7D" w:rsidRPr="006F6C7D" w:rsidRDefault="006F6C7D" w:rsidP="00095D6B">
            <w:pPr>
              <w:rPr>
                <w:rFonts w:ascii="Arial" w:hAnsi="Arial" w:cs="Arial"/>
                <w:sz w:val="20"/>
                <w:u w:val="single"/>
                <w:lang w:val="en-US"/>
              </w:rPr>
            </w:pPr>
            <w:r w:rsidRPr="006F6C7D">
              <w:rPr>
                <w:rFonts w:ascii="Arial" w:hAnsi="Arial" w:cs="Arial"/>
                <w:sz w:val="20"/>
                <w:u w:val="single"/>
                <w:lang w:val="en-US"/>
              </w:rPr>
              <w:t>6.5.24e (Link enable)</w:t>
            </w:r>
          </w:p>
        </w:tc>
        <w:tc>
          <w:tcPr>
            <w:tcW w:w="2014" w:type="dxa"/>
            <w:vMerge/>
          </w:tcPr>
          <w:p w14:paraId="091075BC" w14:textId="77777777" w:rsidR="006F6C7D" w:rsidRDefault="006F6C7D" w:rsidP="00095D6B">
            <w:pPr>
              <w:rPr>
                <w:rFonts w:ascii="Arial" w:hAnsi="Arial" w:cs="Arial"/>
                <w:sz w:val="20"/>
                <w:lang w:val="en-US"/>
              </w:rPr>
            </w:pPr>
          </w:p>
        </w:tc>
      </w:tr>
      <w:tr w:rsidR="006F6C7D" w14:paraId="25021D98" w14:textId="77777777" w:rsidTr="006F6C7D">
        <w:tc>
          <w:tcPr>
            <w:tcW w:w="2014" w:type="dxa"/>
          </w:tcPr>
          <w:p w14:paraId="198FBBEC" w14:textId="6A9682AF" w:rsidR="006F6C7D" w:rsidRDefault="006F6C7D" w:rsidP="00095D6B">
            <w:pPr>
              <w:rPr>
                <w:rFonts w:ascii="Arial" w:hAnsi="Arial" w:cs="Arial"/>
                <w:sz w:val="20"/>
                <w:lang w:val="en-US"/>
              </w:rPr>
            </w:pPr>
            <w:r>
              <w:rPr>
                <w:rFonts w:ascii="Arial" w:hAnsi="Arial" w:cs="Arial"/>
                <w:sz w:val="20"/>
                <w:lang w:val="en-US"/>
              </w:rPr>
              <w:t>AP removal</w:t>
            </w:r>
          </w:p>
        </w:tc>
        <w:tc>
          <w:tcPr>
            <w:tcW w:w="2014" w:type="dxa"/>
          </w:tcPr>
          <w:p w14:paraId="3A2916EA" w14:textId="4362BF94" w:rsidR="006F6C7D" w:rsidRDefault="006F6C7D" w:rsidP="00095D6B">
            <w:pPr>
              <w:rPr>
                <w:rFonts w:ascii="Arial" w:hAnsi="Arial" w:cs="Arial"/>
                <w:sz w:val="20"/>
                <w:lang w:val="en-US"/>
              </w:rPr>
            </w:pPr>
            <w:r>
              <w:rPr>
                <w:rFonts w:ascii="Arial" w:hAnsi="Arial" w:cs="Arial"/>
                <w:sz w:val="20"/>
                <w:lang w:val="en-US"/>
              </w:rPr>
              <w:t>BSS-AP-REMOVAL</w:t>
            </w:r>
          </w:p>
        </w:tc>
        <w:tc>
          <w:tcPr>
            <w:tcW w:w="2014" w:type="dxa"/>
          </w:tcPr>
          <w:p w14:paraId="5560E21A" w14:textId="3E5C5912" w:rsidR="006F6C7D" w:rsidRDefault="006F6C7D" w:rsidP="00095D6B">
            <w:pPr>
              <w:rPr>
                <w:rFonts w:ascii="Arial" w:hAnsi="Arial" w:cs="Arial"/>
                <w:sz w:val="20"/>
                <w:lang w:val="en-US"/>
              </w:rPr>
            </w:pPr>
            <w:r>
              <w:rPr>
                <w:rFonts w:ascii="Arial" w:hAnsi="Arial" w:cs="Arial"/>
                <w:sz w:val="20"/>
                <w:lang w:val="en-US"/>
              </w:rPr>
              <w:t>4</w:t>
            </w:r>
          </w:p>
        </w:tc>
        <w:tc>
          <w:tcPr>
            <w:tcW w:w="2014" w:type="dxa"/>
          </w:tcPr>
          <w:p w14:paraId="00CEEA26" w14:textId="08CC269D" w:rsidR="006F6C7D" w:rsidRPr="006F6C7D" w:rsidRDefault="006F6C7D" w:rsidP="00095D6B">
            <w:pPr>
              <w:rPr>
                <w:rFonts w:ascii="Arial" w:hAnsi="Arial" w:cs="Arial"/>
                <w:sz w:val="20"/>
                <w:u w:val="single"/>
                <w:lang w:val="en-US"/>
              </w:rPr>
            </w:pPr>
            <w:r w:rsidRPr="006F6C7D">
              <w:rPr>
                <w:rFonts w:ascii="Arial" w:hAnsi="Arial" w:cs="Arial"/>
                <w:strike/>
                <w:sz w:val="20"/>
                <w:lang w:val="en-US"/>
              </w:rPr>
              <w:t xml:space="preserve">9.6.35.12 (Link Reconfiguration Notify frame format), 9.6.35.13 (Link Reconfiguration Request frame format), 9.6.35.14 (Link Reconfiguration Response frame format) </w:t>
            </w:r>
            <w:r>
              <w:rPr>
                <w:rFonts w:ascii="Arial" w:hAnsi="Arial" w:cs="Arial"/>
                <w:sz w:val="20"/>
                <w:u w:val="single"/>
                <w:lang w:val="en-US"/>
              </w:rPr>
              <w:t>(</w:t>
            </w:r>
            <w:r w:rsidRPr="006F6C7D">
              <w:rPr>
                <w:rFonts w:ascii="Arial" w:hAnsi="Arial" w:cs="Arial"/>
                <w:sz w:val="20"/>
                <w:u w:val="single"/>
                <w:lang w:val="en-US"/>
              </w:rPr>
              <w:t>6.5.24f (AP removal)</w:t>
            </w:r>
          </w:p>
        </w:tc>
        <w:tc>
          <w:tcPr>
            <w:tcW w:w="2014" w:type="dxa"/>
          </w:tcPr>
          <w:p w14:paraId="1CF95A18" w14:textId="264B883A" w:rsidR="006F6C7D" w:rsidRDefault="006F6C7D" w:rsidP="00095D6B">
            <w:pPr>
              <w:rPr>
                <w:rFonts w:ascii="Arial" w:hAnsi="Arial" w:cs="Arial"/>
                <w:sz w:val="20"/>
                <w:lang w:val="en-US"/>
              </w:rPr>
            </w:pPr>
            <w:r>
              <w:rPr>
                <w:rFonts w:ascii="Arial" w:hAnsi="Arial" w:cs="Arial"/>
                <w:sz w:val="20"/>
                <w:lang w:val="en-US"/>
              </w:rPr>
              <w:t>See 35.3.6.3 (Removing affiliated APs)</w:t>
            </w:r>
          </w:p>
        </w:tc>
      </w:tr>
    </w:tbl>
    <w:p w14:paraId="69199DD5" w14:textId="77777777" w:rsidR="006F6C7D" w:rsidRDefault="006F6C7D" w:rsidP="00095D6B">
      <w:pPr>
        <w:rPr>
          <w:rFonts w:ascii="Arial" w:hAnsi="Arial" w:cs="Arial"/>
          <w:sz w:val="20"/>
          <w:lang w:val="en-US"/>
        </w:rPr>
      </w:pPr>
    </w:p>
    <w:p w14:paraId="71BDFD3E" w14:textId="77777777" w:rsidR="00095D6B" w:rsidRDefault="00095D6B" w:rsidP="00095D6B">
      <w:pPr>
        <w:rPr>
          <w:rFonts w:ascii="Arial" w:hAnsi="Arial" w:cs="Arial"/>
          <w:sz w:val="20"/>
          <w:lang w:val="en-US"/>
        </w:rPr>
      </w:pPr>
    </w:p>
    <w:p w14:paraId="20A927BD" w14:textId="29443716" w:rsidR="00095D6B" w:rsidRDefault="00095D6B" w:rsidP="00095D6B">
      <w:pPr>
        <w:rPr>
          <w:rFonts w:ascii="Arial" w:hAnsi="Arial" w:cs="Arial"/>
          <w:sz w:val="20"/>
          <w:lang w:val="en-US"/>
        </w:rPr>
      </w:pPr>
      <w:r>
        <w:rPr>
          <w:rFonts w:ascii="Arial" w:hAnsi="Arial" w:cs="Arial"/>
          <w:sz w:val="20"/>
          <w:lang w:val="en-US"/>
        </w:rPr>
        <w:br w:type="page"/>
      </w:r>
    </w:p>
    <w:tbl>
      <w:tblPr>
        <w:tblStyle w:val="TableGrid"/>
        <w:tblW w:w="10070" w:type="dxa"/>
        <w:tblLook w:val="04A0" w:firstRow="1" w:lastRow="0" w:firstColumn="1" w:lastColumn="0" w:noHBand="0" w:noVBand="1"/>
      </w:tblPr>
      <w:tblGrid>
        <w:gridCol w:w="773"/>
        <w:gridCol w:w="1217"/>
        <w:gridCol w:w="730"/>
        <w:gridCol w:w="756"/>
        <w:gridCol w:w="2987"/>
        <w:gridCol w:w="3607"/>
      </w:tblGrid>
      <w:tr w:rsidR="00966E42" w:rsidRPr="00FE338E" w14:paraId="5AD08012" w14:textId="77777777" w:rsidTr="00966E42">
        <w:trPr>
          <w:trHeight w:val="570"/>
        </w:trPr>
        <w:tc>
          <w:tcPr>
            <w:tcW w:w="773" w:type="dxa"/>
            <w:hideMark/>
          </w:tcPr>
          <w:p w14:paraId="20312E62" w14:textId="77777777" w:rsidR="00966E42" w:rsidRPr="00FE338E" w:rsidRDefault="00966E42" w:rsidP="00AC7B37">
            <w:pPr>
              <w:rPr>
                <w:b/>
                <w:bCs/>
                <w:lang w:val="en-US"/>
              </w:rPr>
            </w:pPr>
            <w:r w:rsidRPr="00FE338E">
              <w:rPr>
                <w:b/>
                <w:bCs/>
              </w:rPr>
              <w:lastRenderedPageBreak/>
              <w:t>CID</w:t>
            </w:r>
          </w:p>
        </w:tc>
        <w:tc>
          <w:tcPr>
            <w:tcW w:w="1217" w:type="dxa"/>
            <w:hideMark/>
          </w:tcPr>
          <w:p w14:paraId="19CD27C4" w14:textId="77777777" w:rsidR="00966E42" w:rsidRPr="00FE338E" w:rsidRDefault="00966E42" w:rsidP="00AC7B37">
            <w:pPr>
              <w:rPr>
                <w:b/>
                <w:bCs/>
              </w:rPr>
            </w:pPr>
            <w:r w:rsidRPr="00FE338E">
              <w:rPr>
                <w:b/>
                <w:bCs/>
              </w:rPr>
              <w:t>Clause Number</w:t>
            </w:r>
          </w:p>
        </w:tc>
        <w:tc>
          <w:tcPr>
            <w:tcW w:w="730" w:type="dxa"/>
            <w:hideMark/>
          </w:tcPr>
          <w:p w14:paraId="6E7B4C96" w14:textId="77777777" w:rsidR="00966E42" w:rsidRPr="00FE338E" w:rsidRDefault="00966E42" w:rsidP="00AC7B37">
            <w:pPr>
              <w:rPr>
                <w:b/>
                <w:bCs/>
              </w:rPr>
            </w:pPr>
            <w:r>
              <w:rPr>
                <w:b/>
                <w:bCs/>
              </w:rPr>
              <w:t>Page</w:t>
            </w:r>
          </w:p>
        </w:tc>
        <w:tc>
          <w:tcPr>
            <w:tcW w:w="756" w:type="dxa"/>
          </w:tcPr>
          <w:p w14:paraId="0B361427" w14:textId="77777777" w:rsidR="00966E42" w:rsidRPr="00FE338E" w:rsidRDefault="00966E42" w:rsidP="00AC7B37">
            <w:pPr>
              <w:rPr>
                <w:b/>
                <w:bCs/>
              </w:rPr>
            </w:pPr>
            <w:r>
              <w:rPr>
                <w:b/>
                <w:bCs/>
              </w:rPr>
              <w:t>Line</w:t>
            </w:r>
          </w:p>
        </w:tc>
        <w:tc>
          <w:tcPr>
            <w:tcW w:w="2987" w:type="dxa"/>
            <w:hideMark/>
          </w:tcPr>
          <w:p w14:paraId="34AFC0CF" w14:textId="77777777" w:rsidR="00966E42" w:rsidRPr="00FE338E" w:rsidRDefault="00966E42" w:rsidP="00AC7B37">
            <w:pPr>
              <w:rPr>
                <w:b/>
                <w:bCs/>
              </w:rPr>
            </w:pPr>
            <w:r w:rsidRPr="00FE338E">
              <w:rPr>
                <w:b/>
                <w:bCs/>
              </w:rPr>
              <w:t>Comment</w:t>
            </w:r>
          </w:p>
        </w:tc>
        <w:tc>
          <w:tcPr>
            <w:tcW w:w="3607" w:type="dxa"/>
            <w:hideMark/>
          </w:tcPr>
          <w:p w14:paraId="55849838" w14:textId="77777777" w:rsidR="00966E42" w:rsidRPr="00FE338E" w:rsidRDefault="00966E42" w:rsidP="00AC7B37">
            <w:pPr>
              <w:rPr>
                <w:b/>
                <w:bCs/>
              </w:rPr>
            </w:pPr>
            <w:r w:rsidRPr="00FE338E">
              <w:rPr>
                <w:b/>
                <w:bCs/>
              </w:rPr>
              <w:t>Proposed Change</w:t>
            </w:r>
          </w:p>
        </w:tc>
      </w:tr>
      <w:tr w:rsidR="00966E42" w:rsidRPr="00FE338E" w14:paraId="4DBEE848" w14:textId="77777777" w:rsidTr="00966E42">
        <w:trPr>
          <w:trHeight w:val="855"/>
        </w:trPr>
        <w:tc>
          <w:tcPr>
            <w:tcW w:w="773" w:type="dxa"/>
            <w:noWrap/>
          </w:tcPr>
          <w:p w14:paraId="61262FB7" w14:textId="2318E178" w:rsidR="00966E42" w:rsidRPr="00A26EDE" w:rsidRDefault="00966E42" w:rsidP="00966E42">
            <w:pPr>
              <w:rPr>
                <w:rFonts w:ascii="Arial" w:hAnsi="Arial" w:cs="Arial"/>
                <w:sz w:val="20"/>
                <w:lang w:val="en-US"/>
              </w:rPr>
            </w:pPr>
            <w:r w:rsidRPr="00A26EDE">
              <w:rPr>
                <w:rFonts w:ascii="Arial" w:hAnsi="Arial" w:cs="Arial"/>
                <w:sz w:val="20"/>
                <w:lang w:val="en-US"/>
              </w:rPr>
              <w:t>19096</w:t>
            </w:r>
          </w:p>
        </w:tc>
        <w:tc>
          <w:tcPr>
            <w:tcW w:w="1217" w:type="dxa"/>
            <w:noWrap/>
          </w:tcPr>
          <w:p w14:paraId="11016CE1" w14:textId="0C8E7C2F" w:rsidR="00966E42" w:rsidRPr="00A26EDE" w:rsidRDefault="00966E42" w:rsidP="00966E42">
            <w:pPr>
              <w:rPr>
                <w:rFonts w:ascii="Arial" w:hAnsi="Arial" w:cs="Arial"/>
                <w:sz w:val="20"/>
                <w:lang w:val="en-US"/>
              </w:rPr>
            </w:pPr>
            <w:r w:rsidRPr="00A26EDE">
              <w:rPr>
                <w:rFonts w:ascii="Arial" w:hAnsi="Arial" w:cs="Arial"/>
                <w:sz w:val="20"/>
                <w:lang w:val="en-US"/>
              </w:rPr>
              <w:t>6.5.24a.5.1</w:t>
            </w:r>
          </w:p>
        </w:tc>
        <w:tc>
          <w:tcPr>
            <w:tcW w:w="730" w:type="dxa"/>
            <w:noWrap/>
          </w:tcPr>
          <w:p w14:paraId="7EBAAEB4" w14:textId="513EC468" w:rsidR="00966E42" w:rsidRPr="00A26EDE" w:rsidRDefault="00966E42" w:rsidP="00966E42">
            <w:pPr>
              <w:rPr>
                <w:rFonts w:ascii="Arial" w:hAnsi="Arial" w:cs="Arial"/>
                <w:sz w:val="20"/>
                <w:lang w:val="en-US"/>
              </w:rPr>
            </w:pPr>
            <w:r w:rsidRPr="00A26EDE">
              <w:rPr>
                <w:rFonts w:ascii="Arial" w:hAnsi="Arial" w:cs="Arial"/>
                <w:sz w:val="20"/>
                <w:lang w:val="en-US"/>
              </w:rPr>
              <w:t>101</w:t>
            </w:r>
          </w:p>
        </w:tc>
        <w:tc>
          <w:tcPr>
            <w:tcW w:w="756" w:type="dxa"/>
          </w:tcPr>
          <w:p w14:paraId="5ACD2DB8" w14:textId="70019F7F" w:rsidR="00966E42" w:rsidRPr="00A26EDE" w:rsidRDefault="00966E42" w:rsidP="00966E42">
            <w:pPr>
              <w:rPr>
                <w:rFonts w:ascii="Arial" w:hAnsi="Arial" w:cs="Arial"/>
                <w:sz w:val="20"/>
                <w:lang w:val="en-US"/>
              </w:rPr>
            </w:pPr>
            <w:r w:rsidRPr="00A26EDE">
              <w:rPr>
                <w:rFonts w:ascii="Arial" w:hAnsi="Arial" w:cs="Arial"/>
                <w:sz w:val="20"/>
                <w:lang w:val="en-US"/>
              </w:rPr>
              <w:t>27</w:t>
            </w:r>
          </w:p>
        </w:tc>
        <w:tc>
          <w:tcPr>
            <w:tcW w:w="2987" w:type="dxa"/>
          </w:tcPr>
          <w:p w14:paraId="0C5FCF47" w14:textId="0950C38D" w:rsidR="00966E42" w:rsidRPr="00A26EDE" w:rsidRDefault="00966E42" w:rsidP="00966E42">
            <w:pPr>
              <w:rPr>
                <w:rFonts w:ascii="Arial" w:hAnsi="Arial" w:cs="Arial"/>
                <w:sz w:val="20"/>
                <w:lang w:val="en-US"/>
              </w:rPr>
            </w:pPr>
            <w:r w:rsidRPr="00A26EDE">
              <w:rPr>
                <w:rFonts w:ascii="Arial" w:hAnsi="Arial" w:cs="Arial"/>
                <w:sz w:val="20"/>
                <w:lang w:val="en-US"/>
              </w:rPr>
              <w:t>The indefinite article before MLME- should be "an".</w:t>
            </w:r>
          </w:p>
        </w:tc>
        <w:tc>
          <w:tcPr>
            <w:tcW w:w="3607" w:type="dxa"/>
          </w:tcPr>
          <w:p w14:paraId="529F8BB1" w14:textId="7A6AA7CD" w:rsidR="00966E42" w:rsidRPr="00A26EDE" w:rsidRDefault="00966E42" w:rsidP="00966E42">
            <w:pPr>
              <w:rPr>
                <w:rFonts w:ascii="Arial" w:hAnsi="Arial" w:cs="Arial"/>
                <w:sz w:val="20"/>
                <w:lang w:val="en-US"/>
              </w:rPr>
            </w:pPr>
            <w:r w:rsidRPr="00A26EDE">
              <w:rPr>
                <w:rFonts w:ascii="Arial" w:hAnsi="Arial" w:cs="Arial"/>
                <w:sz w:val="20"/>
                <w:lang w:val="en-US"/>
              </w:rPr>
              <w:t>As in comment.</w:t>
            </w:r>
          </w:p>
        </w:tc>
      </w:tr>
      <w:tr w:rsidR="00966E42" w:rsidRPr="00FE338E" w14:paraId="4D42020C" w14:textId="77777777" w:rsidTr="00966E42">
        <w:trPr>
          <w:trHeight w:val="855"/>
        </w:trPr>
        <w:tc>
          <w:tcPr>
            <w:tcW w:w="773" w:type="dxa"/>
            <w:noWrap/>
          </w:tcPr>
          <w:p w14:paraId="25C9E5E7" w14:textId="7855527C" w:rsidR="00966E42" w:rsidRPr="00A26EDE" w:rsidRDefault="00966E42" w:rsidP="00966E42">
            <w:pPr>
              <w:rPr>
                <w:rFonts w:ascii="Arial" w:hAnsi="Arial" w:cs="Arial"/>
                <w:sz w:val="20"/>
                <w:lang w:val="en-US"/>
              </w:rPr>
            </w:pPr>
            <w:r w:rsidRPr="00A26EDE">
              <w:rPr>
                <w:rFonts w:ascii="Arial" w:hAnsi="Arial" w:cs="Arial"/>
                <w:sz w:val="20"/>
                <w:lang w:val="en-US"/>
              </w:rPr>
              <w:t>19097</w:t>
            </w:r>
          </w:p>
        </w:tc>
        <w:tc>
          <w:tcPr>
            <w:tcW w:w="1217" w:type="dxa"/>
            <w:noWrap/>
          </w:tcPr>
          <w:p w14:paraId="4D85A652" w14:textId="7C4A4DDD" w:rsidR="00966E42" w:rsidRPr="00A26EDE" w:rsidRDefault="00966E42" w:rsidP="00966E42">
            <w:pPr>
              <w:rPr>
                <w:rFonts w:ascii="Arial" w:hAnsi="Arial" w:cs="Arial"/>
                <w:sz w:val="20"/>
                <w:lang w:val="en-US"/>
              </w:rPr>
            </w:pPr>
            <w:r w:rsidRPr="00A26EDE">
              <w:rPr>
                <w:rFonts w:ascii="Arial" w:hAnsi="Arial" w:cs="Arial"/>
                <w:sz w:val="20"/>
                <w:lang w:val="en-US"/>
              </w:rPr>
              <w:t>6.5.24a.5.4</w:t>
            </w:r>
          </w:p>
        </w:tc>
        <w:tc>
          <w:tcPr>
            <w:tcW w:w="730" w:type="dxa"/>
            <w:noWrap/>
          </w:tcPr>
          <w:p w14:paraId="1B4A805B" w14:textId="499A0A00" w:rsidR="00966E42" w:rsidRPr="00A26EDE" w:rsidRDefault="00966E42" w:rsidP="00966E42">
            <w:pPr>
              <w:rPr>
                <w:rFonts w:ascii="Arial" w:hAnsi="Arial" w:cs="Arial"/>
                <w:sz w:val="20"/>
                <w:lang w:val="en-US"/>
              </w:rPr>
            </w:pPr>
            <w:r w:rsidRPr="00A26EDE">
              <w:rPr>
                <w:rFonts w:ascii="Arial" w:hAnsi="Arial" w:cs="Arial"/>
                <w:sz w:val="20"/>
                <w:lang w:val="en-US"/>
              </w:rPr>
              <w:t>102</w:t>
            </w:r>
          </w:p>
        </w:tc>
        <w:tc>
          <w:tcPr>
            <w:tcW w:w="756" w:type="dxa"/>
          </w:tcPr>
          <w:p w14:paraId="142AD5B7" w14:textId="357E7F70" w:rsidR="00966E42" w:rsidRPr="00A26EDE" w:rsidRDefault="00966E42" w:rsidP="00966E42">
            <w:pPr>
              <w:rPr>
                <w:rFonts w:ascii="Arial" w:hAnsi="Arial" w:cs="Arial"/>
                <w:sz w:val="20"/>
                <w:lang w:val="en-US"/>
              </w:rPr>
            </w:pPr>
            <w:r w:rsidRPr="00A26EDE">
              <w:rPr>
                <w:rFonts w:ascii="Arial" w:hAnsi="Arial" w:cs="Arial"/>
                <w:sz w:val="20"/>
                <w:lang w:val="en-US"/>
              </w:rPr>
              <w:t>11</w:t>
            </w:r>
          </w:p>
        </w:tc>
        <w:tc>
          <w:tcPr>
            <w:tcW w:w="2987" w:type="dxa"/>
          </w:tcPr>
          <w:p w14:paraId="4A5578DD" w14:textId="50EBB292" w:rsidR="00966E42" w:rsidRPr="00A26EDE" w:rsidRDefault="00966E42" w:rsidP="00966E42">
            <w:pPr>
              <w:rPr>
                <w:rFonts w:ascii="Arial" w:hAnsi="Arial" w:cs="Arial"/>
                <w:sz w:val="20"/>
                <w:lang w:val="en-US"/>
              </w:rPr>
            </w:pPr>
            <w:r w:rsidRPr="00A26EDE">
              <w:rPr>
                <w:rFonts w:ascii="Arial" w:hAnsi="Arial" w:cs="Arial"/>
                <w:sz w:val="20"/>
                <w:lang w:val="en-US"/>
              </w:rPr>
              <w:t>The indefinite article before EPCS should be "an".</w:t>
            </w:r>
          </w:p>
        </w:tc>
        <w:tc>
          <w:tcPr>
            <w:tcW w:w="3607" w:type="dxa"/>
          </w:tcPr>
          <w:p w14:paraId="4C0A96A4" w14:textId="7D2E5E6E" w:rsidR="00966E42" w:rsidRPr="00A26EDE" w:rsidRDefault="00966E42" w:rsidP="00966E42">
            <w:pPr>
              <w:rPr>
                <w:rFonts w:ascii="Arial" w:hAnsi="Arial" w:cs="Arial"/>
                <w:sz w:val="20"/>
                <w:lang w:val="en-US"/>
              </w:rPr>
            </w:pPr>
            <w:r w:rsidRPr="00A26EDE">
              <w:rPr>
                <w:rFonts w:ascii="Arial" w:hAnsi="Arial" w:cs="Arial"/>
                <w:sz w:val="20"/>
                <w:lang w:val="en-US"/>
              </w:rPr>
              <w:t>As in comment.</w:t>
            </w:r>
          </w:p>
        </w:tc>
      </w:tr>
      <w:tr w:rsidR="00966E42" w:rsidRPr="00FE338E" w14:paraId="23B046BE" w14:textId="77777777" w:rsidTr="00966E42">
        <w:trPr>
          <w:trHeight w:val="855"/>
        </w:trPr>
        <w:tc>
          <w:tcPr>
            <w:tcW w:w="773" w:type="dxa"/>
            <w:noWrap/>
          </w:tcPr>
          <w:p w14:paraId="3C08F30C" w14:textId="3C96B3AD" w:rsidR="00966E42" w:rsidRPr="00A26EDE" w:rsidRDefault="00966E42" w:rsidP="00966E42">
            <w:pPr>
              <w:rPr>
                <w:rFonts w:ascii="Arial" w:hAnsi="Arial" w:cs="Arial"/>
                <w:sz w:val="20"/>
                <w:lang w:val="en-US"/>
              </w:rPr>
            </w:pPr>
            <w:r w:rsidRPr="00A26EDE">
              <w:rPr>
                <w:rFonts w:ascii="Arial" w:hAnsi="Arial" w:cs="Arial"/>
                <w:sz w:val="20"/>
                <w:lang w:val="en-US"/>
              </w:rPr>
              <w:t>19222</w:t>
            </w:r>
          </w:p>
        </w:tc>
        <w:tc>
          <w:tcPr>
            <w:tcW w:w="1217" w:type="dxa"/>
            <w:noWrap/>
          </w:tcPr>
          <w:p w14:paraId="3E60F597" w14:textId="7C77C6B7" w:rsidR="00966E42" w:rsidRPr="00A26EDE" w:rsidRDefault="00966E42" w:rsidP="00966E42">
            <w:pPr>
              <w:rPr>
                <w:rFonts w:ascii="Arial" w:hAnsi="Arial" w:cs="Arial"/>
                <w:sz w:val="20"/>
                <w:lang w:val="en-US"/>
              </w:rPr>
            </w:pPr>
            <w:r w:rsidRPr="00A26EDE">
              <w:rPr>
                <w:rFonts w:ascii="Arial" w:hAnsi="Arial" w:cs="Arial"/>
                <w:sz w:val="20"/>
                <w:lang w:val="en-US"/>
              </w:rPr>
              <w:t>6.5.24a.5.3</w:t>
            </w:r>
          </w:p>
        </w:tc>
        <w:tc>
          <w:tcPr>
            <w:tcW w:w="730" w:type="dxa"/>
            <w:noWrap/>
          </w:tcPr>
          <w:p w14:paraId="28BA80B7" w14:textId="1A0F56A4" w:rsidR="00966E42" w:rsidRPr="00A26EDE" w:rsidRDefault="00966E42" w:rsidP="00966E42">
            <w:pPr>
              <w:rPr>
                <w:rFonts w:ascii="Arial" w:hAnsi="Arial" w:cs="Arial"/>
                <w:sz w:val="20"/>
                <w:lang w:val="en-US"/>
              </w:rPr>
            </w:pPr>
            <w:r w:rsidRPr="00A26EDE">
              <w:rPr>
                <w:rFonts w:ascii="Arial" w:hAnsi="Arial" w:cs="Arial"/>
                <w:sz w:val="20"/>
                <w:lang w:val="en-US"/>
              </w:rPr>
              <w:t>102</w:t>
            </w:r>
          </w:p>
        </w:tc>
        <w:tc>
          <w:tcPr>
            <w:tcW w:w="756" w:type="dxa"/>
          </w:tcPr>
          <w:p w14:paraId="15E8C4AD" w14:textId="597B844E" w:rsidR="00966E42" w:rsidRPr="00A26EDE" w:rsidRDefault="00966E42" w:rsidP="00966E42">
            <w:pPr>
              <w:rPr>
                <w:rFonts w:ascii="Arial" w:hAnsi="Arial" w:cs="Arial"/>
                <w:sz w:val="20"/>
                <w:lang w:val="en-US"/>
              </w:rPr>
            </w:pPr>
            <w:r w:rsidRPr="00A26EDE">
              <w:rPr>
                <w:rFonts w:ascii="Arial" w:hAnsi="Arial" w:cs="Arial"/>
                <w:sz w:val="20"/>
                <w:lang w:val="en-US"/>
              </w:rPr>
              <w:t>4</w:t>
            </w:r>
          </w:p>
        </w:tc>
        <w:tc>
          <w:tcPr>
            <w:tcW w:w="2987" w:type="dxa"/>
          </w:tcPr>
          <w:p w14:paraId="1DCDCC4F" w14:textId="728F7D0C" w:rsidR="00966E42" w:rsidRPr="00A26EDE" w:rsidRDefault="00966E42" w:rsidP="00966E42">
            <w:pPr>
              <w:rPr>
                <w:rFonts w:ascii="Arial" w:hAnsi="Arial" w:cs="Arial"/>
                <w:sz w:val="20"/>
                <w:lang w:val="en-US"/>
              </w:rPr>
            </w:pPr>
            <w:r w:rsidRPr="00A26EDE">
              <w:rPr>
                <w:rFonts w:ascii="Arial" w:hAnsi="Arial" w:cs="Arial"/>
                <w:sz w:val="20"/>
                <w:lang w:val="en-US"/>
              </w:rPr>
              <w:t>The description of when the unsolicited response frame is generated is not clear.</w:t>
            </w:r>
          </w:p>
        </w:tc>
        <w:tc>
          <w:tcPr>
            <w:tcW w:w="3607" w:type="dxa"/>
          </w:tcPr>
          <w:p w14:paraId="7B23B3A9" w14:textId="05BD37F7" w:rsidR="00966E42" w:rsidRPr="00A26EDE" w:rsidRDefault="00966E42" w:rsidP="00966E42">
            <w:pPr>
              <w:rPr>
                <w:rFonts w:ascii="Arial" w:hAnsi="Arial" w:cs="Arial"/>
                <w:sz w:val="20"/>
                <w:lang w:val="en-US"/>
              </w:rPr>
            </w:pPr>
            <w:r w:rsidRPr="00A26EDE">
              <w:rPr>
                <w:rFonts w:ascii="Arial" w:hAnsi="Arial" w:cs="Arial"/>
                <w:sz w:val="20"/>
                <w:lang w:val="en-US"/>
              </w:rPr>
              <w:t>Rephrase as "This primitive is generated by the SME as a response to an MLME-</w:t>
            </w:r>
            <w:proofErr w:type="spellStart"/>
            <w:r w:rsidRPr="00A26EDE">
              <w:rPr>
                <w:rFonts w:ascii="Arial" w:hAnsi="Arial" w:cs="Arial"/>
                <w:sz w:val="20"/>
                <w:lang w:val="en-US"/>
              </w:rPr>
              <w:t>EPCSPRIACCESSENABLE.indication</w:t>
            </w:r>
            <w:proofErr w:type="spellEnd"/>
            <w:r w:rsidRPr="00A26EDE">
              <w:rPr>
                <w:rFonts w:ascii="Arial" w:hAnsi="Arial" w:cs="Arial"/>
                <w:sz w:val="20"/>
                <w:lang w:val="en-US"/>
              </w:rPr>
              <w:t xml:space="preserve"> primitive (#</w:t>
            </w:r>
            <w:proofErr w:type="gramStart"/>
            <w:r w:rsidRPr="00A26EDE">
              <w:rPr>
                <w:rFonts w:ascii="Arial" w:hAnsi="Arial" w:cs="Arial"/>
                <w:sz w:val="20"/>
                <w:lang w:val="en-US"/>
              </w:rPr>
              <w:t>16573)or</w:t>
            </w:r>
            <w:proofErr w:type="gramEnd"/>
            <w:r w:rsidRPr="00A26EDE">
              <w:rPr>
                <w:rFonts w:ascii="Arial" w:hAnsi="Arial" w:cs="Arial"/>
                <w:sz w:val="20"/>
                <w:lang w:val="en-US"/>
              </w:rPr>
              <w:t xml:space="preserve"> as a request to transmit a response in an unsolicited mode (i.e., unsolicited response).</w:t>
            </w:r>
          </w:p>
        </w:tc>
      </w:tr>
      <w:tr w:rsidR="00966E42" w:rsidRPr="00FE338E" w14:paraId="088D88E5" w14:textId="77777777" w:rsidTr="00966E42">
        <w:trPr>
          <w:trHeight w:val="855"/>
        </w:trPr>
        <w:tc>
          <w:tcPr>
            <w:tcW w:w="773" w:type="dxa"/>
            <w:noWrap/>
          </w:tcPr>
          <w:p w14:paraId="6E79D835" w14:textId="38C98146" w:rsidR="00966E42" w:rsidRPr="00A26EDE" w:rsidRDefault="00966E42" w:rsidP="00966E42">
            <w:pPr>
              <w:rPr>
                <w:rFonts w:ascii="Arial" w:hAnsi="Arial" w:cs="Arial"/>
                <w:sz w:val="20"/>
                <w:lang w:val="en-US"/>
              </w:rPr>
            </w:pPr>
            <w:r w:rsidRPr="00A26EDE">
              <w:rPr>
                <w:rFonts w:ascii="Arial" w:hAnsi="Arial" w:cs="Arial"/>
                <w:sz w:val="20"/>
                <w:lang w:val="en-US"/>
              </w:rPr>
              <w:t>19316</w:t>
            </w:r>
          </w:p>
        </w:tc>
        <w:tc>
          <w:tcPr>
            <w:tcW w:w="1217" w:type="dxa"/>
            <w:noWrap/>
          </w:tcPr>
          <w:p w14:paraId="536856E0" w14:textId="25712A3B" w:rsidR="00966E42" w:rsidRPr="00A26EDE" w:rsidRDefault="00966E42" w:rsidP="00966E42">
            <w:pPr>
              <w:rPr>
                <w:rFonts w:ascii="Arial" w:hAnsi="Arial" w:cs="Arial"/>
                <w:sz w:val="20"/>
                <w:lang w:val="en-US"/>
              </w:rPr>
            </w:pPr>
            <w:r w:rsidRPr="00A26EDE">
              <w:rPr>
                <w:rFonts w:ascii="Arial" w:hAnsi="Arial" w:cs="Arial"/>
                <w:sz w:val="20"/>
                <w:lang w:val="en-US"/>
              </w:rPr>
              <w:t>6.5.24a.2.2</w:t>
            </w:r>
          </w:p>
        </w:tc>
        <w:tc>
          <w:tcPr>
            <w:tcW w:w="730" w:type="dxa"/>
            <w:noWrap/>
          </w:tcPr>
          <w:p w14:paraId="64D99F52" w14:textId="016DDE12" w:rsidR="00966E42" w:rsidRPr="00A26EDE" w:rsidRDefault="00966E42" w:rsidP="00966E42">
            <w:pPr>
              <w:rPr>
                <w:rFonts w:ascii="Arial" w:hAnsi="Arial" w:cs="Arial"/>
                <w:sz w:val="20"/>
                <w:lang w:val="en-US"/>
              </w:rPr>
            </w:pPr>
            <w:r w:rsidRPr="00A26EDE">
              <w:rPr>
                <w:rFonts w:ascii="Arial" w:hAnsi="Arial" w:cs="Arial"/>
                <w:sz w:val="20"/>
                <w:lang w:val="en-US"/>
              </w:rPr>
              <w:t>99</w:t>
            </w:r>
          </w:p>
        </w:tc>
        <w:tc>
          <w:tcPr>
            <w:tcW w:w="756" w:type="dxa"/>
          </w:tcPr>
          <w:p w14:paraId="0BC205BA" w14:textId="6EED1AB3" w:rsidR="00966E42" w:rsidRPr="00A26EDE" w:rsidRDefault="00966E42" w:rsidP="00966E42">
            <w:pPr>
              <w:rPr>
                <w:rFonts w:ascii="Arial" w:hAnsi="Arial" w:cs="Arial"/>
                <w:sz w:val="20"/>
                <w:lang w:val="en-US"/>
              </w:rPr>
            </w:pPr>
            <w:r w:rsidRPr="00A26EDE">
              <w:rPr>
                <w:rFonts w:ascii="Arial" w:hAnsi="Arial" w:cs="Arial"/>
                <w:sz w:val="20"/>
                <w:lang w:val="en-US"/>
              </w:rPr>
              <w:t>1</w:t>
            </w:r>
          </w:p>
        </w:tc>
        <w:tc>
          <w:tcPr>
            <w:tcW w:w="2987" w:type="dxa"/>
          </w:tcPr>
          <w:p w14:paraId="2D626A7E" w14:textId="19262DC8" w:rsidR="00966E42" w:rsidRPr="00A26EDE" w:rsidRDefault="00966E42" w:rsidP="00966E42">
            <w:pPr>
              <w:rPr>
                <w:rFonts w:ascii="Arial" w:hAnsi="Arial" w:cs="Arial"/>
                <w:sz w:val="20"/>
                <w:lang w:val="en-US"/>
              </w:rPr>
            </w:pPr>
            <w:r w:rsidRPr="00A26EDE">
              <w:rPr>
                <w:rFonts w:ascii="Arial" w:hAnsi="Arial" w:cs="Arial"/>
                <w:sz w:val="20"/>
                <w:lang w:val="en-US"/>
              </w:rPr>
              <w:t>No space between number of subclause and name title of subclause.</w:t>
            </w:r>
            <w:r w:rsidRPr="00A26EDE">
              <w:rPr>
                <w:rFonts w:ascii="Arial" w:hAnsi="Arial" w:cs="Arial"/>
                <w:sz w:val="20"/>
                <w:lang w:val="en-US"/>
              </w:rPr>
              <w:br/>
            </w:r>
            <w:r w:rsidRPr="00A26EDE">
              <w:rPr>
                <w:rFonts w:ascii="Arial" w:hAnsi="Arial" w:cs="Arial"/>
                <w:sz w:val="20"/>
                <w:lang w:val="en-US"/>
              </w:rPr>
              <w:br/>
              <w:t>Same editorial issues are found in</w:t>
            </w:r>
            <w:r w:rsidRPr="00A26EDE">
              <w:rPr>
                <w:rFonts w:ascii="Arial" w:hAnsi="Arial" w:cs="Arial"/>
                <w:sz w:val="20"/>
                <w:lang w:val="en-US"/>
              </w:rPr>
              <w:br/>
              <w:t>p98, line62</w:t>
            </w:r>
          </w:p>
        </w:tc>
        <w:tc>
          <w:tcPr>
            <w:tcW w:w="3607" w:type="dxa"/>
          </w:tcPr>
          <w:p w14:paraId="339C26E9" w14:textId="68B70E1F" w:rsidR="00966E42" w:rsidRPr="00A26EDE" w:rsidRDefault="00966E42" w:rsidP="00966E42">
            <w:pPr>
              <w:rPr>
                <w:rFonts w:ascii="Arial" w:hAnsi="Arial" w:cs="Arial"/>
                <w:sz w:val="20"/>
                <w:lang w:val="en-US"/>
              </w:rPr>
            </w:pPr>
            <w:r w:rsidRPr="00A26EDE">
              <w:rPr>
                <w:rFonts w:ascii="Arial" w:hAnsi="Arial" w:cs="Arial"/>
                <w:sz w:val="20"/>
                <w:lang w:val="en-US"/>
              </w:rPr>
              <w:t>As in comment.</w:t>
            </w:r>
          </w:p>
        </w:tc>
      </w:tr>
    </w:tbl>
    <w:p w14:paraId="36F39D38" w14:textId="77777777" w:rsidR="00966E42" w:rsidRDefault="00966E42" w:rsidP="00966E42"/>
    <w:p w14:paraId="390216CB" w14:textId="327A74BB" w:rsidR="00966E42" w:rsidRDefault="00966E42" w:rsidP="00966E42">
      <w:pPr>
        <w:rPr>
          <w:rFonts w:ascii="Arial" w:hAnsi="Arial" w:cs="Arial"/>
          <w:sz w:val="20"/>
          <w:lang w:val="en-US"/>
        </w:rPr>
      </w:pPr>
      <w:r>
        <w:t xml:space="preserve">Per resolution to CIDs </w:t>
      </w:r>
      <w:r w:rsidRPr="00A26EDE">
        <w:rPr>
          <w:rFonts w:ascii="Arial" w:hAnsi="Arial" w:cs="Arial"/>
          <w:sz w:val="20"/>
          <w:lang w:val="en-US"/>
        </w:rPr>
        <w:t>19619</w:t>
      </w:r>
      <w:r>
        <w:rPr>
          <w:rFonts w:ascii="Arial" w:hAnsi="Arial" w:cs="Arial"/>
          <w:sz w:val="20"/>
          <w:lang w:val="en-US"/>
        </w:rPr>
        <w:t xml:space="preserve"> and 19479, above, 6.5.24a should be removed in its entirety.</w:t>
      </w:r>
    </w:p>
    <w:p w14:paraId="4C03DEA7" w14:textId="2A2C095D" w:rsidR="00095D6B" w:rsidRDefault="00095D6B">
      <w:pPr>
        <w:rPr>
          <w:rFonts w:ascii="Arial" w:hAnsi="Arial" w:cs="Arial"/>
          <w:sz w:val="20"/>
          <w:lang w:val="en-US"/>
        </w:rPr>
      </w:pPr>
    </w:p>
    <w:p w14:paraId="05DC3E72" w14:textId="767009DE" w:rsidR="00966E42" w:rsidRDefault="00966E42" w:rsidP="00095D6B">
      <w:r>
        <w:rPr>
          <w:b/>
          <w:bCs/>
          <w:u w:val="single"/>
        </w:rPr>
        <w:t>Proposed Resolution:</w:t>
      </w:r>
    </w:p>
    <w:p w14:paraId="43378761" w14:textId="583ACA4F" w:rsidR="00966E42" w:rsidRDefault="00966E42" w:rsidP="00095D6B">
      <w:r w:rsidRPr="0049384C">
        <w:rPr>
          <w:highlight w:val="green"/>
        </w:rPr>
        <w:t>Revised.</w:t>
      </w:r>
    </w:p>
    <w:p w14:paraId="62701F46" w14:textId="54689146" w:rsidR="00966E42" w:rsidRPr="00966E42" w:rsidRDefault="00966E42" w:rsidP="00095D6B">
      <w:r w:rsidRPr="00A26EDE">
        <w:t>Remove 6.5.24a and all sub-clauses.</w:t>
      </w:r>
      <w:r w:rsidRPr="00A547EC">
        <w:t xml:space="preserve">  NOTE: This matches resolution to CIDs 19619 and 19479.</w:t>
      </w:r>
    </w:p>
    <w:p w14:paraId="0DFA4262" w14:textId="77777777" w:rsidR="00095D6B" w:rsidRDefault="00095D6B" w:rsidP="00E90EFD"/>
    <w:p w14:paraId="3B111BB8" w14:textId="77777777" w:rsidR="00966E42" w:rsidRDefault="00966E42">
      <w:r>
        <w:br w:type="page"/>
      </w:r>
    </w:p>
    <w:tbl>
      <w:tblPr>
        <w:tblStyle w:val="TableGrid"/>
        <w:tblW w:w="10070" w:type="dxa"/>
        <w:tblLook w:val="04A0" w:firstRow="1" w:lastRow="0" w:firstColumn="1" w:lastColumn="0" w:noHBand="0" w:noVBand="1"/>
      </w:tblPr>
      <w:tblGrid>
        <w:gridCol w:w="773"/>
        <w:gridCol w:w="1217"/>
        <w:gridCol w:w="730"/>
        <w:gridCol w:w="1492"/>
        <w:gridCol w:w="2251"/>
        <w:gridCol w:w="3607"/>
      </w:tblGrid>
      <w:tr w:rsidR="00966E42" w:rsidRPr="00FE338E" w14:paraId="5149E62B" w14:textId="77777777" w:rsidTr="00AC7B37">
        <w:trPr>
          <w:trHeight w:val="570"/>
        </w:trPr>
        <w:tc>
          <w:tcPr>
            <w:tcW w:w="773" w:type="dxa"/>
            <w:hideMark/>
          </w:tcPr>
          <w:p w14:paraId="1A612AFB" w14:textId="77777777" w:rsidR="00966E42" w:rsidRPr="00FE338E" w:rsidRDefault="00966E42" w:rsidP="00AC7B37">
            <w:pPr>
              <w:rPr>
                <w:b/>
                <w:bCs/>
                <w:lang w:val="en-US"/>
              </w:rPr>
            </w:pPr>
            <w:r w:rsidRPr="00FE338E">
              <w:rPr>
                <w:b/>
                <w:bCs/>
              </w:rPr>
              <w:lastRenderedPageBreak/>
              <w:t>CID</w:t>
            </w:r>
          </w:p>
        </w:tc>
        <w:tc>
          <w:tcPr>
            <w:tcW w:w="1217" w:type="dxa"/>
            <w:hideMark/>
          </w:tcPr>
          <w:p w14:paraId="1CBA8E17" w14:textId="77777777" w:rsidR="00966E42" w:rsidRPr="00FE338E" w:rsidRDefault="00966E42" w:rsidP="00AC7B37">
            <w:pPr>
              <w:rPr>
                <w:b/>
                <w:bCs/>
              </w:rPr>
            </w:pPr>
            <w:r w:rsidRPr="00FE338E">
              <w:rPr>
                <w:b/>
                <w:bCs/>
              </w:rPr>
              <w:t>Clause Number</w:t>
            </w:r>
          </w:p>
        </w:tc>
        <w:tc>
          <w:tcPr>
            <w:tcW w:w="730" w:type="dxa"/>
            <w:hideMark/>
          </w:tcPr>
          <w:p w14:paraId="3BE9D6F5" w14:textId="77777777" w:rsidR="00966E42" w:rsidRPr="00FE338E" w:rsidRDefault="00966E42" w:rsidP="00AC7B37">
            <w:pPr>
              <w:rPr>
                <w:b/>
                <w:bCs/>
              </w:rPr>
            </w:pPr>
            <w:r w:rsidRPr="00FE338E">
              <w:rPr>
                <w:b/>
                <w:bCs/>
              </w:rPr>
              <w:t>Page</w:t>
            </w:r>
          </w:p>
        </w:tc>
        <w:tc>
          <w:tcPr>
            <w:tcW w:w="1492" w:type="dxa"/>
          </w:tcPr>
          <w:p w14:paraId="14E83D3D" w14:textId="77777777" w:rsidR="00966E42" w:rsidRPr="00FE338E" w:rsidRDefault="00966E42" w:rsidP="00AC7B37">
            <w:pPr>
              <w:rPr>
                <w:b/>
                <w:bCs/>
              </w:rPr>
            </w:pPr>
            <w:r>
              <w:rPr>
                <w:b/>
                <w:bCs/>
              </w:rPr>
              <w:t>Line</w:t>
            </w:r>
          </w:p>
        </w:tc>
        <w:tc>
          <w:tcPr>
            <w:tcW w:w="2251" w:type="dxa"/>
            <w:hideMark/>
          </w:tcPr>
          <w:p w14:paraId="2C820489" w14:textId="77777777" w:rsidR="00966E42" w:rsidRPr="00FE338E" w:rsidRDefault="00966E42" w:rsidP="00AC7B37">
            <w:pPr>
              <w:rPr>
                <w:b/>
                <w:bCs/>
              </w:rPr>
            </w:pPr>
            <w:r w:rsidRPr="00FE338E">
              <w:rPr>
                <w:b/>
                <w:bCs/>
              </w:rPr>
              <w:t>Comment</w:t>
            </w:r>
          </w:p>
        </w:tc>
        <w:tc>
          <w:tcPr>
            <w:tcW w:w="3607" w:type="dxa"/>
            <w:hideMark/>
          </w:tcPr>
          <w:p w14:paraId="12F4B82A" w14:textId="77777777" w:rsidR="00966E42" w:rsidRPr="00FE338E" w:rsidRDefault="00966E42" w:rsidP="00AC7B37">
            <w:pPr>
              <w:rPr>
                <w:b/>
                <w:bCs/>
              </w:rPr>
            </w:pPr>
            <w:r w:rsidRPr="00FE338E">
              <w:rPr>
                <w:b/>
                <w:bCs/>
              </w:rPr>
              <w:t>Proposed Change</w:t>
            </w:r>
          </w:p>
        </w:tc>
      </w:tr>
      <w:tr w:rsidR="00966E42" w:rsidRPr="00A26EDE" w14:paraId="2EDFF4FD" w14:textId="77777777" w:rsidTr="00AC7B37">
        <w:trPr>
          <w:trHeight w:val="1275"/>
        </w:trPr>
        <w:tc>
          <w:tcPr>
            <w:tcW w:w="773" w:type="dxa"/>
            <w:hideMark/>
          </w:tcPr>
          <w:p w14:paraId="1B0FE155" w14:textId="77777777" w:rsidR="00966E42" w:rsidRPr="00A26EDE" w:rsidRDefault="00966E42" w:rsidP="00AC7B37">
            <w:pPr>
              <w:jc w:val="right"/>
              <w:rPr>
                <w:rFonts w:ascii="Arial" w:hAnsi="Arial" w:cs="Arial"/>
                <w:sz w:val="20"/>
                <w:lang w:val="en-US"/>
              </w:rPr>
            </w:pPr>
            <w:r w:rsidRPr="00A26EDE">
              <w:rPr>
                <w:rFonts w:ascii="Arial" w:hAnsi="Arial" w:cs="Arial"/>
                <w:sz w:val="20"/>
                <w:lang w:val="en-US"/>
              </w:rPr>
              <w:t>19341</w:t>
            </w:r>
          </w:p>
        </w:tc>
        <w:tc>
          <w:tcPr>
            <w:tcW w:w="1217" w:type="dxa"/>
            <w:hideMark/>
          </w:tcPr>
          <w:p w14:paraId="4B4427F6" w14:textId="77777777" w:rsidR="00966E42" w:rsidRPr="00A26EDE" w:rsidRDefault="00966E42" w:rsidP="00AC7B37">
            <w:pPr>
              <w:rPr>
                <w:rFonts w:ascii="Arial" w:hAnsi="Arial" w:cs="Arial"/>
                <w:sz w:val="20"/>
                <w:lang w:val="en-US"/>
              </w:rPr>
            </w:pPr>
            <w:r w:rsidRPr="00A26EDE">
              <w:rPr>
                <w:rFonts w:ascii="Arial" w:hAnsi="Arial" w:cs="Arial"/>
                <w:sz w:val="20"/>
                <w:lang w:val="en-US"/>
              </w:rPr>
              <w:t>6.5.24e.2.2</w:t>
            </w:r>
          </w:p>
        </w:tc>
        <w:tc>
          <w:tcPr>
            <w:tcW w:w="730" w:type="dxa"/>
            <w:hideMark/>
          </w:tcPr>
          <w:p w14:paraId="10BDD70C" w14:textId="77777777" w:rsidR="00966E42" w:rsidRPr="00A26EDE" w:rsidRDefault="00966E42" w:rsidP="00AC7B37">
            <w:pPr>
              <w:rPr>
                <w:rFonts w:ascii="Arial" w:hAnsi="Arial" w:cs="Arial"/>
                <w:sz w:val="20"/>
                <w:lang w:val="en-US"/>
              </w:rPr>
            </w:pPr>
            <w:r w:rsidRPr="00A26EDE">
              <w:rPr>
                <w:rFonts w:ascii="Arial" w:hAnsi="Arial" w:cs="Arial"/>
                <w:sz w:val="20"/>
                <w:lang w:val="en-US"/>
              </w:rPr>
              <w:t>110</w:t>
            </w:r>
          </w:p>
        </w:tc>
        <w:tc>
          <w:tcPr>
            <w:tcW w:w="1492" w:type="dxa"/>
            <w:hideMark/>
          </w:tcPr>
          <w:p w14:paraId="5DEF9032" w14:textId="77777777" w:rsidR="00966E42" w:rsidRPr="00A26EDE" w:rsidRDefault="00966E42" w:rsidP="00AC7B37">
            <w:pPr>
              <w:rPr>
                <w:rFonts w:ascii="Arial" w:hAnsi="Arial" w:cs="Arial"/>
                <w:sz w:val="20"/>
                <w:lang w:val="en-US"/>
              </w:rPr>
            </w:pPr>
            <w:r w:rsidRPr="00A26EDE">
              <w:rPr>
                <w:rFonts w:ascii="Arial" w:hAnsi="Arial" w:cs="Arial"/>
                <w:sz w:val="20"/>
                <w:lang w:val="en-US"/>
              </w:rPr>
              <w:t>50</w:t>
            </w:r>
          </w:p>
        </w:tc>
        <w:tc>
          <w:tcPr>
            <w:tcW w:w="2251" w:type="dxa"/>
            <w:hideMark/>
          </w:tcPr>
          <w:p w14:paraId="4A7BA7C7" w14:textId="77777777" w:rsidR="00966E42" w:rsidRPr="00A26EDE" w:rsidRDefault="00966E42" w:rsidP="00AC7B37">
            <w:pPr>
              <w:rPr>
                <w:rFonts w:ascii="Arial" w:hAnsi="Arial" w:cs="Arial"/>
                <w:sz w:val="20"/>
                <w:lang w:val="en-US"/>
              </w:rPr>
            </w:pPr>
            <w:r w:rsidRPr="00A26EDE">
              <w:rPr>
                <w:rFonts w:ascii="Arial" w:hAnsi="Arial" w:cs="Arial"/>
                <w:sz w:val="20"/>
                <w:lang w:val="en-US"/>
              </w:rPr>
              <w:t>Style guide tends to omit "value of" in "value of &lt;field&gt;".</w:t>
            </w:r>
          </w:p>
        </w:tc>
        <w:tc>
          <w:tcPr>
            <w:tcW w:w="3607" w:type="dxa"/>
            <w:hideMark/>
          </w:tcPr>
          <w:p w14:paraId="04E0606D" w14:textId="77777777" w:rsidR="00966E42" w:rsidRPr="00A26EDE" w:rsidRDefault="00966E42" w:rsidP="00AC7B37">
            <w:pPr>
              <w:rPr>
                <w:rFonts w:ascii="Arial" w:hAnsi="Arial" w:cs="Arial"/>
                <w:sz w:val="20"/>
                <w:lang w:val="en-US"/>
              </w:rPr>
            </w:pPr>
            <w:r w:rsidRPr="00A26EDE">
              <w:rPr>
                <w:rFonts w:ascii="Arial" w:hAnsi="Arial" w:cs="Arial"/>
                <w:sz w:val="20"/>
                <w:lang w:val="en-US"/>
              </w:rPr>
              <w:t xml:space="preserve">Omit "value of". Ditto </w:t>
            </w:r>
            <w:bookmarkStart w:id="0" w:name="_Hlk149911856"/>
            <w:r w:rsidRPr="00A26EDE">
              <w:rPr>
                <w:rFonts w:ascii="Arial" w:hAnsi="Arial" w:cs="Arial"/>
                <w:sz w:val="20"/>
                <w:lang w:val="en-US"/>
              </w:rPr>
              <w:t>P137L18</w:t>
            </w:r>
            <w:bookmarkEnd w:id="0"/>
            <w:r w:rsidRPr="00A26EDE">
              <w:rPr>
                <w:rFonts w:ascii="Arial" w:hAnsi="Arial" w:cs="Arial"/>
                <w:sz w:val="20"/>
                <w:lang w:val="en-US"/>
              </w:rPr>
              <w:t xml:space="preserve"> x2, P137L43x2, P143L6, </w:t>
            </w:r>
            <w:proofErr w:type="spellStart"/>
            <w:r w:rsidRPr="00A26EDE">
              <w:rPr>
                <w:rFonts w:ascii="Arial" w:hAnsi="Arial" w:cs="Arial"/>
                <w:sz w:val="20"/>
                <w:lang w:val="en-US"/>
              </w:rPr>
              <w:t>etc</w:t>
            </w:r>
            <w:proofErr w:type="spellEnd"/>
            <w:r w:rsidRPr="00A26EDE">
              <w:rPr>
                <w:rFonts w:ascii="Arial" w:hAnsi="Arial" w:cs="Arial"/>
                <w:sz w:val="20"/>
                <w:lang w:val="en-US"/>
              </w:rPr>
              <w:t xml:space="preserve"> etc. (Most efficient if editor performs a search and replace)</w:t>
            </w:r>
          </w:p>
        </w:tc>
      </w:tr>
    </w:tbl>
    <w:p w14:paraId="60C65B02" w14:textId="18936890" w:rsidR="00966E42" w:rsidRDefault="00966E42" w:rsidP="00966E42"/>
    <w:p w14:paraId="3CAD4EA9" w14:textId="622AAD8B" w:rsidR="00F908BB" w:rsidRDefault="00F908BB" w:rsidP="00966E42">
      <w:r>
        <w:t>Context:</w:t>
      </w:r>
    </w:p>
    <w:p w14:paraId="1A5090A1" w14:textId="5450376E" w:rsidR="00F908BB" w:rsidRDefault="00F908BB" w:rsidP="00F908BB">
      <w:pPr>
        <w:pBdr>
          <w:top w:val="single" w:sz="4" w:space="1" w:color="auto"/>
          <w:left w:val="single" w:sz="4" w:space="4" w:color="auto"/>
          <w:bottom w:val="single" w:sz="4" w:space="1" w:color="auto"/>
          <w:right w:val="single" w:sz="4" w:space="4" w:color="auto"/>
        </w:pBdr>
      </w:pPr>
      <w:r>
        <w:rPr>
          <w:noProof/>
        </w:rPr>
        <w:drawing>
          <wp:inline distT="0" distB="0" distL="0" distR="0" wp14:anchorId="5763D96B" wp14:editId="546225C7">
            <wp:extent cx="6391275" cy="31813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91275" cy="3181350"/>
                    </a:xfrm>
                    <a:prstGeom prst="rect">
                      <a:avLst/>
                    </a:prstGeom>
                    <a:noFill/>
                    <a:ln>
                      <a:noFill/>
                    </a:ln>
                  </pic:spPr>
                </pic:pic>
              </a:graphicData>
            </a:graphic>
          </wp:inline>
        </w:drawing>
      </w:r>
    </w:p>
    <w:p w14:paraId="6BC0412A" w14:textId="66948E59" w:rsidR="00F908BB" w:rsidRDefault="00F908BB" w:rsidP="00966E42"/>
    <w:p w14:paraId="6C25D6CE" w14:textId="070C7781" w:rsidR="00F908BB" w:rsidRDefault="00F908BB" w:rsidP="00966E42">
      <w:r>
        <w:t>Note that Enable Timer is a parameter to an MLME primitive.</w:t>
      </w:r>
    </w:p>
    <w:p w14:paraId="7AAF7525" w14:textId="77777777" w:rsidR="00F908BB" w:rsidRDefault="00F908BB" w:rsidP="00966E42"/>
    <w:p w14:paraId="4726B631" w14:textId="76335C94" w:rsidR="00F908BB" w:rsidRDefault="00F908BB" w:rsidP="00966E42">
      <w:r>
        <w:t>Per baseline (REVme D4.0), subclause 1.4:</w:t>
      </w:r>
    </w:p>
    <w:p w14:paraId="2B7384FE" w14:textId="7FEC7655" w:rsidR="00F908BB" w:rsidRDefault="00F908BB" w:rsidP="00F908BB">
      <w:pPr>
        <w:pBdr>
          <w:top w:val="single" w:sz="4" w:space="1" w:color="auto"/>
          <w:left w:val="single" w:sz="4" w:space="4" w:color="auto"/>
          <w:bottom w:val="single" w:sz="4" w:space="1" w:color="auto"/>
          <w:right w:val="single" w:sz="4" w:space="4" w:color="auto"/>
        </w:pBdr>
      </w:pPr>
      <w:r>
        <w:rPr>
          <w:noProof/>
        </w:rPr>
        <w:drawing>
          <wp:inline distT="0" distB="0" distL="0" distR="0" wp14:anchorId="3F429D9D" wp14:editId="066586AE">
            <wp:extent cx="6391275" cy="5905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91275" cy="590550"/>
                    </a:xfrm>
                    <a:prstGeom prst="rect">
                      <a:avLst/>
                    </a:prstGeom>
                    <a:noFill/>
                    <a:ln>
                      <a:noFill/>
                    </a:ln>
                  </pic:spPr>
                </pic:pic>
              </a:graphicData>
            </a:graphic>
          </wp:inline>
        </w:drawing>
      </w:r>
    </w:p>
    <w:p w14:paraId="2D3C0FF9" w14:textId="4693E780" w:rsidR="00F908BB" w:rsidRDefault="00F908BB" w:rsidP="00966E42"/>
    <w:p w14:paraId="3324E481" w14:textId="562E423D" w:rsidR="00F908BB" w:rsidRDefault="00F908BB" w:rsidP="00966E42">
      <w:r>
        <w:t>So, it seems the “value of” is not necessary when referencing this scalar parameter.</w:t>
      </w:r>
    </w:p>
    <w:p w14:paraId="51FF34A8" w14:textId="77777777" w:rsidR="00F908BB" w:rsidRDefault="00F908BB" w:rsidP="00966E42"/>
    <w:p w14:paraId="78003807" w14:textId="537ADD4F" w:rsidR="00FC609F" w:rsidRDefault="00F908BB" w:rsidP="00966E42">
      <w:r>
        <w:t>In the</w:t>
      </w:r>
      <w:r w:rsidR="00966E42">
        <w:t xml:space="preserve"> 802.11 Style Guide (11-09/1034r19),</w:t>
      </w:r>
      <w:r>
        <w:t xml:space="preserve"> there is no explicit discussion for this situation, other than a footnote that quotes that same text from subclause 1.4</w:t>
      </w:r>
      <w:r w:rsidR="00FC609F">
        <w:t>:</w:t>
      </w:r>
    </w:p>
    <w:p w14:paraId="2B88FE69" w14:textId="417A7B4B" w:rsidR="00FC609F" w:rsidRDefault="00FC609F" w:rsidP="00FC609F">
      <w:pPr>
        <w:pBdr>
          <w:top w:val="single" w:sz="4" w:space="1" w:color="auto"/>
          <w:left w:val="single" w:sz="4" w:space="4" w:color="auto"/>
          <w:bottom w:val="single" w:sz="4" w:space="1" w:color="auto"/>
          <w:right w:val="single" w:sz="4" w:space="4" w:color="auto"/>
        </w:pBdr>
      </w:pPr>
      <w:r>
        <w:rPr>
          <w:noProof/>
        </w:rPr>
        <w:drawing>
          <wp:inline distT="0" distB="0" distL="0" distR="0" wp14:anchorId="21CA4087" wp14:editId="127F8769">
            <wp:extent cx="6286500" cy="13430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6500" cy="1343025"/>
                    </a:xfrm>
                    <a:prstGeom prst="rect">
                      <a:avLst/>
                    </a:prstGeom>
                    <a:noFill/>
                    <a:ln>
                      <a:noFill/>
                    </a:ln>
                  </pic:spPr>
                </pic:pic>
              </a:graphicData>
            </a:graphic>
          </wp:inline>
        </w:drawing>
      </w:r>
    </w:p>
    <w:p w14:paraId="2F647B91" w14:textId="77777777" w:rsidR="00FC609F" w:rsidRDefault="00FC609F" w:rsidP="00966E42"/>
    <w:p w14:paraId="6A1F1EB2" w14:textId="3B726A4A" w:rsidR="00966E42" w:rsidRDefault="00F908BB" w:rsidP="00966E42">
      <w:r>
        <w:t>Note that 802.11 Style Guide</w:t>
      </w:r>
      <w:r w:rsidR="00966E42">
        <w:t xml:space="preserve"> subclause 2.13</w:t>
      </w:r>
      <w:r>
        <w:t>, applies to use of “value of” for fields and subfields</w:t>
      </w:r>
      <w:r w:rsidR="00966E42">
        <w:t>:</w:t>
      </w:r>
    </w:p>
    <w:p w14:paraId="7A0E86D4" w14:textId="4251B5CB" w:rsidR="00F908BB" w:rsidRDefault="00F908BB" w:rsidP="00F908BB">
      <w:pPr>
        <w:pBdr>
          <w:top w:val="single" w:sz="4" w:space="1" w:color="auto"/>
          <w:left w:val="single" w:sz="4" w:space="4" w:color="auto"/>
          <w:bottom w:val="single" w:sz="4" w:space="1" w:color="auto"/>
          <w:right w:val="single" w:sz="4" w:space="4" w:color="auto"/>
        </w:pBdr>
      </w:pPr>
      <w:r>
        <w:rPr>
          <w:noProof/>
        </w:rPr>
        <w:lastRenderedPageBreak/>
        <w:drawing>
          <wp:inline distT="0" distB="0" distL="0" distR="0" wp14:anchorId="3786CA92" wp14:editId="0FBF1673">
            <wp:extent cx="5238750" cy="9620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38750" cy="962025"/>
                    </a:xfrm>
                    <a:prstGeom prst="rect">
                      <a:avLst/>
                    </a:prstGeom>
                    <a:noFill/>
                    <a:ln>
                      <a:noFill/>
                    </a:ln>
                  </pic:spPr>
                </pic:pic>
              </a:graphicData>
            </a:graphic>
          </wp:inline>
        </w:drawing>
      </w:r>
    </w:p>
    <w:p w14:paraId="53B7F846" w14:textId="77777777" w:rsidR="00F908BB" w:rsidRDefault="00F908BB" w:rsidP="00F908BB"/>
    <w:p w14:paraId="31DA8196" w14:textId="449FC434" w:rsidR="00966E42" w:rsidRDefault="00966E42" w:rsidP="00966E42">
      <w:pPr>
        <w:pBdr>
          <w:top w:val="single" w:sz="4" w:space="1" w:color="auto"/>
          <w:left w:val="single" w:sz="4" w:space="4" w:color="auto"/>
          <w:bottom w:val="single" w:sz="4" w:space="1" w:color="auto"/>
          <w:right w:val="single" w:sz="4" w:space="4" w:color="auto"/>
        </w:pBdr>
      </w:pPr>
      <w:r>
        <w:rPr>
          <w:noProof/>
        </w:rPr>
        <w:drawing>
          <wp:inline distT="0" distB="0" distL="0" distR="0" wp14:anchorId="73047550" wp14:editId="3A23FF41">
            <wp:extent cx="5666105" cy="734695"/>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66105" cy="734695"/>
                    </a:xfrm>
                    <a:prstGeom prst="rect">
                      <a:avLst/>
                    </a:prstGeom>
                    <a:noFill/>
                    <a:ln>
                      <a:noFill/>
                    </a:ln>
                  </pic:spPr>
                </pic:pic>
              </a:graphicData>
            </a:graphic>
          </wp:inline>
        </w:drawing>
      </w:r>
    </w:p>
    <w:p w14:paraId="4036E1A5" w14:textId="12D8D646" w:rsidR="00966E42" w:rsidRDefault="00966E42" w:rsidP="00966E42"/>
    <w:p w14:paraId="23A0EFBB" w14:textId="738772FC" w:rsidR="00FC609F" w:rsidRDefault="00FC609F" w:rsidP="00966E42">
      <w:r>
        <w:t>(Interestingly, the footnote copied above applies to this text (just above) which is just about fields/subfields, but the footnote text explicitly does cover other cases, including a scalar parameter.)</w:t>
      </w:r>
    </w:p>
    <w:p w14:paraId="23AFF5D4" w14:textId="77777777" w:rsidR="00FC609F" w:rsidRDefault="00FC609F" w:rsidP="00966E42"/>
    <w:p w14:paraId="5C26FFB0" w14:textId="368974BF" w:rsidR="00966E42" w:rsidRDefault="00966E42" w:rsidP="00966E42">
      <w:r>
        <w:t>So,</w:t>
      </w:r>
      <w:r w:rsidR="00FC609F">
        <w:t xml:space="preserve"> for the (first) cited location,</w:t>
      </w:r>
      <w:r>
        <w:t xml:space="preserve"> agree with the commenter</w:t>
      </w:r>
      <w:r w:rsidR="00F908BB">
        <w:t>, even though this is not strictly</w:t>
      </w:r>
      <w:r w:rsidR="00FC609F">
        <w:t xml:space="preserve"> covered by the Style Guide, it seems clear from subclause 1.4 of the baseline</w:t>
      </w:r>
      <w:r>
        <w:t>.</w:t>
      </w:r>
    </w:p>
    <w:p w14:paraId="1DD92F4B" w14:textId="2E5315EC" w:rsidR="00966E42" w:rsidRDefault="00966E42" w:rsidP="00966E42"/>
    <w:p w14:paraId="447CD99F" w14:textId="77777777" w:rsidR="00FC609F" w:rsidRDefault="00FC609F" w:rsidP="00966E42"/>
    <w:p w14:paraId="7790240D" w14:textId="0FECAAA1" w:rsidR="00FC609F" w:rsidRDefault="00FC609F" w:rsidP="00966E42">
      <w:r>
        <w:t xml:space="preserve">However, for the other locations, let’s look at </w:t>
      </w:r>
      <w:r w:rsidRPr="00FC609F">
        <w:t>P137L18</w:t>
      </w:r>
      <w:r>
        <w:t xml:space="preserve"> as an example:</w:t>
      </w:r>
    </w:p>
    <w:p w14:paraId="3E417C73" w14:textId="0F3C28E5" w:rsidR="00FC609F" w:rsidRDefault="00FC609F" w:rsidP="00FC609F">
      <w:pPr>
        <w:pBdr>
          <w:top w:val="single" w:sz="4" w:space="1" w:color="auto"/>
          <w:left w:val="single" w:sz="4" w:space="4" w:color="auto"/>
          <w:bottom w:val="single" w:sz="4" w:space="1" w:color="auto"/>
          <w:right w:val="single" w:sz="4" w:space="4" w:color="auto"/>
        </w:pBdr>
      </w:pPr>
      <w:r>
        <w:rPr>
          <w:noProof/>
        </w:rPr>
        <w:drawing>
          <wp:inline distT="0" distB="0" distL="0" distR="0" wp14:anchorId="49DD5EFA" wp14:editId="32ED30C0">
            <wp:extent cx="6400800" cy="24860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2486025"/>
                    </a:xfrm>
                    <a:prstGeom prst="rect">
                      <a:avLst/>
                    </a:prstGeom>
                    <a:noFill/>
                    <a:ln>
                      <a:noFill/>
                    </a:ln>
                  </pic:spPr>
                </pic:pic>
              </a:graphicData>
            </a:graphic>
          </wp:inline>
        </w:drawing>
      </w:r>
    </w:p>
    <w:p w14:paraId="11F98447" w14:textId="77777777" w:rsidR="00FC609F" w:rsidRDefault="00FC609F" w:rsidP="00966E42"/>
    <w:p w14:paraId="5D7F0AA8" w14:textId="59AD2E95" w:rsidR="00966E42" w:rsidRDefault="00FC609F" w:rsidP="00966E42">
      <w:r>
        <w:t xml:space="preserve">Here, this is a slightly different construct, in effect, “Maximum data unit size … is equal to the value of A-MSDU size …” and this is not any of the cases covered by either subclause 1.4 or the 802.11 Style Guide.  The locations at </w:t>
      </w:r>
      <w:r w:rsidRPr="00A26EDE">
        <w:t>P137L43</w:t>
      </w:r>
      <w:r w:rsidRPr="00FC609F">
        <w:t xml:space="preserve"> are similar.</w:t>
      </w:r>
    </w:p>
    <w:p w14:paraId="3777A33A" w14:textId="03BDBBD8" w:rsidR="00FC609F" w:rsidRDefault="00FC609F" w:rsidP="00966E42"/>
    <w:p w14:paraId="20DC03CB" w14:textId="36CC6ECA" w:rsidR="00FC609F" w:rsidRDefault="00FC609F" w:rsidP="00966E42">
      <w:r>
        <w:t>For these, suggest that the proposed change be rejected, as we have no clear convention that just saying “A-MSDU size” means “the value of A-MSDU size”</w:t>
      </w:r>
      <w:r w:rsidR="00C31070">
        <w:t>, which is meant to be a reference to another row in this same table, labelled “A-MSDU size”.</w:t>
      </w:r>
    </w:p>
    <w:p w14:paraId="5BC2FFF1" w14:textId="5A1F9B43" w:rsidR="00C31070" w:rsidRDefault="00C31070" w:rsidP="00966E42"/>
    <w:p w14:paraId="0994476A" w14:textId="77777777" w:rsidR="00C31070" w:rsidRDefault="00C31070" w:rsidP="00966E42"/>
    <w:p w14:paraId="0514D2AF" w14:textId="5D327D3D" w:rsidR="00C31070" w:rsidRDefault="00C31070" w:rsidP="00966E42">
      <w:r>
        <w:t xml:space="preserve">Finally, looking at </w:t>
      </w:r>
      <w:r w:rsidRPr="00C31070">
        <w:t>P143L6</w:t>
      </w:r>
      <w:r>
        <w:t>:</w:t>
      </w:r>
    </w:p>
    <w:p w14:paraId="74FB7B27" w14:textId="1363CD16" w:rsidR="00C31070" w:rsidRDefault="00C31070" w:rsidP="00C31070">
      <w:pPr>
        <w:pBdr>
          <w:top w:val="single" w:sz="4" w:space="1" w:color="auto"/>
          <w:left w:val="single" w:sz="4" w:space="4" w:color="auto"/>
          <w:bottom w:val="single" w:sz="4" w:space="1" w:color="auto"/>
          <w:right w:val="single" w:sz="4" w:space="4" w:color="auto"/>
        </w:pBdr>
      </w:pPr>
      <w:r>
        <w:rPr>
          <w:noProof/>
        </w:rPr>
        <w:lastRenderedPageBreak/>
        <w:drawing>
          <wp:inline distT="0" distB="0" distL="0" distR="0" wp14:anchorId="1100290E" wp14:editId="1A5A405C">
            <wp:extent cx="6391275" cy="10001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91275" cy="1000125"/>
                    </a:xfrm>
                    <a:prstGeom prst="rect">
                      <a:avLst/>
                    </a:prstGeom>
                    <a:noFill/>
                    <a:ln>
                      <a:noFill/>
                    </a:ln>
                  </pic:spPr>
                </pic:pic>
              </a:graphicData>
            </a:graphic>
          </wp:inline>
        </w:drawing>
      </w:r>
    </w:p>
    <w:p w14:paraId="2A9D03D8" w14:textId="77777777" w:rsidR="00C31070" w:rsidRDefault="00C31070" w:rsidP="00966E42"/>
    <w:p w14:paraId="4D3AA80B" w14:textId="7A475086" w:rsidR="00C31070" w:rsidRDefault="00C31070" w:rsidP="00966E42">
      <w:r>
        <w:t>This is clearly referencing a subfield, and so it is clearly covered by the 802.11 Style Guide subclause 2.13.  That said, this is baseline text, not 802.11be changed text.</w:t>
      </w:r>
    </w:p>
    <w:p w14:paraId="1CE918BF" w14:textId="356718CD" w:rsidR="00C31070" w:rsidRDefault="00C31070" w:rsidP="00966E42"/>
    <w:p w14:paraId="4F2F39E7" w14:textId="1F276B9D" w:rsidR="00C31070" w:rsidRDefault="00C31070" w:rsidP="00966E42">
      <w:r>
        <w:t>Do we want to extend 802.11be updates to include “fixing” this type of editorial error in the baseline, or reject this comment (and suggest perhaps it should be filed against REVme)?</w:t>
      </w:r>
    </w:p>
    <w:p w14:paraId="46583203" w14:textId="40837DF9" w:rsidR="00C31070" w:rsidRDefault="00C31070" w:rsidP="00966E42"/>
    <w:p w14:paraId="0F848DFB" w14:textId="2FCC91D2" w:rsidR="00C31070" w:rsidRDefault="00C31070" w:rsidP="00966E42">
      <w:r>
        <w:t>Alternative 1:</w:t>
      </w:r>
    </w:p>
    <w:p w14:paraId="5602FFA7" w14:textId="59AD603A" w:rsidR="00C31070" w:rsidRDefault="00C31070" w:rsidP="00966E42">
      <w:r>
        <w:t>Reject this part of the comment.  “This comment is not in scope of the 802.11be amendment changes.”</w:t>
      </w:r>
    </w:p>
    <w:p w14:paraId="383D8065" w14:textId="2A736814" w:rsidR="00C31070" w:rsidRDefault="00C31070" w:rsidP="00966E42"/>
    <w:p w14:paraId="286C8263" w14:textId="7DB2FD31" w:rsidR="00C31070" w:rsidRDefault="00C31070" w:rsidP="00966E42">
      <w:r>
        <w:t>Alternative 2:</w:t>
      </w:r>
    </w:p>
    <w:p w14:paraId="56A84A85" w14:textId="4CFAFDE6" w:rsidR="00C31070" w:rsidRDefault="00C31070" w:rsidP="00966E42">
      <w:r>
        <w:t>Accept this part of the comment, and extend the 802.11be amendment changes to fix up any such errors we notice.</w:t>
      </w:r>
    </w:p>
    <w:p w14:paraId="4FBF841B" w14:textId="013BE02C" w:rsidR="00C31070" w:rsidRDefault="00C31070" w:rsidP="00966E42"/>
    <w:p w14:paraId="71139BB9" w14:textId="1849FAB4" w:rsidR="00C31070" w:rsidRDefault="00C31070" w:rsidP="00966E42"/>
    <w:p w14:paraId="69237905" w14:textId="5758D539" w:rsidR="00C31070" w:rsidRDefault="00C31070" w:rsidP="00966E42">
      <w:r>
        <w:rPr>
          <w:b/>
          <w:bCs/>
          <w:u w:val="single"/>
        </w:rPr>
        <w:t>Proposed Resolution:</w:t>
      </w:r>
    </w:p>
    <w:p w14:paraId="05F8D236" w14:textId="4BFFE661" w:rsidR="00C31070" w:rsidRDefault="00C31070" w:rsidP="00966E42">
      <w:r w:rsidRPr="0049384C">
        <w:rPr>
          <w:highlight w:val="green"/>
        </w:rPr>
        <w:t>Revised.</w:t>
      </w:r>
    </w:p>
    <w:p w14:paraId="3335F74C" w14:textId="18BD777A" w:rsidR="00C31070" w:rsidRDefault="00C31070" w:rsidP="00966E42"/>
    <w:p w14:paraId="60EAEE80" w14:textId="6D5E1B8D" w:rsidR="00C31070" w:rsidRDefault="00C31070" w:rsidP="00966E42">
      <w:r>
        <w:t>At P110.50, delete “value of”.</w:t>
      </w:r>
    </w:p>
    <w:p w14:paraId="4E53E197" w14:textId="030230F4" w:rsidR="00C31070" w:rsidRDefault="00C31070" w:rsidP="00966E42"/>
    <w:p w14:paraId="33B01134" w14:textId="77777777" w:rsidR="00C31070" w:rsidRPr="00C31070" w:rsidRDefault="00C31070" w:rsidP="00966E42"/>
    <w:p w14:paraId="349E5869" w14:textId="64A947F6" w:rsidR="00966E42" w:rsidRDefault="00966E42" w:rsidP="00966E42">
      <w:r>
        <w:br w:type="page"/>
      </w:r>
    </w:p>
    <w:p w14:paraId="6E5140C2" w14:textId="0205FEEB" w:rsidR="00966E42" w:rsidRDefault="00966E42"/>
    <w:p w14:paraId="10F064C2" w14:textId="77777777" w:rsidR="00E777C9" w:rsidRDefault="00E777C9"/>
    <w:p w14:paraId="1C0AC56C" w14:textId="6A5AC6E0" w:rsidR="000F4867" w:rsidRPr="000F4867" w:rsidRDefault="002D49E7" w:rsidP="000F4867">
      <w:pPr>
        <w:pStyle w:val="Heading1"/>
      </w:pPr>
      <w:r>
        <w:t>Not ready yet</w:t>
      </w:r>
    </w:p>
    <w:p w14:paraId="64447369" w14:textId="77777777" w:rsidR="000F4867" w:rsidRDefault="000F4867" w:rsidP="000F4867"/>
    <w:tbl>
      <w:tblPr>
        <w:tblStyle w:val="TableGrid"/>
        <w:tblW w:w="10070" w:type="dxa"/>
        <w:tblLook w:val="04A0" w:firstRow="1" w:lastRow="0" w:firstColumn="1" w:lastColumn="0" w:noHBand="0" w:noVBand="1"/>
      </w:tblPr>
      <w:tblGrid>
        <w:gridCol w:w="773"/>
        <w:gridCol w:w="1217"/>
        <w:gridCol w:w="730"/>
        <w:gridCol w:w="1492"/>
        <w:gridCol w:w="2251"/>
        <w:gridCol w:w="3607"/>
      </w:tblGrid>
      <w:tr w:rsidR="00A26EDE" w:rsidRPr="00FE338E" w14:paraId="1B1094DE" w14:textId="77777777" w:rsidTr="00A26EDE">
        <w:trPr>
          <w:trHeight w:val="570"/>
        </w:trPr>
        <w:tc>
          <w:tcPr>
            <w:tcW w:w="773" w:type="dxa"/>
            <w:hideMark/>
          </w:tcPr>
          <w:p w14:paraId="7B79969F" w14:textId="77777777" w:rsidR="00A26EDE" w:rsidRPr="00FE338E" w:rsidRDefault="00A26EDE">
            <w:pPr>
              <w:rPr>
                <w:b/>
                <w:bCs/>
                <w:lang w:val="en-US"/>
              </w:rPr>
            </w:pPr>
            <w:r w:rsidRPr="00FE338E">
              <w:rPr>
                <w:b/>
                <w:bCs/>
              </w:rPr>
              <w:t>CID</w:t>
            </w:r>
          </w:p>
        </w:tc>
        <w:tc>
          <w:tcPr>
            <w:tcW w:w="1217" w:type="dxa"/>
            <w:hideMark/>
          </w:tcPr>
          <w:p w14:paraId="511B92A4" w14:textId="77777777" w:rsidR="00A26EDE" w:rsidRPr="00FE338E" w:rsidRDefault="00A26EDE">
            <w:pPr>
              <w:rPr>
                <w:b/>
                <w:bCs/>
              </w:rPr>
            </w:pPr>
            <w:r w:rsidRPr="00FE338E">
              <w:rPr>
                <w:b/>
                <w:bCs/>
              </w:rPr>
              <w:t>Clause Number</w:t>
            </w:r>
          </w:p>
        </w:tc>
        <w:tc>
          <w:tcPr>
            <w:tcW w:w="730" w:type="dxa"/>
            <w:hideMark/>
          </w:tcPr>
          <w:p w14:paraId="29D56CA1" w14:textId="66D37685" w:rsidR="00A26EDE" w:rsidRPr="00FE338E" w:rsidRDefault="00A26EDE">
            <w:pPr>
              <w:rPr>
                <w:b/>
                <w:bCs/>
              </w:rPr>
            </w:pPr>
            <w:r w:rsidRPr="00FE338E">
              <w:rPr>
                <w:b/>
                <w:bCs/>
              </w:rPr>
              <w:t>Page</w:t>
            </w:r>
          </w:p>
        </w:tc>
        <w:tc>
          <w:tcPr>
            <w:tcW w:w="1492" w:type="dxa"/>
          </w:tcPr>
          <w:p w14:paraId="4E9C9B74" w14:textId="4903E051" w:rsidR="00A26EDE" w:rsidRPr="00FE338E" w:rsidRDefault="00A26EDE">
            <w:pPr>
              <w:rPr>
                <w:b/>
                <w:bCs/>
              </w:rPr>
            </w:pPr>
            <w:r>
              <w:rPr>
                <w:b/>
                <w:bCs/>
              </w:rPr>
              <w:t>Line</w:t>
            </w:r>
          </w:p>
        </w:tc>
        <w:tc>
          <w:tcPr>
            <w:tcW w:w="2251" w:type="dxa"/>
            <w:hideMark/>
          </w:tcPr>
          <w:p w14:paraId="6FD2BEA1" w14:textId="303078F2" w:rsidR="00A26EDE" w:rsidRPr="00FE338E" w:rsidRDefault="00A26EDE">
            <w:pPr>
              <w:rPr>
                <w:b/>
                <w:bCs/>
              </w:rPr>
            </w:pPr>
            <w:r w:rsidRPr="00FE338E">
              <w:rPr>
                <w:b/>
                <w:bCs/>
              </w:rPr>
              <w:t>Comment</w:t>
            </w:r>
          </w:p>
        </w:tc>
        <w:tc>
          <w:tcPr>
            <w:tcW w:w="3607" w:type="dxa"/>
            <w:hideMark/>
          </w:tcPr>
          <w:p w14:paraId="02E80B92" w14:textId="77777777" w:rsidR="00A26EDE" w:rsidRPr="00FE338E" w:rsidRDefault="00A26EDE">
            <w:pPr>
              <w:rPr>
                <w:b/>
                <w:bCs/>
              </w:rPr>
            </w:pPr>
            <w:r w:rsidRPr="00FE338E">
              <w:rPr>
                <w:b/>
                <w:bCs/>
              </w:rPr>
              <w:t>Proposed Change</w:t>
            </w:r>
          </w:p>
        </w:tc>
      </w:tr>
      <w:tr w:rsidR="00A26EDE" w:rsidRPr="00A26EDE" w14:paraId="7EFDE89C" w14:textId="77777777" w:rsidTr="00966E42">
        <w:trPr>
          <w:trHeight w:val="1275"/>
        </w:trPr>
        <w:tc>
          <w:tcPr>
            <w:tcW w:w="773" w:type="dxa"/>
          </w:tcPr>
          <w:p w14:paraId="63BE42E9" w14:textId="4BD21B3A" w:rsidR="00A26EDE" w:rsidRPr="00A26EDE" w:rsidRDefault="00A26EDE" w:rsidP="00A26EDE">
            <w:pPr>
              <w:jc w:val="right"/>
              <w:rPr>
                <w:rFonts w:ascii="Arial" w:hAnsi="Arial" w:cs="Arial"/>
                <w:sz w:val="20"/>
                <w:lang w:val="en-US"/>
              </w:rPr>
            </w:pPr>
          </w:p>
        </w:tc>
        <w:tc>
          <w:tcPr>
            <w:tcW w:w="1217" w:type="dxa"/>
          </w:tcPr>
          <w:p w14:paraId="1519D5DD" w14:textId="7E778FBC" w:rsidR="00A26EDE" w:rsidRPr="00A26EDE" w:rsidRDefault="00A26EDE" w:rsidP="00A26EDE">
            <w:pPr>
              <w:rPr>
                <w:rFonts w:ascii="Arial" w:hAnsi="Arial" w:cs="Arial"/>
                <w:sz w:val="20"/>
                <w:lang w:val="en-US"/>
              </w:rPr>
            </w:pPr>
          </w:p>
        </w:tc>
        <w:tc>
          <w:tcPr>
            <w:tcW w:w="730" w:type="dxa"/>
          </w:tcPr>
          <w:p w14:paraId="1B2E445F" w14:textId="59D293A9" w:rsidR="00A26EDE" w:rsidRPr="00A26EDE" w:rsidRDefault="00A26EDE" w:rsidP="00A26EDE">
            <w:pPr>
              <w:rPr>
                <w:rFonts w:ascii="Arial" w:hAnsi="Arial" w:cs="Arial"/>
                <w:sz w:val="20"/>
                <w:lang w:val="en-US"/>
              </w:rPr>
            </w:pPr>
          </w:p>
        </w:tc>
        <w:tc>
          <w:tcPr>
            <w:tcW w:w="1492" w:type="dxa"/>
          </w:tcPr>
          <w:p w14:paraId="5901B61E" w14:textId="673E3DB7" w:rsidR="00A26EDE" w:rsidRPr="00A26EDE" w:rsidRDefault="00A26EDE" w:rsidP="00A26EDE">
            <w:pPr>
              <w:rPr>
                <w:rFonts w:ascii="Arial" w:hAnsi="Arial" w:cs="Arial"/>
                <w:sz w:val="20"/>
                <w:lang w:val="en-US"/>
              </w:rPr>
            </w:pPr>
          </w:p>
        </w:tc>
        <w:tc>
          <w:tcPr>
            <w:tcW w:w="2251" w:type="dxa"/>
          </w:tcPr>
          <w:p w14:paraId="31B49349" w14:textId="0DADFFE2" w:rsidR="00A26EDE" w:rsidRPr="00A26EDE" w:rsidRDefault="00A26EDE" w:rsidP="00A26EDE">
            <w:pPr>
              <w:rPr>
                <w:rFonts w:ascii="Arial" w:hAnsi="Arial" w:cs="Arial"/>
                <w:sz w:val="20"/>
                <w:lang w:val="en-US"/>
              </w:rPr>
            </w:pPr>
          </w:p>
        </w:tc>
        <w:tc>
          <w:tcPr>
            <w:tcW w:w="3607" w:type="dxa"/>
          </w:tcPr>
          <w:p w14:paraId="7783310E" w14:textId="39B27136" w:rsidR="00A26EDE" w:rsidRPr="00A26EDE" w:rsidRDefault="00A26EDE" w:rsidP="00A26EDE">
            <w:pPr>
              <w:rPr>
                <w:rFonts w:ascii="Arial" w:hAnsi="Arial" w:cs="Arial"/>
                <w:sz w:val="20"/>
                <w:lang w:val="en-US"/>
              </w:rPr>
            </w:pPr>
          </w:p>
        </w:tc>
      </w:tr>
    </w:tbl>
    <w:p w14:paraId="310C5F4F" w14:textId="77777777" w:rsidR="000F4867" w:rsidRDefault="000F4867" w:rsidP="000F4867"/>
    <w:p w14:paraId="42B11D36" w14:textId="77777777" w:rsidR="000F4867" w:rsidRDefault="000F4867" w:rsidP="000F4867">
      <w:r>
        <w:br w:type="page"/>
      </w:r>
    </w:p>
    <w:p w14:paraId="1FBA6D59" w14:textId="6AED36EE" w:rsidR="000F4867" w:rsidRPr="000F4867" w:rsidRDefault="000F4867" w:rsidP="000F4867">
      <w:pPr>
        <w:pStyle w:val="Heading1"/>
      </w:pPr>
      <w:r>
        <w:lastRenderedPageBreak/>
        <w:t>Completed</w:t>
      </w:r>
    </w:p>
    <w:p w14:paraId="4E01A2CF" w14:textId="77777777" w:rsidR="000F4867" w:rsidRDefault="000F4867" w:rsidP="000F4867"/>
    <w:p w14:paraId="2FCFB0DF" w14:textId="77777777" w:rsidR="000F4867" w:rsidRDefault="000F4867" w:rsidP="000F4867"/>
    <w:p w14:paraId="4DC13467" w14:textId="77777777" w:rsidR="000F4867" w:rsidRDefault="000F4867" w:rsidP="000F4867">
      <w:r>
        <w:br w:type="page"/>
      </w:r>
    </w:p>
    <w:p w14:paraId="60C82471" w14:textId="64EE7D63" w:rsidR="00CA09B2" w:rsidRDefault="00CA09B2">
      <w:pPr>
        <w:rPr>
          <w:b/>
          <w:sz w:val="24"/>
        </w:rPr>
      </w:pPr>
      <w:r>
        <w:rPr>
          <w:b/>
          <w:sz w:val="24"/>
        </w:rPr>
        <w:lastRenderedPageBreak/>
        <w:t>References:</w:t>
      </w:r>
    </w:p>
    <w:p w14:paraId="792AEB0C" w14:textId="271498AA" w:rsidR="00CA09B2" w:rsidRDefault="00CA09B2"/>
    <w:p w14:paraId="5C31830E" w14:textId="5D42D07E" w:rsidR="009923C6" w:rsidRDefault="00000000">
      <w:hyperlink r:id="rId21" w:history="1">
        <w:r w:rsidR="009923C6" w:rsidRPr="00206B32">
          <w:rPr>
            <w:rStyle w:val="Hyperlink"/>
          </w:rPr>
          <w:t>https://mentor.ieee.org/802.11/dcn/23/11-23-1152-24-00bh-ieee-802-11bh-lb274-comments.xlsx</w:t>
        </w:r>
      </w:hyperlink>
      <w:r w:rsidR="009923C6">
        <w:t xml:space="preserve"> </w:t>
      </w:r>
    </w:p>
    <w:p w14:paraId="67455FEA" w14:textId="6B7D94A8" w:rsidR="009923C6" w:rsidRDefault="009923C6"/>
    <w:p w14:paraId="4BBCEC83" w14:textId="4A43F8CD" w:rsidR="009923C6" w:rsidRDefault="00000000">
      <w:hyperlink r:id="rId22" w:history="1">
        <w:r w:rsidR="009923C6" w:rsidRPr="00206B32">
          <w:rPr>
            <w:rStyle w:val="Hyperlink"/>
          </w:rPr>
          <w:t>https://mentor.ieee.org/802.11/dcn/23/11-23-1245-24-00bh-cid-resolutions-irm-1.docx</w:t>
        </w:r>
      </w:hyperlink>
      <w:r w:rsidR="009923C6">
        <w:t xml:space="preserve"> </w:t>
      </w:r>
    </w:p>
    <w:p w14:paraId="2CACA4EB" w14:textId="77777777" w:rsidR="009923C6" w:rsidRDefault="009923C6"/>
    <w:sectPr w:rsidR="009923C6" w:rsidSect="009273F6">
      <w:headerReference w:type="default" r:id="rId23"/>
      <w:footerReference w:type="default" r:id="rId24"/>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E4B4C" w14:textId="77777777" w:rsidR="004B26F6" w:rsidRDefault="004B26F6">
      <w:r>
        <w:separator/>
      </w:r>
    </w:p>
  </w:endnote>
  <w:endnote w:type="continuationSeparator" w:id="0">
    <w:p w14:paraId="6FC0E4A0" w14:textId="77777777" w:rsidR="004B26F6" w:rsidRDefault="004B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517D" w14:textId="77777777" w:rsidR="0029020B" w:rsidRDefault="00000000">
    <w:pPr>
      <w:pStyle w:val="Footer"/>
      <w:tabs>
        <w:tab w:val="clear" w:pos="6480"/>
        <w:tab w:val="center" w:pos="4680"/>
        <w:tab w:val="right" w:pos="9360"/>
      </w:tabs>
    </w:pPr>
    <w:fldSimple w:instr=" SUBJECT  \* MERGEFORMAT ">
      <w:r w:rsidR="00645D66">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645D66">
        <w:t>Mark Hamilton, Ruckus/CommScope</w:t>
      </w:r>
    </w:fldSimple>
  </w:p>
  <w:p w14:paraId="7D5A010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1DF44" w14:textId="77777777" w:rsidR="004B26F6" w:rsidRDefault="004B26F6">
      <w:r>
        <w:separator/>
      </w:r>
    </w:p>
  </w:footnote>
  <w:footnote w:type="continuationSeparator" w:id="0">
    <w:p w14:paraId="79E73E0F" w14:textId="77777777" w:rsidR="004B26F6" w:rsidRDefault="004B2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7968" w14:textId="395BFC35" w:rsidR="0029020B" w:rsidRDefault="00000000" w:rsidP="008D5345">
    <w:pPr>
      <w:pStyle w:val="Header"/>
      <w:tabs>
        <w:tab w:val="clear" w:pos="6480"/>
        <w:tab w:val="center" w:pos="4680"/>
        <w:tab w:val="right" w:pos="10080"/>
      </w:tabs>
    </w:pPr>
    <w:fldSimple w:instr=" KEYWORDS  \* MERGEFORMAT ">
      <w:r w:rsidR="00497492">
        <w:t>November 2023</w:t>
      </w:r>
    </w:fldSimple>
    <w:r w:rsidR="0029020B">
      <w:tab/>
    </w:r>
    <w:r w:rsidR="0029020B">
      <w:tab/>
    </w:r>
    <w:fldSimple w:instr=" TITLE  \* MERGEFORMAT ">
      <w:r w:rsidR="00497492">
        <w:t>doc.: IEEE 802.11-23/1810r</w:t>
      </w:r>
    </w:fldSimple>
    <w:r w:rsidR="0049384C">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97563"/>
    <w:multiLevelType w:val="hybridMultilevel"/>
    <w:tmpl w:val="93604F6C"/>
    <w:lvl w:ilvl="0" w:tplc="A0F4195E">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BA1CA5"/>
    <w:multiLevelType w:val="hybridMultilevel"/>
    <w:tmpl w:val="84FC2CAA"/>
    <w:lvl w:ilvl="0" w:tplc="11C043EE">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2345578">
    <w:abstractNumId w:val="0"/>
  </w:num>
  <w:num w:numId="2" w16cid:durableId="456067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D66"/>
    <w:rsid w:val="0000216F"/>
    <w:rsid w:val="00053EBC"/>
    <w:rsid w:val="00076511"/>
    <w:rsid w:val="00095D6B"/>
    <w:rsid w:val="000F4867"/>
    <w:rsid w:val="00107547"/>
    <w:rsid w:val="00110274"/>
    <w:rsid w:val="001D723B"/>
    <w:rsid w:val="00235919"/>
    <w:rsid w:val="002569C6"/>
    <w:rsid w:val="00283AA7"/>
    <w:rsid w:val="0029020B"/>
    <w:rsid w:val="002B49CC"/>
    <w:rsid w:val="002D44BE"/>
    <w:rsid w:val="002D49E7"/>
    <w:rsid w:val="002F6CC2"/>
    <w:rsid w:val="00354327"/>
    <w:rsid w:val="00382812"/>
    <w:rsid w:val="003B4CC8"/>
    <w:rsid w:val="003B4FCF"/>
    <w:rsid w:val="003D6A1A"/>
    <w:rsid w:val="003E0D23"/>
    <w:rsid w:val="003F5B29"/>
    <w:rsid w:val="00442037"/>
    <w:rsid w:val="0049384C"/>
    <w:rsid w:val="00493A8A"/>
    <w:rsid w:val="00497492"/>
    <w:rsid w:val="004B064B"/>
    <w:rsid w:val="004B26F6"/>
    <w:rsid w:val="004C366C"/>
    <w:rsid w:val="004F4D34"/>
    <w:rsid w:val="00532D96"/>
    <w:rsid w:val="00536115"/>
    <w:rsid w:val="00550A6B"/>
    <w:rsid w:val="00554AA9"/>
    <w:rsid w:val="00574924"/>
    <w:rsid w:val="00591646"/>
    <w:rsid w:val="005E72E7"/>
    <w:rsid w:val="005F7409"/>
    <w:rsid w:val="00603BBB"/>
    <w:rsid w:val="0062440B"/>
    <w:rsid w:val="00645D66"/>
    <w:rsid w:val="00655D52"/>
    <w:rsid w:val="00660847"/>
    <w:rsid w:val="00673CF5"/>
    <w:rsid w:val="006B0F27"/>
    <w:rsid w:val="006C0727"/>
    <w:rsid w:val="006C1EF7"/>
    <w:rsid w:val="006E145F"/>
    <w:rsid w:val="006F6C7D"/>
    <w:rsid w:val="0074773B"/>
    <w:rsid w:val="00754F61"/>
    <w:rsid w:val="00770572"/>
    <w:rsid w:val="007C77AE"/>
    <w:rsid w:val="007D4FB6"/>
    <w:rsid w:val="00837C31"/>
    <w:rsid w:val="00880699"/>
    <w:rsid w:val="008825EF"/>
    <w:rsid w:val="008D5345"/>
    <w:rsid w:val="00907110"/>
    <w:rsid w:val="009273F6"/>
    <w:rsid w:val="00966E42"/>
    <w:rsid w:val="0097229A"/>
    <w:rsid w:val="00977680"/>
    <w:rsid w:val="009923C6"/>
    <w:rsid w:val="009F2FBC"/>
    <w:rsid w:val="00A26EDE"/>
    <w:rsid w:val="00A42538"/>
    <w:rsid w:val="00A506EE"/>
    <w:rsid w:val="00A547EC"/>
    <w:rsid w:val="00A56017"/>
    <w:rsid w:val="00A70322"/>
    <w:rsid w:val="00AA427C"/>
    <w:rsid w:val="00AC2536"/>
    <w:rsid w:val="00BA25F5"/>
    <w:rsid w:val="00BA52EF"/>
    <w:rsid w:val="00BD79FF"/>
    <w:rsid w:val="00BE68C2"/>
    <w:rsid w:val="00C05CB8"/>
    <w:rsid w:val="00C31070"/>
    <w:rsid w:val="00C31319"/>
    <w:rsid w:val="00C37CB4"/>
    <w:rsid w:val="00C648F0"/>
    <w:rsid w:val="00C874D8"/>
    <w:rsid w:val="00CA09B2"/>
    <w:rsid w:val="00D14A57"/>
    <w:rsid w:val="00D17890"/>
    <w:rsid w:val="00D52A4A"/>
    <w:rsid w:val="00D54E9C"/>
    <w:rsid w:val="00DC09B9"/>
    <w:rsid w:val="00DC5A7B"/>
    <w:rsid w:val="00E16C15"/>
    <w:rsid w:val="00E777C9"/>
    <w:rsid w:val="00E90EFD"/>
    <w:rsid w:val="00EF08D1"/>
    <w:rsid w:val="00EF7BDE"/>
    <w:rsid w:val="00F00517"/>
    <w:rsid w:val="00F908BB"/>
    <w:rsid w:val="00F92E25"/>
    <w:rsid w:val="00F93296"/>
    <w:rsid w:val="00FC609F"/>
    <w:rsid w:val="00FE338E"/>
    <w:rsid w:val="00FF2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809C0"/>
  <w15:chartTrackingRefBased/>
  <w15:docId w15:val="{9275469D-8DF1-4496-BC48-56087E60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basedOn w:val="DefaultParagraphFont"/>
    <w:link w:val="Heading1"/>
    <w:rsid w:val="003B4FCF"/>
    <w:rPr>
      <w:rFonts w:ascii="Arial" w:hAnsi="Arial"/>
      <w:b/>
      <w:sz w:val="32"/>
      <w:u w:val="single"/>
      <w:lang w:val="en-GB"/>
    </w:rPr>
  </w:style>
  <w:style w:type="table" w:styleId="TableGrid">
    <w:name w:val="Table Grid"/>
    <w:basedOn w:val="TableNormal"/>
    <w:rsid w:val="00FE3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5D52"/>
    <w:pPr>
      <w:ind w:left="720"/>
      <w:contextualSpacing/>
    </w:pPr>
  </w:style>
  <w:style w:type="character" w:styleId="UnresolvedMention">
    <w:name w:val="Unresolved Mention"/>
    <w:basedOn w:val="DefaultParagraphFont"/>
    <w:uiPriority w:val="99"/>
    <w:semiHidden/>
    <w:unhideWhenUsed/>
    <w:rsid w:val="00992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8627">
      <w:bodyDiv w:val="1"/>
      <w:marLeft w:val="0"/>
      <w:marRight w:val="0"/>
      <w:marTop w:val="0"/>
      <w:marBottom w:val="0"/>
      <w:divBdr>
        <w:top w:val="none" w:sz="0" w:space="0" w:color="auto"/>
        <w:left w:val="none" w:sz="0" w:space="0" w:color="auto"/>
        <w:bottom w:val="none" w:sz="0" w:space="0" w:color="auto"/>
        <w:right w:val="none" w:sz="0" w:space="0" w:color="auto"/>
      </w:divBdr>
    </w:div>
    <w:div w:id="74936835">
      <w:bodyDiv w:val="1"/>
      <w:marLeft w:val="0"/>
      <w:marRight w:val="0"/>
      <w:marTop w:val="0"/>
      <w:marBottom w:val="0"/>
      <w:divBdr>
        <w:top w:val="none" w:sz="0" w:space="0" w:color="auto"/>
        <w:left w:val="none" w:sz="0" w:space="0" w:color="auto"/>
        <w:bottom w:val="none" w:sz="0" w:space="0" w:color="auto"/>
        <w:right w:val="none" w:sz="0" w:space="0" w:color="auto"/>
      </w:divBdr>
    </w:div>
    <w:div w:id="296381527">
      <w:bodyDiv w:val="1"/>
      <w:marLeft w:val="0"/>
      <w:marRight w:val="0"/>
      <w:marTop w:val="0"/>
      <w:marBottom w:val="0"/>
      <w:divBdr>
        <w:top w:val="none" w:sz="0" w:space="0" w:color="auto"/>
        <w:left w:val="none" w:sz="0" w:space="0" w:color="auto"/>
        <w:bottom w:val="none" w:sz="0" w:space="0" w:color="auto"/>
        <w:right w:val="none" w:sz="0" w:space="0" w:color="auto"/>
      </w:divBdr>
    </w:div>
    <w:div w:id="718865726">
      <w:bodyDiv w:val="1"/>
      <w:marLeft w:val="0"/>
      <w:marRight w:val="0"/>
      <w:marTop w:val="0"/>
      <w:marBottom w:val="0"/>
      <w:divBdr>
        <w:top w:val="none" w:sz="0" w:space="0" w:color="auto"/>
        <w:left w:val="none" w:sz="0" w:space="0" w:color="auto"/>
        <w:bottom w:val="none" w:sz="0" w:space="0" w:color="auto"/>
        <w:right w:val="none" w:sz="0" w:space="0" w:color="auto"/>
      </w:divBdr>
    </w:div>
    <w:div w:id="1069690554">
      <w:bodyDiv w:val="1"/>
      <w:marLeft w:val="0"/>
      <w:marRight w:val="0"/>
      <w:marTop w:val="0"/>
      <w:marBottom w:val="0"/>
      <w:divBdr>
        <w:top w:val="none" w:sz="0" w:space="0" w:color="auto"/>
        <w:left w:val="none" w:sz="0" w:space="0" w:color="auto"/>
        <w:bottom w:val="none" w:sz="0" w:space="0" w:color="auto"/>
        <w:right w:val="none" w:sz="0" w:space="0" w:color="auto"/>
      </w:divBdr>
    </w:div>
    <w:div w:id="1666126763">
      <w:bodyDiv w:val="1"/>
      <w:marLeft w:val="0"/>
      <w:marRight w:val="0"/>
      <w:marTop w:val="0"/>
      <w:marBottom w:val="0"/>
      <w:divBdr>
        <w:top w:val="none" w:sz="0" w:space="0" w:color="auto"/>
        <w:left w:val="none" w:sz="0" w:space="0" w:color="auto"/>
        <w:bottom w:val="none" w:sz="0" w:space="0" w:color="auto"/>
        <w:right w:val="none" w:sz="0" w:space="0" w:color="auto"/>
      </w:divBdr>
    </w:div>
    <w:div w:id="1874533551">
      <w:bodyDiv w:val="1"/>
      <w:marLeft w:val="0"/>
      <w:marRight w:val="0"/>
      <w:marTop w:val="0"/>
      <w:marBottom w:val="0"/>
      <w:divBdr>
        <w:top w:val="none" w:sz="0" w:space="0" w:color="auto"/>
        <w:left w:val="none" w:sz="0" w:space="0" w:color="auto"/>
        <w:bottom w:val="none" w:sz="0" w:space="0" w:color="auto"/>
        <w:right w:val="none" w:sz="0" w:space="0" w:color="auto"/>
      </w:divBdr>
    </w:div>
    <w:div w:id="190868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entor.ieee.org/802.11/dcn/23/11-23-1152-24-00bh-ieee-802-11bh-lb274-comments.xlsx"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mentor.ieee.org/802.11/dcn/23/11-23-1245-24-00bh-cid-resolutions-irm-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ah\IEEE\Tools\802-11-submission-ma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802-11-submission-mah.dotx</Template>
  <TotalTime>3</TotalTime>
  <Pages>15</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802.11-23/1810r</vt:lpstr>
    </vt:vector>
  </TitlesOfParts>
  <Company>Some Company</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802.11-23/1810r</dc:title>
  <dc:subject>Submission</dc:subject>
  <dc:creator>Hamilton, Mark</dc:creator>
  <cp:keywords>November 2023</cp:keywords>
  <dc:description>Mark Hamilton, Ruckus/CommScope</dc:description>
  <cp:lastModifiedBy>Hamilton, Mark</cp:lastModifiedBy>
  <cp:revision>3</cp:revision>
  <cp:lastPrinted>1900-01-01T08:00:00Z</cp:lastPrinted>
  <dcterms:created xsi:type="dcterms:W3CDTF">2023-11-13T23:57:00Z</dcterms:created>
  <dcterms:modified xsi:type="dcterms:W3CDTF">2023-11-14T00:30:00Z</dcterms:modified>
</cp:coreProperties>
</file>