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i w:val="false"/>
          <w:i w:val="false"/>
          <w:iCs w:val="false"/>
        </w:rPr>
      </w:pPr>
      <w:r>
        <w:rPr>
          <w:i w:val="false"/>
          <w:iCs w:val="false"/>
        </w:rPr>
        <w:t>IEEE P802.11</w:t>
        <w:br/>
        <w:t>Wireless LANs</w:t>
      </w:r>
    </w:p>
    <w:tbl>
      <w:tblPr>
        <w:tblW w:w="9576" w:type="dxa"/>
        <w:jc w:val="center"/>
        <w:tblInd w:w="0" w:type="dxa"/>
        <w:tblLayout w:type="fixed"/>
        <w:tblCellMar>
          <w:top w:w="0" w:type="dxa"/>
          <w:start w:w="108" w:type="dxa"/>
          <w:bottom w:w="0" w:type="dxa"/>
          <w:end w:w="108" w:type="dxa"/>
        </w:tblCellMar>
      </w:tblPr>
      <w:tblGrid>
        <w:gridCol w:w="1825"/>
        <w:gridCol w:w="2249"/>
        <w:gridCol w:w="1713"/>
        <w:gridCol w:w="1350"/>
        <w:gridCol w:w="2439"/>
      </w:tblGrid>
      <w:tr>
        <w:trPr>
          <w:trHeight w:val="485" w:hRule="atLeast"/>
        </w:trPr>
        <w:tc>
          <w:tcPr>
            <w:tcW w:w="9576"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rPr>
                <w:i w:val="false"/>
                <w:i w:val="false"/>
                <w:iCs w:val="false"/>
              </w:rPr>
            </w:pPr>
            <w:r>
              <w:rPr>
                <w:i w:val="false"/>
                <w:iCs w:val="false"/>
              </w:rPr>
              <w:t>S1G Beacon Protection Text</w:t>
            </w:r>
          </w:p>
        </w:tc>
      </w:tr>
      <w:tr>
        <w:trPr>
          <w:trHeight w:val="359" w:hRule="atLeast"/>
        </w:trPr>
        <w:tc>
          <w:tcPr>
            <w:tcW w:w="9576"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ind w:hanging="0" w:start="0" w:end="720"/>
              <w:rPr>
                <w:i w:val="false"/>
                <w:i w:val="false"/>
                <w:iCs w:val="false"/>
              </w:rPr>
            </w:pPr>
            <w:r>
              <w:rPr>
                <w:i w:val="false"/>
                <w:iCs w:val="false"/>
                <w:sz w:val="20"/>
              </w:rPr>
              <w:t>Date:</w:t>
            </w:r>
            <w:r>
              <w:rPr>
                <w:b w:val="false"/>
                <w:i w:val="false"/>
                <w:iCs w:val="false"/>
                <w:sz w:val="20"/>
              </w:rPr>
              <w:t xml:space="preserve">  2023-11-14</w:t>
            </w:r>
          </w:p>
        </w:tc>
      </w:tr>
      <w:tr>
        <w:trPr>
          <w:cantSplit w:val="true"/>
        </w:trPr>
        <w:tc>
          <w:tcPr>
            <w:tcW w:w="9576"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0"/>
              <w:ind w:hanging="0" w:start="0" w:end="0"/>
              <w:jc w:val="start"/>
              <w:rPr>
                <w:i w:val="false"/>
                <w:i w:val="false"/>
                <w:iCs w:val="false"/>
                <w:sz w:val="20"/>
              </w:rPr>
            </w:pPr>
            <w:r>
              <w:rPr>
                <w:i w:val="false"/>
                <w:iCs w:val="false"/>
                <w:sz w:val="20"/>
              </w:rPr>
              <w:t>Author(s):</w:t>
            </w:r>
          </w:p>
        </w:tc>
      </w:tr>
      <w:tr>
        <w:trPr/>
        <w:tc>
          <w:tcPr>
            <w:tcW w:w="1825"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hanging="0" w:start="0" w:end="0"/>
              <w:jc w:val="start"/>
              <w:rPr>
                <w:i w:val="false"/>
                <w:i w:val="false"/>
                <w:iCs w:val="false"/>
                <w:sz w:val="20"/>
              </w:rPr>
            </w:pPr>
            <w:r>
              <w:rPr>
                <w:i w:val="false"/>
                <w:iCs w:val="false"/>
                <w:sz w:val="20"/>
              </w:rPr>
              <w:t>Name</w:t>
            </w:r>
          </w:p>
        </w:tc>
        <w:tc>
          <w:tcPr>
            <w:tcW w:w="2249"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hanging="0" w:start="0" w:end="0"/>
              <w:jc w:val="start"/>
              <w:rPr>
                <w:sz w:val="20"/>
              </w:rPr>
            </w:pPr>
            <w:r>
              <w:rPr>
                <w:i w:val="false"/>
                <w:iCs w:val="false"/>
                <w:sz w:val="20"/>
              </w:rPr>
              <w:t>Affiliation</w:t>
            </w:r>
          </w:p>
        </w:tc>
        <w:tc>
          <w:tcPr>
            <w:tcW w:w="1713"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hanging="0" w:start="0" w:end="0"/>
              <w:jc w:val="start"/>
              <w:rPr>
                <w:i w:val="false"/>
                <w:i w:val="false"/>
                <w:iCs w:val="false"/>
                <w:sz w:val="20"/>
              </w:rPr>
            </w:pPr>
            <w:r>
              <w:rPr>
                <w:i w:val="false"/>
                <w:iCs w:val="false"/>
                <w:sz w:val="20"/>
              </w:rPr>
              <w:t>Address</w:t>
            </w:r>
          </w:p>
        </w:tc>
        <w:tc>
          <w:tcPr>
            <w:tcW w:w="1350"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hanging="0" w:start="0" w:end="0"/>
              <w:jc w:val="start"/>
              <w:rPr>
                <w:i w:val="false"/>
                <w:i w:val="false"/>
                <w:iCs w:val="false"/>
                <w:sz w:val="20"/>
              </w:rPr>
            </w:pPr>
            <w:r>
              <w:rPr>
                <w:i w:val="false"/>
                <w:iCs w:val="false"/>
                <w:sz w:val="20"/>
              </w:rPr>
              <w:t>Phone</w:t>
            </w:r>
          </w:p>
        </w:tc>
        <w:tc>
          <w:tcPr>
            <w:tcW w:w="2439"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hanging="0" w:start="0" w:end="0"/>
              <w:jc w:val="start"/>
              <w:rPr>
                <w:i w:val="false"/>
                <w:i w:val="false"/>
                <w:iCs w:val="false"/>
                <w:sz w:val="20"/>
              </w:rPr>
            </w:pPr>
            <w:r>
              <w:rPr>
                <w:i w:val="false"/>
                <w:iCs w:val="false"/>
                <w:sz w:val="20"/>
              </w:rPr>
              <w:t>email</w:t>
            </w:r>
          </w:p>
        </w:tc>
      </w:tr>
      <w:tr>
        <w:trPr/>
        <w:tc>
          <w:tcPr>
            <w:tcW w:w="1825"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Henry Ptasinski</w:t>
            </w:r>
          </w:p>
        </w:tc>
        <w:tc>
          <w:tcPr>
            <w:tcW w:w="2249"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Morse Micro</w:t>
            </w:r>
          </w:p>
        </w:tc>
        <w:tc>
          <w:tcPr>
            <w:tcW w:w="1713"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1350"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2439"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henry@e78com.com</w:t>
            </w:r>
          </w:p>
        </w:tc>
      </w:tr>
      <w:tr>
        <w:trPr/>
        <w:tc>
          <w:tcPr>
            <w:tcW w:w="1825"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David Goodall</w:t>
            </w:r>
          </w:p>
        </w:tc>
        <w:tc>
          <w:tcPr>
            <w:tcW w:w="2249"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Morse Micro</w:t>
            </w:r>
          </w:p>
        </w:tc>
        <w:tc>
          <w:tcPr>
            <w:tcW w:w="1713"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1350"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2439"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dave@morsemicro.com</w:t>
            </w:r>
          </w:p>
        </w:tc>
      </w:tr>
      <w:tr>
        <w:trPr/>
        <w:tc>
          <w:tcPr>
            <w:tcW w:w="1825" w:type="dxa"/>
            <w:tcBorders>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David Halasz</w:t>
            </w:r>
          </w:p>
        </w:tc>
        <w:tc>
          <w:tcPr>
            <w:tcW w:w="2249" w:type="dxa"/>
            <w:tcBorders>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Morse Micro</w:t>
            </w:r>
          </w:p>
        </w:tc>
        <w:tc>
          <w:tcPr>
            <w:tcW w:w="1713" w:type="dxa"/>
            <w:tcBorders>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1350" w:type="dxa"/>
            <w:tcBorders>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2439" w:type="dxa"/>
            <w:tcBorders>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dave.halasz@ieee.org</w:t>
            </w:r>
          </w:p>
        </w:tc>
      </w:tr>
    </w:tbl>
    <w:p>
      <w:pPr>
        <w:pStyle w:val="T1"/>
        <w:spacing w:before="0" w:after="120"/>
        <w:rPr>
          <w:i w:val="false"/>
          <w:i w:val="false"/>
          <w:iCs w:val="false"/>
          <w:sz w:val="22"/>
          <w:lang w:val="en-US" w:eastAsia="en-US"/>
        </w:rPr>
      </w:pPr>
      <w:r>
        <w:rPr>
          <w:i w:val="false"/>
          <w:iCs w:val="false"/>
          <w:sz w:val="22"/>
          <w:lang w:val="en-US" w:eastAsia="en-US"/>
        </w:rPr>
        <mc:AlternateContent>
          <mc:Choice Requires="wps">
            <w:drawing>
              <wp:anchor behindDoc="0" distT="0" distB="0" distL="0" distR="0" simplePos="0" locked="0" layoutInCell="1" allowOverlap="1" relativeHeight="2">
                <wp:simplePos x="0" y="0"/>
                <wp:positionH relativeFrom="column">
                  <wp:posOffset>-62865</wp:posOffset>
                </wp:positionH>
                <wp:positionV relativeFrom="paragraph">
                  <wp:posOffset>205740</wp:posOffset>
                </wp:positionV>
                <wp:extent cx="5943600" cy="2844800"/>
                <wp:effectExtent l="0" t="0" r="0" b="0"/>
                <wp:wrapNone/>
                <wp:docPr id="1" name="Frame1"/>
                <a:graphic xmlns:a="http://schemas.openxmlformats.org/drawingml/2006/main">
                  <a:graphicData uri="http://schemas.microsoft.com/office/word/2010/wordprocessingShape">
                    <wps:wsp>
                      <wps:cNvSpPr/>
                      <wps:spPr>
                        <a:xfrm>
                          <a:off x="0" y="0"/>
                          <a:ext cx="5943600" cy="2844720"/>
                        </a:xfrm>
                        <a:prstGeom prst="rect">
                          <a:avLst/>
                        </a:prstGeom>
                        <a:solidFill>
                          <a:srgbClr val="ffffff"/>
                        </a:solidFill>
                        <a:ln w="0">
                          <a:noFill/>
                        </a:ln>
                      </wps:spPr>
                      <wps:style>
                        <a:lnRef idx="0"/>
                        <a:fillRef idx="0"/>
                        <a:effectRef idx="0"/>
                        <a:fontRef idx="minor"/>
                      </wps:style>
                      <wps:txbx>
                        <w:txbxContent>
                          <w:p>
                            <w:pPr>
                              <w:pStyle w:val="T1"/>
                              <w:spacing w:before="0" w:after="120"/>
                              <w:rPr>
                                <w:i w:val="false"/>
                                <w:i w:val="false"/>
                                <w:iCs w:val="false"/>
                              </w:rPr>
                            </w:pPr>
                            <w:r>
                              <w:rPr>
                                <w:i w:val="false"/>
                                <w:iCs w:val="false"/>
                              </w:rPr>
                              <w:t>Abstract</w:t>
                            </w:r>
                          </w:p>
                          <w:p>
                            <w:pPr>
                              <w:pStyle w:val="Normal"/>
                              <w:jc w:val="both"/>
                              <w:rPr>
                                <w:i w:val="false"/>
                                <w:i w:val="false"/>
                                <w:iCs w:val="false"/>
                              </w:rPr>
                            </w:pPr>
                            <w:r>
                              <w:rPr>
                                <w:i w:val="false"/>
                                <w:iCs w:val="false"/>
                              </w:rPr>
                              <w:t>Enhance broadcast/multicast integrity protocol (BIP) to support protection of S1G Beacon frames. This addresses SB1 CID 6054.</w:t>
                            </w:r>
                          </w:p>
                        </w:txbxContent>
                      </wps:txbx>
                      <wps:bodyPr lIns="92160" rIns="92160" tIns="46440" bIns="46440" anchor="t">
                        <a:noAutofit/>
                      </wps:bodyPr>
                    </wps:wsp>
                  </a:graphicData>
                </a:graphic>
              </wp:anchor>
            </w:drawing>
          </mc:Choice>
          <mc:Fallback>
            <w:pict>
              <v:rect id="shape_0" ID="Frame1" path="m0,0l-2147483645,0l-2147483645,-2147483646l0,-2147483646xe" fillcolor="white" stroked="f" o:allowincell="f" style="position:absolute;margin-left:-4.95pt;margin-top:16.2pt;width:467.95pt;height:223.95pt;mso-wrap-style:square;v-text-anchor:top">
                <v:fill o:detectmouseclick="t" type="solid" color2="black"/>
                <v:stroke color="#3465a4" joinstyle="round" endcap="flat"/>
                <v:textbox>
                  <w:txbxContent>
                    <w:p>
                      <w:pPr>
                        <w:pStyle w:val="T1"/>
                        <w:spacing w:before="0" w:after="120"/>
                        <w:rPr>
                          <w:i w:val="false"/>
                          <w:i w:val="false"/>
                          <w:iCs w:val="false"/>
                        </w:rPr>
                      </w:pPr>
                      <w:r>
                        <w:rPr>
                          <w:i w:val="false"/>
                          <w:iCs w:val="false"/>
                        </w:rPr>
                        <w:t>Abstract</w:t>
                      </w:r>
                    </w:p>
                    <w:p>
                      <w:pPr>
                        <w:pStyle w:val="Normal"/>
                        <w:jc w:val="both"/>
                        <w:rPr>
                          <w:i w:val="false"/>
                          <w:i w:val="false"/>
                          <w:iCs w:val="false"/>
                        </w:rPr>
                      </w:pPr>
                      <w:r>
                        <w:rPr>
                          <w:i w:val="false"/>
                          <w:iCs w:val="false"/>
                        </w:rPr>
                        <w:t>Enhance broadcast/multicast integrity protocol (BIP) to support protection of S1G Beacon frames. This addresses SB1 CID 6054.</w:t>
                      </w:r>
                    </w:p>
                  </w:txbxContent>
                </v:textbox>
                <w10:wrap type="none"/>
              </v:rect>
            </w:pict>
          </mc:Fallback>
        </mc:AlternateContent>
      </w:r>
      <w:r>
        <w:br w:type="page"/>
      </w:r>
    </w:p>
    <w:p>
      <w:pPr>
        <w:pStyle w:val="H41111"/>
        <w:spacing w:before="0" w:after="240"/>
        <w:rPr>
          <w:color w:val="000000"/>
          <w:sz w:val="28"/>
          <w:szCs w:val="28"/>
        </w:rPr>
      </w:pPr>
      <w:r>
        <w:rPr>
          <w:color w:val="000000"/>
          <w:sz w:val="28"/>
          <w:szCs w:val="28"/>
        </w:rPr>
        <w:t>3.2 Definitions specific to IEEE Std 802.11</w:t>
      </w:r>
    </w:p>
    <w:p>
      <w:pPr>
        <w:pStyle w:val="Normal"/>
        <w:rPr>
          <w:b/>
          <w:bCs/>
          <w:i/>
          <w:i/>
          <w:iCs/>
          <w:color w:val="000000"/>
        </w:rPr>
      </w:pPr>
      <w:r>
        <w:rPr>
          <w:b/>
          <w:bCs/>
          <w:i/>
          <w:iCs/>
          <w:color w:val="000000"/>
        </w:rPr>
        <w:t>Change the following definition as shown:</w:t>
      </w:r>
    </w:p>
    <w:p>
      <w:pPr>
        <w:pStyle w:val="TText"/>
        <w:rPr>
          <w:color w:val="000000"/>
        </w:rPr>
      </w:pPr>
      <w:r>
        <w:rPr>
          <w:b/>
          <w:bCs/>
          <w:color w:val="000000"/>
        </w:rPr>
        <w:t>medium access control (MAC) management protocol data unit:</w:t>
      </w:r>
      <w:r>
        <w:rPr>
          <w:color w:val="000000"/>
        </w:rPr>
        <w:t xml:space="preserve"> [MMPDU] The unit of data exchanged between two peer MAC entities, using services of the physical layer (PHY), to implement the MAC management protocol. The MMPDU is transported in one or more Management frames. The MMPDU might include a Mesh Control field</w:t>
      </w:r>
      <w:r>
        <w:rPr>
          <w:color w:val="000000"/>
          <w:u w:val="single"/>
        </w:rPr>
        <w:t>,</w:t>
      </w:r>
      <w:r>
        <w:rPr>
          <w:color w:val="000000"/>
        </w:rPr>
        <w:t xml:space="preserve"> </w:t>
      </w:r>
      <w:r>
        <w:rPr>
          <w:strike/>
          <w:color w:val="000000"/>
        </w:rPr>
        <w:t>or</w:t>
      </w:r>
      <w:r>
        <w:rPr>
          <w:strike w:val="false"/>
          <w:dstrike w:val="false"/>
          <w:color w:val="000000"/>
          <w:u w:val="single"/>
        </w:rPr>
        <w:t>a</w:t>
      </w:r>
      <w:r>
        <w:rPr>
          <w:color w:val="000000"/>
        </w:rPr>
        <w:t xml:space="preserve"> management message integrity code (MIC) element (MME), </w:t>
      </w:r>
      <w:r>
        <w:rPr>
          <w:color w:val="000000"/>
          <w:u w:val="single"/>
        </w:rPr>
        <w:t xml:space="preserve">or a MIC element, </w:t>
      </w:r>
      <w:r>
        <w:rPr>
          <w:color w:val="000000"/>
        </w:rPr>
        <w:t>but does not include a MAC header, a frame check sequence (FCS), or any other security encapsulation overhead.</w:t>
      </w:r>
    </w:p>
    <w:p>
      <w:pPr>
        <w:pStyle w:val="TText"/>
        <w:rPr>
          <w:color w:val="000000"/>
        </w:rPr>
      </w:pPr>
      <w:r>
        <w:rPr>
          <w:color w:val="000000"/>
        </w:rPr>
      </w:r>
    </w:p>
    <w:p>
      <w:pPr>
        <w:pStyle w:val="H41111"/>
        <w:rPr>
          <w:color w:val="000000"/>
          <w:sz w:val="28"/>
          <w:szCs w:val="28"/>
        </w:rPr>
      </w:pPr>
      <w:r>
        <w:rPr>
          <w:color w:val="000000"/>
          <w:sz w:val="28"/>
          <w:szCs w:val="28"/>
        </w:rPr>
        <w:t>3.4 Acronyms and abbreviations</w:t>
      </w:r>
    </w:p>
    <w:p>
      <w:pPr>
        <w:pStyle w:val="Normal"/>
        <w:rPr>
          <w:b/>
          <w:bCs/>
          <w:i/>
          <w:i/>
          <w:iCs/>
          <w:color w:val="000000"/>
        </w:rPr>
      </w:pPr>
      <w:r>
        <w:rPr>
          <w:b/>
          <w:bCs/>
          <w:i/>
          <w:iCs/>
          <w:color w:val="000000"/>
        </w:rPr>
        <w:t>Add the following acrynym in alphabetical order:</w:t>
      </w:r>
    </w:p>
    <w:p>
      <w:pPr>
        <w:pStyle w:val="TText"/>
        <w:rPr>
          <w:color w:val="000000"/>
        </w:rPr>
      </w:pPr>
      <w:r>
        <w:rPr>
          <w:color w:val="000000"/>
        </w:rPr>
        <w:t>BCE</w:t>
        <w:tab/>
        <w:t>broadcast/multicast integrity protocol (BIP) compact encapsulation</w:t>
      </w:r>
    </w:p>
    <w:p>
      <w:pPr>
        <w:pStyle w:val="TText"/>
        <w:rPr/>
      </w:pPr>
      <w:r>
        <w:rPr/>
      </w:r>
    </w:p>
    <w:p>
      <w:pPr>
        <w:pStyle w:val="H41111"/>
        <w:rPr/>
      </w:pPr>
      <w:r>
        <w:rPr/>
        <w:t>6.5.14.1 MLME-SETKEYS.request</w:t>
      </w:r>
    </w:p>
    <w:p>
      <w:pPr>
        <w:pStyle w:val="H41111"/>
        <w:rPr/>
      </w:pPr>
      <w:r>
        <w:rPr/>
        <w:t>6.5.14.1.2 Semantics of the service primitive</w:t>
      </w:r>
    </w:p>
    <w:p>
      <w:pPr>
        <w:pStyle w:val="Normal"/>
        <w:rPr>
          <w:b/>
          <w:bCs/>
        </w:rPr>
      </w:pPr>
      <w:r>
        <w:rPr>
          <w:b/>
          <w:bCs/>
        </w:rPr>
        <w:t>Add the following parameter to the end of the parameter table:</w:t>
      </w:r>
    </w:p>
    <w:p>
      <w:pPr>
        <w:pStyle w:val="Normal"/>
        <w:rPr>
          <w:b/>
          <w:bCs/>
        </w:rPr>
      </w:pPr>
      <w:r>
        <w:rPr>
          <w:b/>
          <w:bCs/>
        </w:rPr>
      </w:r>
    </w:p>
    <w:tbl>
      <w:tblPr>
        <w:tblW w:w="5000" w:type="pct"/>
        <w:jc w:val="start"/>
        <w:tblInd w:w="0" w:type="dxa"/>
        <w:tblLayout w:type="fixed"/>
        <w:tblCellMar>
          <w:top w:w="0" w:type="dxa"/>
          <w:start w:w="0" w:type="dxa"/>
          <w:bottom w:w="0" w:type="dxa"/>
          <w:end w:w="0" w:type="dxa"/>
        </w:tblCellMar>
      </w:tblPr>
      <w:tblGrid>
        <w:gridCol w:w="2339"/>
        <w:gridCol w:w="2340"/>
        <w:gridCol w:w="2340"/>
        <w:gridCol w:w="2340"/>
      </w:tblGrid>
      <w:tr>
        <w:trPr/>
        <w:tc>
          <w:tcPr>
            <w:tcW w:w="2339" w:type="dxa"/>
            <w:tcBorders/>
          </w:tcPr>
          <w:p>
            <w:pPr>
              <w:pStyle w:val="TableContents"/>
              <w:jc w:val="center"/>
              <w:rPr>
                <w:b/>
                <w:bCs/>
                <w:i w:val="false"/>
                <w:i w:val="false"/>
                <w:iCs w:val="false"/>
              </w:rPr>
            </w:pPr>
            <w:r>
              <w:rPr>
                <w:b/>
                <w:bCs/>
                <w:i w:val="false"/>
                <w:iCs w:val="false"/>
              </w:rPr>
              <w:t>Name</w:t>
            </w:r>
          </w:p>
        </w:tc>
        <w:tc>
          <w:tcPr>
            <w:tcW w:w="2340" w:type="dxa"/>
            <w:tcBorders/>
          </w:tcPr>
          <w:p>
            <w:pPr>
              <w:pStyle w:val="TableContents"/>
              <w:jc w:val="center"/>
              <w:rPr>
                <w:b/>
                <w:bCs/>
                <w:i w:val="false"/>
                <w:i w:val="false"/>
                <w:iCs w:val="false"/>
              </w:rPr>
            </w:pPr>
            <w:r>
              <w:rPr>
                <w:b/>
                <w:bCs/>
                <w:i w:val="false"/>
                <w:iCs w:val="false"/>
              </w:rPr>
              <w:t>Type</w:t>
            </w:r>
          </w:p>
        </w:tc>
        <w:tc>
          <w:tcPr>
            <w:tcW w:w="2340" w:type="dxa"/>
            <w:tcBorders/>
          </w:tcPr>
          <w:p>
            <w:pPr>
              <w:pStyle w:val="TableContents"/>
              <w:jc w:val="center"/>
              <w:rPr>
                <w:b/>
                <w:bCs/>
                <w:i w:val="false"/>
                <w:i w:val="false"/>
                <w:iCs w:val="false"/>
              </w:rPr>
            </w:pPr>
            <w:r>
              <w:rPr>
                <w:b/>
                <w:bCs/>
                <w:i w:val="false"/>
                <w:iCs w:val="false"/>
              </w:rPr>
              <w:t>Valid Range</w:t>
            </w:r>
          </w:p>
        </w:tc>
        <w:tc>
          <w:tcPr>
            <w:tcW w:w="2340" w:type="dxa"/>
            <w:tcBorders/>
          </w:tcPr>
          <w:p>
            <w:pPr>
              <w:pStyle w:val="TableContents"/>
              <w:jc w:val="center"/>
              <w:rPr>
                <w:b/>
                <w:bCs/>
                <w:i w:val="false"/>
                <w:i w:val="false"/>
                <w:iCs w:val="false"/>
              </w:rPr>
            </w:pPr>
            <w:r>
              <w:rPr>
                <w:b/>
                <w:bCs/>
                <w:i w:val="false"/>
                <w:iCs w:val="false"/>
              </w:rPr>
              <w:t>Description</w:t>
            </w:r>
          </w:p>
        </w:tc>
      </w:tr>
      <w:tr>
        <w:trPr/>
        <w:tc>
          <w:tcPr>
            <w:tcW w:w="2339" w:type="dxa"/>
            <w:tcBorders/>
          </w:tcPr>
          <w:p>
            <w:pPr>
              <w:pStyle w:val="TableContents"/>
              <w:jc w:val="both"/>
              <w:rPr>
                <w:b w:val="false"/>
                <w:bCs w:val="false"/>
                <w:i w:val="false"/>
                <w:i w:val="false"/>
                <w:iCs w:val="false"/>
              </w:rPr>
            </w:pPr>
            <w:r>
              <w:rPr>
                <w:b w:val="false"/>
                <w:bCs w:val="false"/>
                <w:i w:val="false"/>
                <w:iCs w:val="false"/>
              </w:rPr>
              <w:t>Encapsulation Mode</w:t>
            </w:r>
          </w:p>
        </w:tc>
        <w:tc>
          <w:tcPr>
            <w:tcW w:w="2340" w:type="dxa"/>
            <w:tcBorders/>
          </w:tcPr>
          <w:p>
            <w:pPr>
              <w:pStyle w:val="TableContents"/>
              <w:jc w:val="both"/>
              <w:rPr>
                <w:b w:val="false"/>
                <w:bCs w:val="false"/>
                <w:i w:val="false"/>
                <w:i w:val="false"/>
                <w:iCs w:val="false"/>
              </w:rPr>
            </w:pPr>
            <w:r>
              <w:rPr>
                <w:b w:val="false"/>
                <w:bCs w:val="false"/>
                <w:i w:val="false"/>
                <w:iCs w:val="false"/>
              </w:rPr>
              <w:t>Enumeration</w:t>
            </w:r>
          </w:p>
        </w:tc>
        <w:tc>
          <w:tcPr>
            <w:tcW w:w="2340" w:type="dxa"/>
            <w:tcBorders/>
          </w:tcPr>
          <w:p>
            <w:pPr>
              <w:pStyle w:val="TableContents"/>
              <w:jc w:val="both"/>
              <w:rPr>
                <w:b w:val="false"/>
                <w:bCs w:val="false"/>
                <w:i w:val="false"/>
                <w:i w:val="false"/>
                <w:iCs w:val="false"/>
              </w:rPr>
            </w:pPr>
            <w:r>
              <w:rPr>
                <w:b w:val="false"/>
                <w:bCs w:val="false"/>
                <w:i w:val="false"/>
                <w:iCs w:val="false"/>
              </w:rPr>
              <w:t>Normal, BCE</w:t>
            </w:r>
          </w:p>
        </w:tc>
        <w:tc>
          <w:tcPr>
            <w:tcW w:w="2340" w:type="dxa"/>
            <w:tcBorders/>
          </w:tcPr>
          <w:p>
            <w:pPr>
              <w:pStyle w:val="TableContents"/>
              <w:jc w:val="start"/>
              <w:rPr>
                <w:b w:val="false"/>
                <w:bCs w:val="false"/>
                <w:i w:val="false"/>
                <w:i w:val="false"/>
                <w:iCs w:val="false"/>
              </w:rPr>
            </w:pPr>
            <w:r>
              <w:rPr>
                <w:b w:val="false"/>
                <w:bCs w:val="false"/>
                <w:i w:val="false"/>
                <w:iCs w:val="false"/>
              </w:rPr>
              <w:t>This parameter is valid only when the Key Type value is BIGTK.</w:t>
            </w:r>
          </w:p>
        </w:tc>
      </w:tr>
    </w:tbl>
    <w:p>
      <w:pPr>
        <w:pStyle w:val="TText"/>
        <w:rPr/>
      </w:pPr>
      <w:r>
        <w:rPr/>
      </w:r>
    </w:p>
    <w:p>
      <w:pPr>
        <w:pStyle w:val="H41111"/>
        <w:rPr/>
      </w:pPr>
      <w:r>
        <w:rPr/>
        <w:t>6.5.14.1.4 Effect of receipt</w:t>
      </w:r>
    </w:p>
    <w:p>
      <w:pPr>
        <w:pStyle w:val="Normal"/>
        <w:rPr>
          <w:b/>
          <w:bCs/>
        </w:rPr>
      </w:pPr>
      <w:r>
        <w:rPr>
          <w:b/>
          <w:bCs/>
        </w:rPr>
        <w:t>Change the last bullet as shown:</w:t>
      </w:r>
    </w:p>
    <w:p>
      <w:pPr>
        <w:pStyle w:val="TText"/>
        <w:rPr/>
      </w:pPr>
      <w:r>
        <w:rPr/>
        <w:t xml:space="preserve">— </w:t>
      </w:r>
      <w:r>
        <w:rPr/>
        <w:t>When the Key Type parameter is Pairwise or PeerKey, and the Key, Key ID, and Address (where valid) parameters identify a new key to be set, the MAC shall initialize the transmitter TSC/PN counter and the receiver replay counter(s) to 0. When the Key Type parameter is not Pairwise</w:t>
      </w:r>
      <w:r>
        <w:rPr>
          <w:u w:val="single"/>
        </w:rPr>
        <w:t>,</w:t>
      </w:r>
      <w:r>
        <w:rPr>
          <w:strike/>
        </w:rPr>
        <w:t xml:space="preserve"> or</w:t>
      </w:r>
      <w:r>
        <w:rPr/>
        <w:t xml:space="preserve"> PeerKey,</w:t>
      </w:r>
      <w:r>
        <w:rPr>
          <w:u w:val="single"/>
        </w:rPr>
        <w:t xml:space="preserve"> or BIGTK,</w:t>
      </w:r>
      <w:r>
        <w:rPr/>
        <w:t xml:space="preserve"> and the Key, Key ID, and Address (where valid) parameters identify a new key to be set, the MAC shall initialize, depending on the direction of the traffic, the transmitter TSC/PN/IPN/</w:t>
      </w:r>
      <w:r>
        <w:rPr>
          <w:strike/>
        </w:rPr>
        <w:t xml:space="preserve"> BIPN/</w:t>
      </w:r>
      <w:r>
        <w:rPr/>
        <w:t xml:space="preserve">WIPN counter to 0 or 1 (see Clause 12 (Security) and Clause 29 (Wake-Up Radio (WUR) MAC specification)) or the receiver replay counter(s) to the value in the Receive Sequence Count parameter. </w:t>
      </w:r>
      <w:r>
        <w:rPr>
          <w:u w:val="single"/>
        </w:rPr>
        <w:t xml:space="preserve">When the Key Type parameter is BIGTK, and the Key and Key ID parameters identify a new key to be set, the MAC shall initialize, depending on the direction of the traffic, the transmitter BIPN counter as specified in 12.5.3.4 (BIP replay counters and packet numbers) or the receiver replay counter to the value in the Receive Sequence Count parameter. </w:t>
      </w:r>
      <w:r>
        <w:rPr/>
        <w:t>When the Key Type, Key, Key ID, and Address (where valid) parameters identify an existing key, the MAC shall not change the transmitter TSC/PN/IPN/BIPN/WIPN counter or the receiver replay counter(s) associated with that key.</w:t>
      </w:r>
    </w:p>
    <w:p>
      <w:pPr>
        <w:pStyle w:val="TText"/>
        <w:rPr/>
      </w:pPr>
      <w:r>
        <w:rPr/>
      </w:r>
    </w:p>
    <w:p>
      <w:pPr>
        <w:pStyle w:val="H41111"/>
        <w:rPr/>
      </w:pPr>
      <w:r>
        <w:rPr/>
        <w:t>9.3.4.3 S1G Beacon frame format</w:t>
      </w:r>
    </w:p>
    <w:p>
      <w:pPr>
        <w:pStyle w:val="Normal"/>
        <w:rPr>
          <w:b/>
          <w:bCs/>
          <w:i/>
          <w:i/>
          <w:iCs/>
        </w:rPr>
      </w:pPr>
      <w:r>
        <w:rPr>
          <w:b/>
          <w:bCs/>
          <w:i/>
          <w:iCs/>
        </w:rPr>
        <w:t>Change the last two entries in Table 9-80—Minimum and full set of optional elements, and add a new last entry as shown:</w:t>
      </w:r>
    </w:p>
    <w:p>
      <w:pPr>
        <w:pStyle w:val="TText"/>
        <w:rPr/>
      </w:pPr>
      <w:r>
        <w:rPr/>
      </w:r>
    </w:p>
    <w:tbl>
      <w:tblPr>
        <w:tblW w:w="8600" w:type="dxa"/>
        <w:jc w:val="center"/>
        <w:tblInd w:w="0" w:type="dxa"/>
        <w:tblLayout w:type="fixed"/>
        <w:tblCellMar>
          <w:top w:w="120" w:type="dxa"/>
          <w:start w:w="120" w:type="dxa"/>
          <w:bottom w:w="60" w:type="dxa"/>
          <w:end w:w="120" w:type="dxa"/>
        </w:tblCellMar>
      </w:tblPr>
      <w:tblGrid>
        <w:gridCol w:w="1000"/>
        <w:gridCol w:w="1340"/>
        <w:gridCol w:w="3992"/>
        <w:gridCol w:w="988"/>
        <w:gridCol w:w="1280"/>
      </w:tblGrid>
      <w:tr>
        <w:trPr>
          <w:trHeight w:val="960" w:hRule="atLeast"/>
        </w:trPr>
        <w:tc>
          <w:tcPr>
            <w:tcW w:w="1000" w:type="dxa"/>
            <w:tcBorders>
              <w:top w:val="single" w:sz="2" w:space="0" w:color="000000"/>
              <w:start w:val="single" w:sz="10" w:space="0" w:color="000000"/>
              <w:bottom w:val="single" w:sz="2" w:space="0" w:color="000000"/>
              <w:end w:val="single" w:sz="2" w:space="0" w:color="000000"/>
            </w:tcBorders>
          </w:tcPr>
          <w:p>
            <w:pPr>
              <w:pStyle w:val="CellBodyCentered"/>
              <w:widowControl w:val="false"/>
              <w:tabs>
                <w:tab w:val="clear" w:pos="720"/>
              </w:tabs>
              <w:spacing w:lineRule="atLeast" w:line="200"/>
              <w:ind w:hanging="0" w:start="0" w:end="0"/>
              <w:rPr/>
            </w:pPr>
            <w:r>
              <w:rPr>
                <w:caps w:val="false"/>
                <w:smallCaps w:val="false"/>
                <w:w w:val="100"/>
              </w:rPr>
              <w:t>Last–</w:t>
            </w:r>
            <w:r>
              <w:rPr>
                <w:caps w:val="false"/>
                <w:smallCaps w:val="false"/>
                <w:strike/>
                <w:w w:val="100"/>
              </w:rPr>
              <w:t>1</w:t>
            </w:r>
            <w:r>
              <w:rPr>
                <w:caps w:val="false"/>
                <w:smallCaps w:val="false"/>
                <w:strike w:val="false"/>
                <w:dstrike w:val="false"/>
                <w:w w:val="100"/>
                <w:u w:val="single"/>
              </w:rPr>
              <w:t>2</w:t>
            </w:r>
          </w:p>
        </w:tc>
        <w:tc>
          <w:tcPr>
            <w:tcW w:w="1340" w:type="dxa"/>
            <w:tcBorders>
              <w:top w:val="single" w:sz="2" w:space="0" w:color="000000"/>
              <w:start w:val="single" w:sz="2" w:space="0" w:color="000000"/>
              <w:bottom w:val="single" w:sz="2" w:space="0" w:color="000000"/>
              <w:end w:val="single" w:sz="2" w:space="0" w:color="000000"/>
            </w:tcBorders>
          </w:tcPr>
          <w:p>
            <w:pPr>
              <w:pStyle w:val="CellBody"/>
              <w:widowControl w:val="false"/>
              <w:tabs>
                <w:tab w:val="clear" w:pos="720"/>
              </w:tabs>
              <w:spacing w:lineRule="atLeast" w:line="200"/>
              <w:ind w:hanging="0" w:start="0" w:end="0"/>
              <w:rPr>
                <w:caps w:val="false"/>
                <w:smallCaps w:val="false"/>
                <w:w w:val="100"/>
              </w:rPr>
            </w:pPr>
            <w:r>
              <w:rPr>
                <w:caps w:val="false"/>
                <w:smallCaps w:val="false"/>
                <w:w w:val="100"/>
              </w:rPr>
              <w:t>One or more elements can appear in this frame.</w:t>
            </w:r>
          </w:p>
        </w:tc>
        <w:tc>
          <w:tcPr>
            <w:tcW w:w="3992" w:type="dxa"/>
            <w:tcBorders>
              <w:top w:val="single" w:sz="2" w:space="0" w:color="000000"/>
              <w:start w:val="single" w:sz="2" w:space="0" w:color="000000"/>
              <w:bottom w:val="single" w:sz="2" w:space="0" w:color="000000"/>
              <w:end w:val="single" w:sz="2" w:space="0" w:color="000000"/>
            </w:tcBorders>
          </w:tcPr>
          <w:p>
            <w:pPr>
              <w:pStyle w:val="CellBody"/>
              <w:widowControl w:val="false"/>
              <w:tabs>
                <w:tab w:val="clear" w:pos="720"/>
              </w:tabs>
              <w:spacing w:lineRule="atLeast" w:line="200" w:before="0" w:after="0"/>
              <w:ind w:hanging="0" w:start="0" w:end="0"/>
              <w:rPr>
                <w:caps w:val="false"/>
                <w:smallCaps w:val="false"/>
                <w:w w:val="100"/>
              </w:rPr>
            </w:pPr>
            <w:r>
              <w:rPr>
                <w:caps w:val="false"/>
                <w:smallCaps w:val="false"/>
                <w:w w:val="100"/>
              </w:rPr>
              <w:t>Optionally, element(s) that are not listed in this table, but are allowed in Beacon frame, in the order they appear in the Beacon frame (see</w:t>
            </w:r>
          </w:p>
          <w:p>
            <w:pPr>
              <w:pStyle w:val="CellBody"/>
              <w:widowControl w:val="false"/>
              <w:tabs>
                <w:tab w:val="clear" w:pos="720"/>
              </w:tabs>
              <w:spacing w:lineRule="atLeast" w:line="200" w:before="0" w:after="0"/>
              <w:ind w:hanging="0" w:start="0" w:end="0"/>
              <w:rPr/>
            </w:pPr>
            <w:r>
              <w:rPr>
                <w:caps w:val="false"/>
                <w:smallCaps w:val="false"/>
                <w:w w:val="100"/>
              </w:rPr>
              <w:t>Table 9-60 (Beacon frame body)).</w:t>
            </w:r>
          </w:p>
        </w:tc>
        <w:tc>
          <w:tcPr>
            <w:tcW w:w="988" w:type="dxa"/>
            <w:tcBorders>
              <w:top w:val="single" w:sz="2" w:space="0" w:color="000000"/>
              <w:start w:val="single" w:sz="2" w:space="0" w:color="000000"/>
              <w:bottom w:val="single" w:sz="2" w:space="0" w:color="000000"/>
              <w:end w:val="single" w:sz="2" w:space="0" w:color="000000"/>
            </w:tcBorders>
          </w:tcPr>
          <w:p>
            <w:pPr>
              <w:pStyle w:val="CellBodyCentered"/>
              <w:widowControl w:val="false"/>
              <w:tabs>
                <w:tab w:val="clear" w:pos="720"/>
              </w:tabs>
              <w:spacing w:lineRule="atLeast" w:line="200"/>
              <w:ind w:hanging="0" w:start="0" w:end="0"/>
              <w:rPr>
                <w:caps w:val="false"/>
                <w:smallCaps w:val="false"/>
                <w:w w:val="100"/>
              </w:rPr>
            </w:pPr>
            <w:r>
              <w:rPr>
                <w:caps w:val="false"/>
                <w:smallCaps w:val="false"/>
                <w:w w:val="100"/>
              </w:rPr>
              <w:t>No</w:t>
            </w:r>
          </w:p>
        </w:tc>
        <w:tc>
          <w:tcPr>
            <w:tcW w:w="1280" w:type="dxa"/>
            <w:tcBorders>
              <w:top w:val="single" w:sz="2" w:space="0" w:color="000000"/>
              <w:start w:val="single" w:sz="2" w:space="0" w:color="000000"/>
              <w:bottom w:val="single" w:sz="2" w:space="0" w:color="000000"/>
              <w:end w:val="single" w:sz="10" w:space="0" w:color="000000"/>
            </w:tcBorders>
          </w:tcPr>
          <w:p>
            <w:pPr>
              <w:pStyle w:val="CellBodyCentered"/>
              <w:widowControl w:val="false"/>
              <w:tabs>
                <w:tab w:val="clear" w:pos="720"/>
              </w:tabs>
              <w:spacing w:lineRule="atLeast" w:line="200"/>
              <w:ind w:hanging="0" w:start="0" w:end="0"/>
              <w:rPr>
                <w:caps w:val="false"/>
                <w:smallCaps w:val="false"/>
                <w:w w:val="100"/>
              </w:rPr>
            </w:pPr>
            <w:r>
              <w:rPr>
                <w:caps w:val="false"/>
                <w:smallCaps w:val="false"/>
                <w:w w:val="100"/>
              </w:rPr>
              <w:t>Yes</w:t>
            </w:r>
          </w:p>
        </w:tc>
      </w:tr>
      <w:tr>
        <w:trPr>
          <w:trHeight w:val="760" w:hRule="atLeast"/>
        </w:trPr>
        <w:tc>
          <w:tcPr>
            <w:tcW w:w="1000" w:type="dxa"/>
            <w:tcBorders>
              <w:top w:val="single" w:sz="2" w:space="0" w:color="000000"/>
              <w:start w:val="single" w:sz="10" w:space="0" w:color="000000"/>
              <w:bottom w:val="single" w:sz="2" w:space="0" w:color="000000"/>
              <w:end w:val="single" w:sz="2" w:space="0" w:color="000000"/>
            </w:tcBorders>
          </w:tcPr>
          <w:p>
            <w:pPr>
              <w:pStyle w:val="CellBodyCentered"/>
              <w:widowControl w:val="false"/>
              <w:tabs>
                <w:tab w:val="clear" w:pos="720"/>
              </w:tabs>
              <w:spacing w:lineRule="atLeast" w:line="200"/>
              <w:ind w:hanging="0" w:start="0" w:end="0"/>
              <w:rPr/>
            </w:pPr>
            <w:r>
              <w:rPr>
                <w:caps w:val="false"/>
                <w:smallCaps w:val="false"/>
                <w:w w:val="100"/>
              </w:rPr>
              <w:t>Last</w:t>
            </w:r>
            <w:r>
              <w:rPr>
                <w:caps w:val="false"/>
                <w:smallCaps w:val="false"/>
                <w:w w:val="100"/>
                <w:u w:val="single"/>
              </w:rPr>
              <w:t>-1</w:t>
            </w:r>
          </w:p>
        </w:tc>
        <w:tc>
          <w:tcPr>
            <w:tcW w:w="1340" w:type="dxa"/>
            <w:tcBorders>
              <w:top w:val="single" w:sz="2" w:space="0" w:color="000000"/>
              <w:start w:val="single" w:sz="2" w:space="0" w:color="000000"/>
              <w:bottom w:val="single" w:sz="2" w:space="0" w:color="000000"/>
              <w:end w:val="single" w:sz="2" w:space="0" w:color="000000"/>
            </w:tcBorders>
          </w:tcPr>
          <w:p>
            <w:pPr>
              <w:pStyle w:val="CellBody"/>
              <w:widowControl w:val="false"/>
              <w:tabs>
                <w:tab w:val="clear" w:pos="720"/>
              </w:tabs>
              <w:spacing w:lineRule="atLeast" w:line="200"/>
              <w:ind w:hanging="0" w:start="0" w:end="0"/>
              <w:rPr>
                <w:caps w:val="false"/>
                <w:smallCaps w:val="false"/>
                <w:w w:val="100"/>
              </w:rPr>
            </w:pPr>
            <w:r>
              <w:rPr>
                <w:caps w:val="false"/>
                <w:smallCaps w:val="false"/>
                <w:w w:val="100"/>
              </w:rPr>
              <w:t>Vendor Specific</w:t>
            </w:r>
          </w:p>
        </w:tc>
        <w:tc>
          <w:tcPr>
            <w:tcW w:w="3992" w:type="dxa"/>
            <w:tcBorders>
              <w:top w:val="single" w:sz="2" w:space="0" w:color="000000"/>
              <w:start w:val="single" w:sz="2" w:space="0" w:color="000000"/>
              <w:bottom w:val="single" w:sz="2" w:space="0" w:color="000000"/>
              <w:end w:val="single" w:sz="2" w:space="0" w:color="000000"/>
            </w:tcBorders>
          </w:tcPr>
          <w:p>
            <w:pPr>
              <w:pStyle w:val="CellBody"/>
              <w:widowControl w:val="false"/>
              <w:tabs>
                <w:tab w:val="clear" w:pos="720"/>
              </w:tabs>
              <w:spacing w:lineRule="atLeast" w:line="200"/>
              <w:ind w:hanging="0" w:start="0" w:end="0"/>
              <w:rPr>
                <w:caps w:val="false"/>
                <w:smallCaps w:val="false"/>
                <w:w w:val="100"/>
              </w:rPr>
            </w:pPr>
            <w:r>
              <w:rPr>
                <w:caps w:val="false"/>
                <w:smallCaps w:val="false"/>
                <w:w w:val="100"/>
              </w:rPr>
              <w:t>One or more Vendor Specific elements are optionally present. These elements follow all other elements.</w:t>
            </w:r>
          </w:p>
        </w:tc>
        <w:tc>
          <w:tcPr>
            <w:tcW w:w="988" w:type="dxa"/>
            <w:tcBorders>
              <w:top w:val="single" w:sz="2" w:space="0" w:color="000000"/>
              <w:start w:val="single" w:sz="2" w:space="0" w:color="000000"/>
              <w:bottom w:val="single" w:sz="2" w:space="0" w:color="000000"/>
              <w:end w:val="single" w:sz="2" w:space="0" w:color="000000"/>
            </w:tcBorders>
          </w:tcPr>
          <w:p>
            <w:pPr>
              <w:pStyle w:val="CellBodyCentered"/>
              <w:widowControl w:val="false"/>
              <w:tabs>
                <w:tab w:val="clear" w:pos="720"/>
              </w:tabs>
              <w:spacing w:lineRule="atLeast" w:line="200"/>
              <w:ind w:hanging="0" w:start="0" w:end="0"/>
              <w:rPr>
                <w:caps w:val="false"/>
                <w:smallCaps w:val="false"/>
                <w:w w:val="100"/>
              </w:rPr>
            </w:pPr>
            <w:r>
              <w:rPr>
                <w:caps w:val="false"/>
                <w:smallCaps w:val="false"/>
                <w:w w:val="100"/>
              </w:rPr>
              <w:t>No</w:t>
            </w:r>
          </w:p>
        </w:tc>
        <w:tc>
          <w:tcPr>
            <w:tcW w:w="1280" w:type="dxa"/>
            <w:tcBorders>
              <w:top w:val="single" w:sz="2" w:space="0" w:color="000000"/>
              <w:start w:val="single" w:sz="2" w:space="0" w:color="000000"/>
              <w:bottom w:val="single" w:sz="2" w:space="0" w:color="000000"/>
              <w:end w:val="single" w:sz="10" w:space="0" w:color="000000"/>
            </w:tcBorders>
          </w:tcPr>
          <w:p>
            <w:pPr>
              <w:pStyle w:val="CellBodyCentered"/>
              <w:widowControl w:val="false"/>
              <w:tabs>
                <w:tab w:val="clear" w:pos="720"/>
              </w:tabs>
              <w:spacing w:lineRule="atLeast" w:line="200"/>
              <w:ind w:hanging="0" w:start="0" w:end="0"/>
              <w:rPr>
                <w:caps w:val="false"/>
                <w:smallCaps w:val="false"/>
                <w:w w:val="100"/>
              </w:rPr>
            </w:pPr>
            <w:r>
              <w:rPr>
                <w:caps w:val="false"/>
                <w:smallCaps w:val="false"/>
                <w:w w:val="100"/>
              </w:rPr>
              <w:t>Yes</w:t>
            </w:r>
          </w:p>
        </w:tc>
      </w:tr>
      <w:tr>
        <w:trPr>
          <w:trHeight w:val="760" w:hRule="atLeast"/>
        </w:trPr>
        <w:tc>
          <w:tcPr>
            <w:tcW w:w="1000" w:type="dxa"/>
            <w:tcBorders>
              <w:start w:val="single" w:sz="10" w:space="0" w:color="000000"/>
              <w:bottom w:val="single" w:sz="10" w:space="0" w:color="000000"/>
              <w:end w:val="single" w:sz="2" w:space="0" w:color="000000"/>
            </w:tcBorders>
          </w:tcPr>
          <w:p>
            <w:pPr>
              <w:pStyle w:val="CellBodyCentered"/>
              <w:widowControl w:val="false"/>
              <w:tabs>
                <w:tab w:val="clear" w:pos="720"/>
              </w:tabs>
              <w:spacing w:lineRule="atLeast" w:line="200"/>
              <w:ind w:hanging="0" w:start="0" w:end="0"/>
              <w:rPr>
                <w:u w:val="single"/>
              </w:rPr>
            </w:pPr>
            <w:r>
              <w:rPr>
                <w:u w:val="single"/>
              </w:rPr>
              <w:t>Last</w:t>
            </w:r>
          </w:p>
        </w:tc>
        <w:tc>
          <w:tcPr>
            <w:tcW w:w="1340" w:type="dxa"/>
            <w:tcBorders>
              <w:start w:val="single" w:sz="2" w:space="0" w:color="000000"/>
              <w:bottom w:val="single" w:sz="10" w:space="0" w:color="000000"/>
              <w:end w:val="single" w:sz="2" w:space="0" w:color="000000"/>
            </w:tcBorders>
          </w:tcPr>
          <w:p>
            <w:pPr>
              <w:pStyle w:val="CellBody"/>
              <w:widowControl w:val="false"/>
              <w:tabs>
                <w:tab w:val="clear" w:pos="720"/>
              </w:tabs>
              <w:spacing w:lineRule="atLeast" w:line="200"/>
              <w:ind w:hanging="0" w:start="0" w:end="0"/>
              <w:rPr>
                <w:u w:val="single"/>
              </w:rPr>
            </w:pPr>
            <w:r>
              <w:rPr>
                <w:u w:val="single"/>
              </w:rPr>
              <w:t>MME or MIC element</w:t>
            </w:r>
          </w:p>
        </w:tc>
        <w:tc>
          <w:tcPr>
            <w:tcW w:w="3992" w:type="dxa"/>
            <w:tcBorders>
              <w:start w:val="single" w:sz="2" w:space="0" w:color="000000"/>
              <w:bottom w:val="single" w:sz="10" w:space="0" w:color="000000"/>
              <w:end w:val="single" w:sz="2" w:space="0" w:color="000000"/>
            </w:tcBorders>
          </w:tcPr>
          <w:p>
            <w:pPr>
              <w:pStyle w:val="CellBody"/>
              <w:widowControl w:val="false"/>
              <w:tabs>
                <w:tab w:val="clear" w:pos="720"/>
              </w:tabs>
              <w:spacing w:lineRule="atLeast" w:line="200"/>
              <w:ind w:hanging="0" w:start="0" w:end="0"/>
              <w:rPr>
                <w:u w:val="single"/>
              </w:rPr>
            </w:pPr>
            <w:r>
              <w:rPr>
                <w:u w:val="single"/>
              </w:rPr>
              <w:t>The MIC element is present if dot11BIPCompactEncapsulation is true.</w:t>
            </w:r>
          </w:p>
          <w:p>
            <w:pPr>
              <w:pStyle w:val="CellBody"/>
              <w:widowControl w:val="false"/>
              <w:tabs>
                <w:tab w:val="clear" w:pos="720"/>
              </w:tabs>
              <w:spacing w:lineRule="atLeast" w:line="200"/>
              <w:ind w:hanging="0" w:start="0" w:end="0"/>
              <w:rPr>
                <w:u w:val="single"/>
              </w:rPr>
            </w:pPr>
            <w:r>
              <w:rPr>
                <w:u w:val="single"/>
              </w:rPr>
              <w:t>The MME is present if dot11BIPCompactEncapsulation is false and dot11RSNAProtectedManagementFramesActivated is true.</w:t>
            </w:r>
          </w:p>
          <w:p>
            <w:pPr>
              <w:pStyle w:val="CellBody"/>
              <w:widowControl w:val="false"/>
              <w:tabs>
                <w:tab w:val="clear" w:pos="720"/>
              </w:tabs>
              <w:spacing w:lineRule="atLeast" w:line="200"/>
              <w:ind w:hanging="0" w:start="0" w:end="0"/>
              <w:rPr>
                <w:u w:val="single"/>
              </w:rPr>
            </w:pPr>
            <w:r>
              <w:rPr>
                <w:u w:val="single"/>
              </w:rPr>
              <w:t xml:space="preserve">Otherwise neither is present. </w:t>
            </w:r>
          </w:p>
        </w:tc>
        <w:tc>
          <w:tcPr>
            <w:tcW w:w="988" w:type="dxa"/>
            <w:tcBorders>
              <w:start w:val="single" w:sz="2" w:space="0" w:color="000000"/>
              <w:bottom w:val="single" w:sz="10" w:space="0" w:color="000000"/>
              <w:end w:val="single" w:sz="2" w:space="0" w:color="000000"/>
            </w:tcBorders>
          </w:tcPr>
          <w:p>
            <w:pPr>
              <w:pStyle w:val="CellBodyCentered"/>
              <w:widowControl w:val="false"/>
              <w:tabs>
                <w:tab w:val="clear" w:pos="720"/>
              </w:tabs>
              <w:spacing w:lineRule="atLeast" w:line="200"/>
              <w:ind w:hanging="0" w:start="0" w:end="0"/>
              <w:rPr>
                <w:u w:val="single"/>
              </w:rPr>
            </w:pPr>
            <w:r>
              <w:rPr>
                <w:u w:val="single"/>
              </w:rPr>
              <w:t>Yes</w:t>
            </w:r>
          </w:p>
        </w:tc>
        <w:tc>
          <w:tcPr>
            <w:tcW w:w="1280" w:type="dxa"/>
            <w:tcBorders>
              <w:start w:val="single" w:sz="2" w:space="0" w:color="000000"/>
              <w:bottom w:val="single" w:sz="10" w:space="0" w:color="000000"/>
              <w:end w:val="single" w:sz="10" w:space="0" w:color="000000"/>
            </w:tcBorders>
          </w:tcPr>
          <w:p>
            <w:pPr>
              <w:pStyle w:val="CellBodyCentered"/>
              <w:widowControl w:val="false"/>
              <w:tabs>
                <w:tab w:val="clear" w:pos="720"/>
              </w:tabs>
              <w:spacing w:lineRule="atLeast" w:line="200"/>
              <w:ind w:hanging="0" w:start="0" w:end="0"/>
              <w:rPr>
                <w:u w:val="single"/>
              </w:rPr>
            </w:pPr>
            <w:r>
              <w:rPr>
                <w:u w:val="single"/>
              </w:rPr>
              <w:t>Yes</w:t>
            </w:r>
          </w:p>
        </w:tc>
      </w:tr>
    </w:tbl>
    <w:p>
      <w:pPr>
        <w:pStyle w:val="TText"/>
        <w:rPr/>
      </w:pPr>
      <w:r>
        <w:rPr/>
      </w:r>
    </w:p>
    <w:p>
      <w:pPr>
        <w:pStyle w:val="H41111"/>
        <w:rPr/>
      </w:pPr>
      <w:r>
        <w:rPr/>
        <w:t>9.4.2.23 RSNE</w:t>
      </w:r>
    </w:p>
    <w:p>
      <w:pPr>
        <w:pStyle w:val="H41111"/>
        <w:rPr>
          <w:color w:val="auto"/>
        </w:rPr>
      </w:pPr>
      <w:r>
        <w:rPr>
          <w:color w:val="auto"/>
        </w:rPr>
        <w:t>9.4.2.23.4 RSN capabilities</w:t>
      </w:r>
    </w:p>
    <w:p>
      <w:pPr>
        <w:pStyle w:val="Normal"/>
        <w:rPr>
          <w:b/>
          <w:bCs/>
          <w:i/>
          <w:i/>
          <w:iCs/>
        </w:rPr>
      </w:pPr>
      <w:r>
        <w:rPr>
          <w:b/>
          <w:bCs/>
          <w:i/>
          <w:iCs/>
        </w:rPr>
        <w:t>Change B12 in Figure 9-345 from “Reserved” to “BIP Compact Encapsulation/Reserved”</w:t>
      </w:r>
    </w:p>
    <w:p>
      <w:pPr>
        <w:pStyle w:val="Normal"/>
        <w:rPr>
          <w:b/>
          <w:bCs/>
          <w:i/>
          <w:i/>
          <w:iCs/>
        </w:rPr>
      </w:pPr>
      <w:r>
        <w:rPr>
          <w:b/>
          <w:bCs/>
          <w:i/>
          <w:iCs/>
        </w:rPr>
      </w:r>
    </w:p>
    <w:p>
      <w:pPr>
        <w:pStyle w:val="Normal"/>
        <w:rPr>
          <w:b/>
          <w:bCs/>
          <w:i/>
          <w:i/>
          <w:iCs/>
        </w:rPr>
      </w:pPr>
      <w:r>
        <w:rPr>
          <w:b/>
          <w:bCs/>
          <w:i/>
          <w:iCs/>
        </w:rPr>
        <w:t>Change the last line of the clause as shown:</w:t>
      </w:r>
    </w:p>
    <w:p>
      <w:pPr>
        <w:pStyle w:val="TText"/>
        <w:rPr/>
      </w:pPr>
      <w:r>
        <w:rPr/>
        <w:t xml:space="preserve">—  </w:t>
      </w:r>
      <w:r>
        <w:rPr/>
        <w:t xml:space="preserve">Bit 12: </w:t>
      </w:r>
      <w:r>
        <w:rPr>
          <w:strike w:val="false"/>
          <w:dstrike w:val="false"/>
          <w:u w:val="single"/>
        </w:rPr>
        <w:t>BIP Compact Encapsulation/</w:t>
      </w:r>
      <w:r>
        <w:rPr>
          <w:strike w:val="false"/>
          <w:dstrike w:val="false"/>
        </w:rPr>
        <w:t>Reserved</w:t>
      </w:r>
      <w:r>
        <w:rPr/>
        <w:t>.</w:t>
      </w:r>
      <w:r>
        <w:rPr>
          <w:u w:val="single"/>
        </w:rPr>
        <w:t xml:space="preserve"> An S1G AP sets this bit to 1 to indicate that it supports transmission of S1G Beacon frames protected using BIP Compact Encapsulation (BCE) and, if bit 7 (MFPC) is set to 1, that S1G Beacons will be protected using BCE.  An S1G non-AP STA sets this bit to 1 to indicate that it supports reception of S1G Beacon frames protected using BCE.  For non-S1G STAs, this bit is reserved.</w:t>
      </w:r>
    </w:p>
    <w:p>
      <w:pPr>
        <w:pStyle w:val="TText"/>
        <w:rPr>
          <w:u w:val="single"/>
        </w:rPr>
      </w:pPr>
      <w:r>
        <w:rPr>
          <w:u w:val="single"/>
        </w:rPr>
      </w:r>
    </w:p>
    <w:p>
      <w:pPr>
        <w:pStyle w:val="H41111"/>
        <w:rPr>
          <w:color w:val="auto"/>
        </w:rPr>
      </w:pPr>
      <w:r>
        <w:rPr>
          <w:color w:val="auto"/>
        </w:rPr>
        <w:t>9.4.2.53 MME</w:t>
      </w:r>
    </w:p>
    <w:p>
      <w:pPr>
        <w:pStyle w:val="Normal"/>
        <w:rPr>
          <w:b/>
          <w:bCs/>
          <w:i/>
          <w:i/>
          <w:iCs/>
          <w:color w:val="auto"/>
        </w:rPr>
      </w:pPr>
      <w:r>
        <w:rPr>
          <w:b/>
          <w:bCs/>
          <w:i/>
          <w:iCs/>
          <w:color w:val="auto"/>
        </w:rPr>
        <w:t>Change the first paragraph as shown:</w:t>
      </w:r>
    </w:p>
    <w:p>
      <w:pPr>
        <w:pStyle w:val="TText"/>
        <w:rPr/>
      </w:pPr>
      <w:r>
        <w:rPr/>
        <w:t xml:space="preserve">The management MIC element (MME) provides message integrity and protects group addressed </w:t>
      </w:r>
      <w:r>
        <w:rPr>
          <w:color w:val="auto"/>
        </w:rPr>
        <w:t xml:space="preserve">robust Management frames and protected Beacon frames </w:t>
      </w:r>
      <w:r>
        <w:rPr>
          <w:color w:val="auto"/>
          <w:u w:val="single"/>
        </w:rPr>
        <w:t xml:space="preserve">which are not protected with BCE </w:t>
      </w:r>
      <w:r>
        <w:rPr>
          <w:color w:val="auto"/>
        </w:rPr>
        <w:t>from forgery and replay. Figure 9-443 (MME format) shows the MME format.</w:t>
      </w:r>
    </w:p>
    <w:p>
      <w:pPr>
        <w:pStyle w:val="TText"/>
        <w:rPr>
          <w:color w:val="auto"/>
        </w:rPr>
      </w:pPr>
      <w:r>
        <w:rPr>
          <w:color w:val="auto"/>
        </w:rPr>
      </w:r>
    </w:p>
    <w:p>
      <w:pPr>
        <w:pStyle w:val="H41111"/>
        <w:rPr/>
      </w:pPr>
      <w:r>
        <w:rPr/>
        <w:t>9.4.2.195 S1G Beacon Compatibility element</w:t>
      </w:r>
    </w:p>
    <w:p>
      <w:pPr>
        <w:pStyle w:val="Normal"/>
        <w:rPr>
          <w:b/>
          <w:bCs/>
        </w:rPr>
      </w:pPr>
      <w:r>
        <w:rPr>
          <w:b/>
          <w:bCs/>
        </w:rPr>
        <w:t>Change the third paragraph as shown and add the NOTE:</w:t>
      </w:r>
    </w:p>
    <w:p>
      <w:pPr>
        <w:pStyle w:val="TText"/>
        <w:rPr/>
      </w:pPr>
      <w:r>
        <w:rPr/>
        <w:t>The Compatibility Information field contains all the subfields defined in 9.4.1.4 (Capability Information field) except for the subfield</w:t>
      </w:r>
      <w:r>
        <w:rPr>
          <w:u w:val="single"/>
        </w:rPr>
        <w:t>s</w:t>
      </w:r>
      <w:r>
        <w:rPr/>
        <w:t xml:space="preserve"> located in B6</w:t>
      </w:r>
      <w:r>
        <w:rPr>
          <w:u w:val="single"/>
        </w:rPr>
        <w:t xml:space="preserve"> and B7</w:t>
      </w:r>
      <w:r>
        <w:rPr/>
        <w:t xml:space="preserve"> of the field</w:t>
      </w:r>
      <w:r>
        <w:rPr>
          <w:u w:val="single"/>
        </w:rPr>
        <w:t>.</w:t>
      </w:r>
      <w:r>
        <w:rPr>
          <w:strike/>
        </w:rPr>
        <w:t>, which</w:t>
      </w:r>
      <w:r>
        <w:rPr>
          <w:strike w:val="false"/>
          <w:dstrike w:val="false"/>
          <w:u w:val="single"/>
        </w:rPr>
        <w:t>B6</w:t>
      </w:r>
      <w:r>
        <w:rPr/>
        <w:t xml:space="preserve"> is defined as the TSF Rollover Flag subfield. An S1G AP sets the TSF Rollover Flag subfield to the value of the most significant bit of the 4 least significant octets of the TSF timer at the time the TSF timer is read for the purpose of creating the element carrying the Compatibility Information field.</w:t>
      </w:r>
      <w:r>
        <w:rPr>
          <w:u w:val="single"/>
        </w:rPr>
        <w:t xml:space="preserve"> B7 is defined as the BIGTK Key ID Index subfield. When the S1G Beacon frame is protected with BCE, the S1G AP sets the field to 0 when the key ID used to protect the frame is 6, and sets the field to 1 when the key ID used to protect the frame is 7, i.e. </w:t>
      </w:r>
      <w:r>
        <w:rPr>
          <w:i/>
          <w:iCs/>
          <w:u w:val="single"/>
        </w:rPr>
        <w:t>BIGTK Key ID Index = key ID + 6.</w:t>
      </w:r>
    </w:p>
    <w:p>
      <w:pPr>
        <w:pStyle w:val="Note"/>
        <w:rPr>
          <w:u w:val="single"/>
        </w:rPr>
      </w:pPr>
      <w:r>
        <w:rPr>
          <w:u w:val="single"/>
        </w:rPr>
        <w:t>Note 1: Valid values for the BIGTK Key ID are 6 or 7 (see 6.5.14.1 (MLME-SETKEYS.request)).</w:t>
      </w:r>
    </w:p>
    <w:p>
      <w:pPr>
        <w:pStyle w:val="TText"/>
        <w:rPr/>
      </w:pPr>
      <w:r>
        <w:rPr/>
      </w:r>
    </w:p>
    <w:p>
      <w:pPr>
        <w:pStyle w:val="H41111"/>
        <w:rPr/>
      </w:pPr>
      <w:r>
        <w:rPr/>
        <w:t>12.5.3.1 BIP overview</w:t>
      </w:r>
    </w:p>
    <w:p>
      <w:pPr>
        <w:pStyle w:val="Normal"/>
        <w:rPr>
          <w:b/>
          <w:bCs/>
          <w:i/>
          <w:i/>
          <w:iCs/>
        </w:rPr>
      </w:pPr>
      <w:r>
        <w:rPr>
          <w:b/>
          <w:bCs/>
          <w:i/>
          <w:iCs/>
        </w:rPr>
        <w:t>Change the first paragraph as shown:</w:t>
      </w:r>
    </w:p>
    <w:p>
      <w:pPr>
        <w:pStyle w:val="TText"/>
        <w:widowControl w:val="false"/>
        <w:suppressAutoHyphens w:val="false"/>
        <w:spacing w:lineRule="atLeast" w:line="240"/>
        <w:ind w:hanging="0" w:start="0" w:end="0"/>
        <w:rPr/>
      </w:pPr>
      <w:r>
        <w:rPr>
          <w:caps w:val="false"/>
          <w:smallCaps w:val="false"/>
          <w:color w:val="auto"/>
          <w:spacing w:val="-2"/>
          <w:w w:val="100"/>
          <w:u w:val="none"/>
        </w:rPr>
        <w:t>BIP provides data integrity and replay protection for group addressed robust Management frames after establishment of an IGTKSA (see 12.6.1.1.9 (IGTKSA))</w:t>
      </w:r>
      <w:r>
        <w:rPr>
          <w:caps w:val="false"/>
          <w:smallCaps w:val="false"/>
          <w:strike/>
          <w:color w:val="auto"/>
          <w:spacing w:val="-2"/>
          <w:w w:val="100"/>
          <w:u w:val="none"/>
        </w:rPr>
        <w:t xml:space="preserve"> and f</w:t>
      </w:r>
      <w:r>
        <w:rPr>
          <w:caps w:val="false"/>
          <w:smallCaps w:val="false"/>
          <w:strike w:val="false"/>
          <w:dstrike w:val="false"/>
          <w:color w:val="auto"/>
          <w:spacing w:val="-2"/>
          <w:w w:val="100"/>
          <w:u w:val="single"/>
        </w:rPr>
        <w:t>. For non-S1G STAs, BIP provides data integrity and replay protection f</w:t>
      </w:r>
      <w:r>
        <w:rPr>
          <w:caps w:val="false"/>
          <w:smallCaps w:val="false"/>
          <w:strike w:val="false"/>
          <w:dstrike w:val="false"/>
          <w:color w:val="auto"/>
          <w:spacing w:val="-2"/>
          <w:w w:val="100"/>
          <w:u w:val="none"/>
        </w:rPr>
        <w:t>or</w:t>
      </w:r>
      <w:r>
        <w:rPr>
          <w:caps w:val="false"/>
          <w:smallCaps w:val="false"/>
          <w:color w:val="auto"/>
          <w:spacing w:val="-2"/>
          <w:w w:val="100"/>
          <w:u w:val="none"/>
        </w:rPr>
        <w:t xml:space="preserve"> Beacon frames after establishment of a BIGTKSA (see 12.6.1.1.11 (BIGTKSA)).</w:t>
      </w:r>
      <w:r>
        <w:rPr>
          <w:caps w:val="false"/>
          <w:smallCaps w:val="false"/>
          <w:color w:val="auto"/>
          <w:spacing w:val="-2"/>
          <w:w w:val="100"/>
          <w:u w:val="single"/>
        </w:rPr>
        <w:t xml:space="preserve"> </w:t>
      </w:r>
      <w:r>
        <w:rPr>
          <w:caps w:val="false"/>
          <w:smallCaps w:val="false"/>
          <w:strike w:val="false"/>
          <w:dstrike w:val="false"/>
          <w:color w:val="auto"/>
          <w:spacing w:val="-2"/>
          <w:w w:val="100"/>
          <w:u w:val="single"/>
        </w:rPr>
        <w:t>For S1G STAs, BIP provides data integrity and replay protection for</w:t>
      </w:r>
      <w:r>
        <w:rPr>
          <w:caps w:val="false"/>
          <w:smallCaps w:val="false"/>
          <w:color w:val="auto"/>
          <w:spacing w:val="-2"/>
          <w:w w:val="100"/>
          <w:u w:val="single"/>
        </w:rPr>
        <w:t xml:space="preserve"> S1G Beacon frames after establishment of a BIGTKSA (see 12.6.1.1.11 (BIGTKSA)).</w:t>
      </w:r>
      <w:r>
        <w:rPr>
          <w:caps w:val="false"/>
          <w:smallCaps w:val="false"/>
          <w:color w:val="auto"/>
          <w:spacing w:val="-2"/>
          <w:w w:val="100"/>
          <w:u w:val="none"/>
        </w:rPr>
        <w:t xml:space="preserve"> BIP also provides integrity and replay protection for individually addressed and group addressed WUR frames (see 29.10 (WUR frame protection)).</w:t>
      </w:r>
    </w:p>
    <w:p>
      <w:pPr>
        <w:pStyle w:val="TText"/>
        <w:widowControl w:val="false"/>
        <w:suppressAutoHyphens w:val="false"/>
        <w:spacing w:lineRule="atLeast" w:line="240"/>
        <w:ind w:hanging="0" w:start="0" w:end="0"/>
        <w:rPr>
          <w:caps w:val="false"/>
          <w:smallCaps w:val="false"/>
          <w:color w:val="auto"/>
          <w:spacing w:val="-2"/>
          <w:w w:val="100"/>
          <w:u w:val="none"/>
        </w:rPr>
      </w:pPr>
      <w:r>
        <w:rPr>
          <w:caps w:val="false"/>
          <w:smallCaps w:val="false"/>
          <w:color w:val="auto"/>
          <w:spacing w:val="-2"/>
          <w:w w:val="100"/>
          <w:u w:val="none"/>
        </w:rPr>
      </w:r>
    </w:p>
    <w:p>
      <w:pPr>
        <w:pStyle w:val="Normal"/>
        <w:rPr/>
      </w:pPr>
      <w:r>
        <w:rPr>
          <w:b/>
          <w:bCs/>
          <w:i/>
          <w:iCs/>
        </w:rPr>
        <w:t>Change the last paragraph as shown:</w:t>
      </w:r>
    </w:p>
    <w:p>
      <w:pPr>
        <w:pStyle w:val="TText"/>
        <w:rPr/>
      </w:pPr>
      <w:r>
        <w:rPr/>
        <w:t>BIP uses the IGTK or BIGTK to compute the MMPDU MIC, uses the WTK to compute the MIC for protecting individually addressed WUR Wake-up frames, and uses the WIGTK to compute the MIC for protecting broadcast or group addressed WUR Wake-up frames. The Authenticator shall, if management frame protection is negotiated, distribute one new IGTK and IGTK PN (IPN) whenever it distributes a new GTK. The IGTK is identified by the MAC address of the transmitting STA plus an IGTK key ID that is encoded in the MME Key ID field. If beacon protection is enabled, the Authenticator may distribute one new BIGTK and BIPN when it distributes a new GTK. The BIGTK is identified by the MAC address of the transmitting STA plus</w:t>
      </w:r>
      <w:r>
        <w:rPr>
          <w:u w:val="single"/>
        </w:rPr>
        <w:t>:</w:t>
      </w:r>
    </w:p>
    <w:p>
      <w:pPr>
        <w:pStyle w:val="TText"/>
        <w:numPr>
          <w:ilvl w:val="0"/>
          <w:numId w:val="3"/>
        </w:numPr>
        <w:rPr>
          <w:u w:val="single"/>
        </w:rPr>
      </w:pPr>
      <w:r>
        <w:rPr>
          <w:u w:val="single"/>
        </w:rPr>
        <w:t>a BIGTK key ID that is encoded in the S1G Beacon Compatibility element, in S1G Beacon frames that use BCE or</w:t>
      </w:r>
    </w:p>
    <w:p>
      <w:pPr>
        <w:pStyle w:val="TText"/>
        <w:numPr>
          <w:ilvl w:val="0"/>
          <w:numId w:val="3"/>
        </w:numPr>
        <w:rPr/>
      </w:pPr>
      <w:r>
        <w:rPr/>
        <w:t>a</w:t>
      </w:r>
      <w:r>
        <w:rPr>
          <w:color w:val="auto"/>
        </w:rPr>
        <w:t xml:space="preserve"> BIGTK key ID that is encoded in the MME Key ID field</w:t>
      </w:r>
      <w:r>
        <w:rPr>
          <w:strike/>
          <w:color w:val="auto"/>
        </w:rPr>
        <w:t>.</w:t>
      </w:r>
      <w:r>
        <w:rPr>
          <w:color w:val="auto"/>
          <w:u w:val="single"/>
        </w:rPr>
        <w:t>, in Beacon frames and S1G Beacon frames that do not use BCE.</w:t>
      </w:r>
    </w:p>
    <w:p>
      <w:pPr>
        <w:pStyle w:val="TText"/>
        <w:rPr/>
      </w:pPr>
      <w:r>
        <w:rPr>
          <w:color w:val="auto"/>
        </w:rPr>
        <w:t>If WU</w:t>
      </w:r>
      <w:r>
        <w:rPr/>
        <w:t>R frame protection is negotiated, the Authenticator may distribute one new WIGTK and WIPN when it distributes a new GTK. The WIGTK is identified by the MAC address of the transmitting STA plus the WIGTK key ID that is encoded in the Key ID field (see Figure 12-47 (WIGTK KDE format), Figure 9-1231 (Miscellaneous subfield format), 9.4.2.295 (WUR PN Update element) and 9.4.2.46 (FTE))</w:t>
        <w:tab/>
        <w:tab/>
        <w:t>.</w:t>
      </w:r>
    </w:p>
    <w:p>
      <w:pPr>
        <w:pStyle w:val="TText"/>
        <w:widowControl w:val="false"/>
        <w:suppressAutoHyphens w:val="false"/>
        <w:spacing w:lineRule="atLeast" w:line="240"/>
        <w:ind w:hanging="0" w:start="0" w:end="0"/>
        <w:rPr>
          <w:caps w:val="false"/>
          <w:smallCaps w:val="false"/>
          <w:color w:val="auto"/>
          <w:spacing w:val="-2"/>
          <w:w w:val="100"/>
          <w:sz w:val="20"/>
          <w:szCs w:val="20"/>
          <w:u w:val="single"/>
        </w:rPr>
      </w:pPr>
      <w:r>
        <w:rPr>
          <w:caps w:val="false"/>
          <w:smallCaps w:val="false"/>
          <w:color w:val="auto"/>
          <w:spacing w:val="-2"/>
          <w:w w:val="100"/>
          <w:sz w:val="20"/>
          <w:szCs w:val="20"/>
          <w:u w:val="single"/>
        </w:rPr>
      </w:r>
    </w:p>
    <w:p>
      <w:pPr>
        <w:pStyle w:val="H41111"/>
        <w:rPr/>
      </w:pPr>
      <w:r>
        <w:rPr/>
        <w:t>12.5.3.2 BIP MMPDU format</w:t>
      </w:r>
    </w:p>
    <w:p>
      <w:pPr>
        <w:pStyle w:val="Normal"/>
        <w:rPr>
          <w:b/>
          <w:bCs/>
          <w:i/>
          <w:i/>
          <w:iCs/>
        </w:rPr>
      </w:pPr>
      <w:r>
        <w:rPr>
          <w:b/>
          <w:bCs/>
          <w:i/>
          <w:iCs/>
        </w:rPr>
        <w:t>Change the first paragraph as shown:</w:t>
      </w:r>
    </w:p>
    <w:p>
      <w:pPr>
        <w:pStyle w:val="TText"/>
        <w:rPr/>
      </w:pPr>
      <w:r>
        <w:rPr>
          <w:u w:val="single"/>
        </w:rPr>
        <w:t xml:space="preserve">For protected management frames that are not S1G Beacon frames using BCE, </w:t>
      </w:r>
      <w:r>
        <w:rPr>
          <w:strike w:val="false"/>
          <w:dstrike w:val="false"/>
          <w:u w:val="single"/>
        </w:rPr>
        <w:t>t</w:t>
      </w:r>
      <w:r>
        <w:rPr>
          <w:strike/>
          <w:u w:val="single"/>
        </w:rPr>
        <w:t>T</w:t>
      </w:r>
      <w:r>
        <w:rPr>
          <w:strike w:val="false"/>
          <w:dstrike w:val="false"/>
          <w:u w:val="none"/>
        </w:rPr>
        <w:t>he</w:t>
      </w:r>
      <w:r>
        <w:rPr/>
        <w:t xml:space="preserve"> MME shall follow all of the other elements in the management frame body but precede the FCS. See 9.4.2.53 (MME) for the format of the MME. Figure 12-23 (BIP encapsulation) shows the BIP MMPDU.</w:t>
      </w:r>
    </w:p>
    <w:p>
      <w:pPr>
        <w:pStyle w:val="TText"/>
        <w:rPr/>
      </w:pPr>
      <w:r>
        <w:rPr/>
      </w:r>
    </w:p>
    <w:p>
      <w:pPr>
        <w:pStyle w:val="Normal"/>
        <w:rPr>
          <w:b/>
          <w:bCs/>
          <w:i/>
          <w:i/>
          <w:iCs/>
        </w:rPr>
      </w:pPr>
      <w:r>
        <w:rPr>
          <w:b/>
          <w:bCs/>
          <w:i/>
          <w:iCs/>
        </w:rPr>
        <w:t>Add the following text at the end of the clause:</w:t>
      </w:r>
    </w:p>
    <w:p>
      <w:pPr>
        <w:pStyle w:val="TText"/>
        <w:rPr>
          <w:u w:val="single"/>
        </w:rPr>
      </w:pPr>
      <w:r>
        <w:rPr>
          <w:u w:val="single"/>
        </w:rPr>
        <w:t xml:space="preserve">For protected S1G Beacon frames using BCE, </w:t>
      </w:r>
      <w:r>
        <w:rPr>
          <w:strike w:val="false"/>
          <w:dstrike w:val="false"/>
          <w:u w:val="single"/>
        </w:rPr>
        <w:t>the</w:t>
      </w:r>
      <w:r>
        <w:rPr>
          <w:u w:val="single"/>
        </w:rPr>
        <w:t xml:space="preserve"> MIC element shall follow all of the other elements in the frame body but precede the FCS. See 9.4.2.117 (MIC element) for the format of the MIC element. Figure 12-23a (BIP encapsulation with BCE) shows the BIP MMPDU using BCE.</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tLeast" w:line="240"/>
        <w:ind w:hanging="0" w:start="0" w:end="0"/>
        <w:rPr>
          <w:caps w:val="false"/>
          <w:smallCaps w:val="false"/>
          <w:spacing w:val="-2"/>
          <w:w w:val="100"/>
        </w:rPr>
      </w:pPr>
      <w:r>
        <w:rPr>
          <w:caps w:val="false"/>
          <w:smallCaps w:val="false"/>
          <w:spacing w:val="-2"/>
          <w:w w:val="100"/>
        </w:rPr>
      </w:r>
    </w:p>
    <w:tbl>
      <w:tblPr>
        <w:tblW w:w="7050" w:type="dxa"/>
        <w:jc w:val="center"/>
        <w:tblInd w:w="0" w:type="dxa"/>
        <w:tblLayout w:type="fixed"/>
        <w:tblCellMar>
          <w:top w:w="120" w:type="dxa"/>
          <w:start w:w="120" w:type="dxa"/>
          <w:bottom w:w="60" w:type="dxa"/>
          <w:end w:w="120" w:type="dxa"/>
        </w:tblCellMar>
      </w:tblPr>
      <w:tblGrid>
        <w:gridCol w:w="1799"/>
        <w:gridCol w:w="4082"/>
        <w:gridCol w:w="1169"/>
      </w:tblGrid>
      <w:tr>
        <w:trPr>
          <w:trHeight w:val="320" w:hRule="atLeast"/>
        </w:trPr>
        <w:tc>
          <w:tcPr>
            <w:tcW w:w="1799"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IEEE 802.11 Header</w:t>
            </w:r>
          </w:p>
        </w:tc>
        <w:tc>
          <w:tcPr>
            <w:tcW w:w="4082"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u w:val="single"/>
              </w:rPr>
            </w:pPr>
            <w:r>
              <w:rPr>
                <w:caps w:val="false"/>
                <w:smallCaps w:val="false"/>
                <w:w w:val="100"/>
                <w:u w:val="single"/>
              </w:rPr>
              <w:t>Management Frame Body including MIC Element</w:t>
            </w:r>
          </w:p>
        </w:tc>
        <w:tc>
          <w:tcPr>
            <w:tcW w:w="1169"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FCS</w:t>
            </w:r>
          </w:p>
        </w:tc>
      </w:tr>
      <w:tr>
        <w:trPr/>
        <w:tc>
          <w:tcPr>
            <w:tcW w:w="7050" w:type="dxa"/>
            <w:gridSpan w:val="3"/>
            <w:tcBorders/>
            <w:vAlign w:val="center"/>
          </w:tcPr>
          <w:p>
            <w:pPr>
              <w:pStyle w:val="FigTitle"/>
              <w:widowControl w:val="false"/>
              <w:numPr>
                <w:ilvl w:val="0"/>
                <w:numId w:val="0"/>
              </w:numPr>
              <w:tabs>
                <w:tab w:val="clear" w:pos="720"/>
              </w:tabs>
              <w:spacing w:lineRule="atLeast" w:line="240" w:before="0" w:after="0"/>
              <w:ind w:hanging="0" w:start="0" w:end="0"/>
              <w:rPr>
                <w:u w:val="single"/>
              </w:rPr>
            </w:pPr>
            <w:r>
              <w:rPr>
                <w:caps w:val="false"/>
                <w:smallCaps w:val="false"/>
                <w:w w:val="100"/>
                <w:u w:val="single"/>
              </w:rPr>
              <w:t>Figure 12-23a—</w:t>
            </w:r>
            <w:bookmarkStart w:id="0" w:name="RTF33353734383a204669675469"/>
            <w:r>
              <w:rPr>
                <w:caps w:val="false"/>
                <w:smallCaps w:val="false"/>
                <w:w w:val="100"/>
                <w:u w:val="single"/>
              </w:rPr>
              <w:t>BIP</w:t>
            </w:r>
            <w:bookmarkEnd w:id="0"/>
            <w:r>
              <w:rPr>
                <w:caps w:val="false"/>
                <w:smallCaps w:val="false"/>
                <w:w w:val="100"/>
                <w:u w:val="single"/>
              </w:rPr>
              <w:t xml:space="preserve"> Compact Encapsulation</w:t>
            </w:r>
          </w:p>
        </w:tc>
      </w:tr>
    </w:tbl>
    <w:p>
      <w:pPr>
        <w:pStyle w:val="TText"/>
        <w:widowControl w:val="false"/>
        <w:spacing w:lineRule="atLeast" w:line="240"/>
        <w:ind w:hanging="0" w:start="0" w:end="0"/>
        <w:rPr>
          <w:caps w:val="false"/>
          <w:smallCaps w:val="false"/>
          <w:spacing w:val="-2"/>
          <w:w w:val="100"/>
        </w:rPr>
      </w:pPr>
      <w:r>
        <w:rPr>
          <w:caps w:val="false"/>
          <w:smallCaps w:val="false"/>
          <w:spacing w:val="-2"/>
          <w:w w:val="100"/>
        </w:rPr>
      </w:r>
    </w:p>
    <w:p>
      <w:pPr>
        <w:pStyle w:val="H41111"/>
        <w:spacing w:lineRule="atLeast" w:line="240"/>
        <w:ind w:hanging="0" w:start="0" w:end="0"/>
        <w:rPr>
          <w:caps w:val="false"/>
          <w:smallCaps w:val="false"/>
          <w:w w:val="100"/>
        </w:rPr>
      </w:pPr>
      <w:r>
        <w:rPr>
          <w:caps w:val="false"/>
          <w:smallCaps w:val="false"/>
          <w:w w:val="100"/>
          <w:sz w:val="28"/>
          <w:szCs w:val="28"/>
        </w:rPr>
        <w:t xml:space="preserve">12.5.3.3 </w:t>
      </w:r>
      <w:bookmarkStart w:id="1" w:name="RTF36313737343a2048342c312e"/>
      <w:r>
        <w:rPr>
          <w:caps w:val="false"/>
          <w:smallCaps w:val="false"/>
          <w:w w:val="100"/>
          <w:sz w:val="28"/>
          <w:szCs w:val="28"/>
        </w:rPr>
        <w:t>BIP AAD construction</w:t>
      </w:r>
      <w:bookmarkEnd w:id="1"/>
    </w:p>
    <w:p>
      <w:pPr>
        <w:pStyle w:val="Normal"/>
        <w:rPr>
          <w:b/>
          <w:bCs/>
          <w:i/>
          <w:i/>
          <w:iCs/>
        </w:rPr>
      </w:pPr>
      <w:r>
        <w:rPr>
          <w:b/>
          <w:bCs/>
          <w:i/>
          <w:iCs/>
        </w:rPr>
        <w:t>Change the text as shown:</w:t>
      </w:r>
    </w:p>
    <w:p>
      <w:pPr>
        <w:pStyle w:val="TText"/>
        <w:spacing w:lineRule="atLeast" w:line="240"/>
        <w:ind w:hanging="0" w:start="0" w:end="0"/>
        <w:rPr>
          <w:caps w:val="false"/>
          <w:smallCaps w:val="false"/>
          <w:spacing w:val="-2"/>
          <w:w w:val="100"/>
        </w:rPr>
      </w:pPr>
      <w:r>
        <w:rPr>
          <w:caps w:val="false"/>
          <w:smallCaps w:val="false"/>
          <w:spacing w:val="-2"/>
          <w:w w:val="100"/>
          <w:u w:val="single"/>
        </w:rPr>
        <w:t xml:space="preserve">For MPDUs that are not S1G Beacon frames, </w:t>
      </w:r>
      <w:r>
        <w:rPr>
          <w:caps w:val="false"/>
          <w:smallCaps w:val="false"/>
          <w:strike/>
          <w:spacing w:val="-2"/>
          <w:w w:val="100"/>
        </w:rPr>
        <w:t>T</w:t>
      </w:r>
      <w:r>
        <w:rPr>
          <w:caps w:val="false"/>
          <w:smallCaps w:val="false"/>
          <w:spacing w:val="-2"/>
          <w:w w:val="100"/>
        </w:rPr>
        <w:t>he BIP Additional Authentication Data (AAD) is constructed from the MPDU header. AAD construction is performed as follows:</w:t>
      </w:r>
    </w:p>
    <w:p>
      <w:pPr>
        <w:pStyle w:val="L1LetteredList"/>
        <w:numPr>
          <w:ilvl w:val="0"/>
          <w:numId w:val="2"/>
        </w:numPr>
        <w:suppressAutoHyphens w:val="false"/>
        <w:spacing w:lineRule="atLeast" w:line="240"/>
        <w:ind w:hanging="440" w:start="640" w:end="0"/>
        <w:rPr>
          <w:caps w:val="false"/>
          <w:smallCaps w:val="false"/>
          <w:w w:val="100"/>
        </w:rPr>
      </w:pPr>
      <w:r>
        <w:rPr>
          <w:caps w:val="false"/>
          <w:smallCaps w:val="false"/>
          <w:w w:val="100"/>
        </w:rPr>
        <w:t>FC—MPDU Frame Control field, with:</w:t>
      </w:r>
    </w:p>
    <w:p>
      <w:pPr>
        <w:pStyle w:val="Ll1NumberedList2"/>
        <w:numPr>
          <w:ilvl w:val="1"/>
          <w:numId w:val="2"/>
        </w:numPr>
        <w:spacing w:lineRule="atLeast" w:line="240"/>
        <w:ind w:hanging="400" w:start="1040" w:end="0"/>
        <w:rPr>
          <w:caps w:val="false"/>
          <w:smallCaps w:val="false"/>
          <w:w w:val="100"/>
        </w:rPr>
      </w:pPr>
      <w:r>
        <w:rPr>
          <w:caps w:val="false"/>
          <w:smallCaps w:val="false"/>
          <w:w w:val="100"/>
        </w:rPr>
        <w:t>Retry subfield (bit 11) masked out</w:t>
      </w:r>
    </w:p>
    <w:p>
      <w:pPr>
        <w:pStyle w:val="Ll1NumberedList2"/>
        <w:numPr>
          <w:ilvl w:val="1"/>
          <w:numId w:val="2"/>
        </w:numPr>
        <w:spacing w:lineRule="atLeast" w:line="240"/>
        <w:ind w:hanging="400" w:start="1040" w:end="0"/>
        <w:rPr>
          <w:caps w:val="false"/>
          <w:smallCaps w:val="false"/>
          <w:w w:val="100"/>
        </w:rPr>
      </w:pPr>
      <w:r>
        <w:rPr>
          <w:caps w:val="false"/>
          <w:smallCaps w:val="false"/>
          <w:w w:val="100"/>
        </w:rPr>
        <w:t>Power Management subfield (bit 12) masked out</w:t>
      </w:r>
    </w:p>
    <w:p>
      <w:pPr>
        <w:pStyle w:val="Ll1NumberedList2"/>
        <w:numPr>
          <w:ilvl w:val="1"/>
          <w:numId w:val="2"/>
        </w:numPr>
        <w:spacing w:lineRule="atLeast" w:line="240"/>
        <w:ind w:hanging="400" w:start="1040" w:end="0"/>
        <w:rPr>
          <w:caps w:val="false"/>
          <w:smallCaps w:val="false"/>
          <w:w w:val="100"/>
        </w:rPr>
      </w:pPr>
      <w:r>
        <w:rPr>
          <w:caps w:val="false"/>
          <w:smallCaps w:val="false"/>
          <w:w w:val="100"/>
        </w:rPr>
        <w:t>More Data subfield (bit 13) masked out</w:t>
      </w:r>
    </w:p>
    <w:p>
      <w:pPr>
        <w:pStyle w:val="Ll1NumberedList2"/>
        <w:numPr>
          <w:ilvl w:val="1"/>
          <w:numId w:val="2"/>
        </w:numPr>
        <w:spacing w:lineRule="atLeast" w:line="240"/>
        <w:ind w:hanging="400" w:start="1040" w:end="0"/>
        <w:rPr>
          <w:caps w:val="false"/>
          <w:smallCaps w:val="false"/>
          <w:w w:val="100"/>
        </w:rPr>
      </w:pPr>
      <w:r>
        <w:rPr>
          <w:caps w:val="false"/>
          <w:smallCaps w:val="false"/>
          <w:w w:val="100"/>
        </w:rPr>
        <w:t>No modifications to other subfields</w:t>
      </w:r>
    </w:p>
    <w:p>
      <w:pPr>
        <w:pStyle w:val="LLetteredList"/>
        <w:numPr>
          <w:ilvl w:val="0"/>
          <w:numId w:val="2"/>
        </w:numPr>
        <w:suppressAutoHyphens w:val="false"/>
        <w:spacing w:lineRule="atLeast" w:line="240"/>
        <w:ind w:hanging="440" w:start="640" w:end="0"/>
        <w:rPr>
          <w:caps w:val="false"/>
          <w:smallCaps w:val="false"/>
          <w:w w:val="100"/>
        </w:rPr>
      </w:pPr>
      <w:r>
        <w:rPr>
          <w:caps w:val="false"/>
          <w:smallCaps w:val="false"/>
          <w:w w:val="100"/>
        </w:rPr>
        <w:t>A1—MPDU Address 1 field.</w:t>
      </w:r>
    </w:p>
    <w:p>
      <w:pPr>
        <w:pStyle w:val="LLetteredList"/>
        <w:numPr>
          <w:ilvl w:val="0"/>
          <w:numId w:val="2"/>
        </w:numPr>
        <w:suppressAutoHyphens w:val="false"/>
        <w:spacing w:lineRule="atLeast" w:line="240"/>
        <w:ind w:hanging="440" w:start="640" w:end="0"/>
        <w:rPr>
          <w:caps w:val="false"/>
          <w:smallCaps w:val="false"/>
          <w:w w:val="100"/>
        </w:rPr>
      </w:pPr>
      <w:r>
        <w:rPr>
          <w:caps w:val="false"/>
          <w:smallCaps w:val="false"/>
          <w:w w:val="100"/>
        </w:rPr>
        <w:t>A2—MPDU Address 2 field.</w:t>
      </w:r>
    </w:p>
    <w:p>
      <w:pPr>
        <w:pStyle w:val="LLetteredList"/>
        <w:numPr>
          <w:ilvl w:val="0"/>
          <w:numId w:val="2"/>
        </w:numPr>
        <w:suppressAutoHyphens w:val="false"/>
        <w:spacing w:lineRule="atLeast" w:line="240"/>
        <w:ind w:hanging="440" w:start="640" w:end="0"/>
        <w:rPr>
          <w:caps w:val="false"/>
          <w:smallCaps w:val="false"/>
          <w:w w:val="100"/>
        </w:rPr>
      </w:pPr>
      <w:r>
        <w:rPr>
          <w:caps w:val="false"/>
          <w:smallCaps w:val="false"/>
          <w:w w:val="100"/>
        </w:rPr>
        <w:t>A3—MPDU Address 3 field.</w:t>
      </w:r>
    </w:p>
    <w:p>
      <w:pPr>
        <w:pStyle w:val="TText"/>
        <w:suppressAutoHyphens w:val="false"/>
        <w:spacing w:lineRule="atLeast" w:line="240"/>
        <w:ind w:hanging="0" w:start="0" w:end="0"/>
        <w:rPr>
          <w:caps w:val="false"/>
          <w:smallCaps w:val="false"/>
          <w:spacing w:val="-2"/>
          <w:w w:val="100"/>
        </w:rPr>
      </w:pPr>
      <w:r>
        <w:rPr>
          <w:caps w:val="false"/>
          <w:smallCaps w:val="false"/>
          <w:spacing w:val="-2"/>
          <w:w w:val="100"/>
        </w:rPr>
        <w:t>Figure 12-24 (BIP AAD construction) depicts the format of the AAD. The length of the AAD is 20 octets.</w:t>
      </w:r>
    </w:p>
    <w:p>
      <w:pPr>
        <w:pStyle w:val="TText"/>
        <w:suppressAutoHyphens w:val="false"/>
        <w:spacing w:lineRule="atLeast" w:line="240"/>
        <w:ind w:hanging="0" w:start="0" w:end="0"/>
        <w:rPr>
          <w:caps w:val="false"/>
          <w:smallCaps w:val="false"/>
          <w:spacing w:val="-2"/>
          <w:w w:val="100"/>
        </w:rPr>
      </w:pPr>
      <w:r>
        <w:rPr>
          <w:caps w:val="false"/>
          <w:smallCaps w:val="false"/>
          <w:spacing w:val="-2"/>
          <w:w w:val="100"/>
        </w:rPr>
      </w:r>
    </w:p>
    <w:tbl>
      <w:tblPr>
        <w:tblW w:w="3774" w:type="dxa"/>
        <w:jc w:val="center"/>
        <w:tblInd w:w="0" w:type="dxa"/>
        <w:tblLayout w:type="fixed"/>
        <w:tblCellMar>
          <w:top w:w="120" w:type="dxa"/>
          <w:start w:w="120" w:type="dxa"/>
          <w:bottom w:w="60" w:type="dxa"/>
          <w:end w:w="120" w:type="dxa"/>
        </w:tblCellMar>
      </w:tblPr>
      <w:tblGrid>
        <w:gridCol w:w="1163"/>
        <w:gridCol w:w="650"/>
        <w:gridCol w:w="786"/>
        <w:gridCol w:w="600"/>
        <w:gridCol w:w="575"/>
      </w:tblGrid>
      <w:tr>
        <w:trPr>
          <w:trHeight w:val="320" w:hRule="atLeast"/>
        </w:trPr>
        <w:tc>
          <w:tcPr>
            <w:tcW w:w="1163" w:type="dxa"/>
            <w:tcBorders/>
          </w:tcPr>
          <w:p>
            <w:pPr>
              <w:pStyle w:val="Figuretext"/>
              <w:widowControl w:val="false"/>
              <w:tabs>
                <w:tab w:val="clear" w:pos="720"/>
              </w:tabs>
              <w:spacing w:lineRule="atLeast" w:line="160" w:before="0" w:after="0"/>
              <w:ind w:hanging="0" w:start="0" w:end="0"/>
              <w:rPr/>
            </w:pPr>
            <w:r>
              <w:rPr/>
            </w:r>
          </w:p>
        </w:tc>
        <w:tc>
          <w:tcPr>
            <w:tcW w:w="650"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FC</w:t>
            </w:r>
          </w:p>
        </w:tc>
        <w:tc>
          <w:tcPr>
            <w:tcW w:w="786"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A1</w:t>
            </w:r>
          </w:p>
        </w:tc>
        <w:tc>
          <w:tcPr>
            <w:tcW w:w="600"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A2</w:t>
            </w:r>
          </w:p>
        </w:tc>
        <w:tc>
          <w:tcPr>
            <w:tcW w:w="575"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A3</w:t>
            </w:r>
          </w:p>
        </w:tc>
      </w:tr>
      <w:tr>
        <w:trPr>
          <w:trHeight w:val="320" w:hRule="atLeast"/>
        </w:trPr>
        <w:tc>
          <w:tcPr>
            <w:tcW w:w="1163" w:type="dxa"/>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Octets:</w:t>
            </w:r>
          </w:p>
        </w:tc>
        <w:tc>
          <w:tcPr>
            <w:tcW w:w="650" w:type="dxa"/>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2</w:t>
            </w:r>
          </w:p>
        </w:tc>
        <w:tc>
          <w:tcPr>
            <w:tcW w:w="786" w:type="dxa"/>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6</w:t>
            </w:r>
          </w:p>
        </w:tc>
        <w:tc>
          <w:tcPr>
            <w:tcW w:w="600" w:type="dxa"/>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6</w:t>
            </w:r>
          </w:p>
        </w:tc>
        <w:tc>
          <w:tcPr>
            <w:tcW w:w="575" w:type="dxa"/>
            <w:tcBorders/>
          </w:tcPr>
          <w:p>
            <w:pPr>
              <w:pStyle w:val="Figuretext"/>
              <w:widowControl w:val="false"/>
              <w:tabs>
                <w:tab w:val="clear" w:pos="720"/>
              </w:tabs>
              <w:spacing w:lineRule="atLeast" w:line="160"/>
              <w:ind w:hanging="0" w:start="0" w:end="0"/>
              <w:rPr>
                <w:caps w:val="false"/>
                <w:smallCaps w:val="false"/>
                <w:w w:val="100"/>
              </w:rPr>
            </w:pPr>
            <w:r>
              <w:rPr>
                <w:caps w:val="false"/>
                <w:smallCaps w:val="false"/>
                <w:w w:val="100"/>
              </w:rPr>
              <w:t>6</w:t>
            </w:r>
          </w:p>
        </w:tc>
      </w:tr>
      <w:tr>
        <w:trPr/>
        <w:tc>
          <w:tcPr>
            <w:tcW w:w="3774" w:type="dxa"/>
            <w:gridSpan w:val="5"/>
            <w:tcBorders/>
            <w:vAlign w:val="center"/>
          </w:tcPr>
          <w:p>
            <w:pPr>
              <w:pStyle w:val="FigTitle"/>
              <w:widowControl w:val="false"/>
              <w:numPr>
                <w:ilvl w:val="0"/>
                <w:numId w:val="0"/>
              </w:numPr>
              <w:tabs>
                <w:tab w:val="clear" w:pos="720"/>
              </w:tabs>
              <w:spacing w:lineRule="atLeast" w:line="240" w:before="0" w:after="0"/>
              <w:ind w:hanging="0" w:start="0" w:end="0"/>
              <w:rPr/>
            </w:pPr>
            <w:r>
              <w:rPr>
                <w:caps w:val="false"/>
                <w:smallCaps w:val="false"/>
                <w:w w:val="100"/>
              </w:rPr>
              <w:t>Figure 12-24—</w:t>
            </w:r>
            <w:bookmarkStart w:id="2" w:name="RTF33373935323a204669675469"/>
            <w:r>
              <w:rPr>
                <w:caps w:val="false"/>
                <w:smallCaps w:val="false"/>
                <w:w w:val="100"/>
              </w:rPr>
              <w:t>BIP AAD construction</w:t>
            </w:r>
            <w:bookmarkEnd w:id="2"/>
          </w:p>
        </w:tc>
      </w:tr>
    </w:tbl>
    <w:p>
      <w:pPr>
        <w:pStyle w:val="TText"/>
        <w:spacing w:lineRule="atLeast" w:line="240"/>
        <w:ind w:hanging="0" w:start="0" w:end="0"/>
        <w:rPr>
          <w:u w:val="single"/>
        </w:rPr>
      </w:pPr>
      <w:r>
        <w:rPr>
          <w:caps w:val="false"/>
          <w:smallCaps w:val="false"/>
          <w:spacing w:val="-2"/>
          <w:w w:val="100"/>
          <w:u w:val="single"/>
        </w:rPr>
        <w:t xml:space="preserve">For S1G Beacon frames when BCE is not in use, </w:t>
      </w:r>
      <w:r>
        <w:rPr>
          <w:caps w:val="false"/>
          <w:smallCaps w:val="false"/>
          <w:strike w:val="false"/>
          <w:dstrike w:val="false"/>
          <w:spacing w:val="-2"/>
          <w:w w:val="100"/>
          <w:u w:val="single"/>
        </w:rPr>
        <w:t>t</w:t>
      </w:r>
      <w:r>
        <w:rPr>
          <w:caps w:val="false"/>
          <w:smallCaps w:val="false"/>
          <w:spacing w:val="-2"/>
          <w:w w:val="100"/>
          <w:u w:val="single"/>
        </w:rPr>
        <w:t>he BIP Additional Authentication Data (AAD) is constructed from the MPDU header. AAD construction is performed as follows:</w:t>
      </w:r>
    </w:p>
    <w:p>
      <w:pPr>
        <w:pStyle w:val="L1LetteredList"/>
        <w:numPr>
          <w:ilvl w:val="0"/>
          <w:numId w:val="11"/>
        </w:numPr>
        <w:suppressAutoHyphens w:val="false"/>
        <w:spacing w:lineRule="atLeast" w:line="240"/>
        <w:ind w:hanging="440" w:start="640" w:end="0"/>
        <w:rPr>
          <w:caps w:val="false"/>
          <w:smallCaps w:val="false"/>
          <w:w w:val="100"/>
          <w:u w:val="single"/>
        </w:rPr>
      </w:pPr>
      <w:r>
        <w:rPr>
          <w:caps w:val="false"/>
          <w:smallCaps w:val="false"/>
          <w:w w:val="100"/>
          <w:u w:val="single"/>
        </w:rPr>
        <w:t>FC—MPDU Frame Control field.</w:t>
      </w:r>
    </w:p>
    <w:p>
      <w:pPr>
        <w:pStyle w:val="LLetteredList"/>
        <w:numPr>
          <w:ilvl w:val="0"/>
          <w:numId w:val="2"/>
        </w:numPr>
        <w:suppressAutoHyphens w:val="false"/>
        <w:spacing w:lineRule="atLeast" w:line="240"/>
        <w:ind w:hanging="440" w:start="640" w:end="0"/>
        <w:rPr>
          <w:u w:val="single"/>
        </w:rPr>
      </w:pPr>
      <w:r>
        <w:rPr>
          <w:caps w:val="false"/>
          <w:smallCaps w:val="false"/>
          <w:w w:val="100"/>
          <w:u w:val="single"/>
        </w:rPr>
        <w:t>SA—address of the STA transmitting the S1G Beacon frame.</w:t>
      </w:r>
    </w:p>
    <w:p>
      <w:pPr>
        <w:pStyle w:val="LLetteredList"/>
        <w:numPr>
          <w:ilvl w:val="0"/>
          <w:numId w:val="2"/>
        </w:numPr>
        <w:suppressAutoHyphens w:val="false"/>
        <w:spacing w:lineRule="atLeast" w:line="240"/>
        <w:ind w:hanging="440" w:start="640" w:end="0"/>
        <w:rPr>
          <w:u w:val="single"/>
        </w:rPr>
      </w:pPr>
      <w:r>
        <w:rPr>
          <w:caps w:val="false"/>
          <w:smallCaps w:val="false"/>
          <w:w w:val="100"/>
          <w:u w:val="single"/>
        </w:rPr>
        <w:t>Change Sequence.</w:t>
      </w:r>
    </w:p>
    <w:p>
      <w:pPr>
        <w:pStyle w:val="LLetteredList"/>
        <w:numPr>
          <w:ilvl w:val="0"/>
          <w:numId w:val="2"/>
        </w:numPr>
        <w:suppressAutoHyphens w:val="false"/>
        <w:spacing w:lineRule="atLeast" w:line="240"/>
        <w:ind w:hanging="440" w:start="640" w:end="0"/>
        <w:rPr>
          <w:caps w:val="false"/>
          <w:smallCaps w:val="false"/>
          <w:w w:val="100"/>
          <w:u w:val="single"/>
        </w:rPr>
      </w:pPr>
      <w:r>
        <w:rPr>
          <w:caps w:val="false"/>
          <w:smallCaps w:val="false"/>
          <w:w w:val="100"/>
          <w:u w:val="single"/>
        </w:rPr>
        <w:t>Next TBTT (if present).</w:t>
      </w:r>
    </w:p>
    <w:p>
      <w:pPr>
        <w:pStyle w:val="LLetteredList"/>
        <w:numPr>
          <w:ilvl w:val="0"/>
          <w:numId w:val="2"/>
        </w:numPr>
        <w:suppressAutoHyphens w:val="false"/>
        <w:spacing w:lineRule="atLeast" w:line="240"/>
        <w:ind w:hanging="440" w:start="640" w:end="0"/>
        <w:rPr>
          <w:caps w:val="false"/>
          <w:smallCaps w:val="false"/>
          <w:w w:val="100"/>
          <w:u w:val="single"/>
        </w:rPr>
      </w:pPr>
      <w:r>
        <w:rPr>
          <w:caps w:val="false"/>
          <w:smallCaps w:val="false"/>
          <w:w w:val="100"/>
          <w:u w:val="single"/>
        </w:rPr>
        <w:t>Compressed SSID (if present).</w:t>
      </w:r>
    </w:p>
    <w:p>
      <w:pPr>
        <w:pStyle w:val="LLetteredList"/>
        <w:numPr>
          <w:ilvl w:val="0"/>
          <w:numId w:val="2"/>
        </w:numPr>
        <w:suppressAutoHyphens w:val="false"/>
        <w:spacing w:lineRule="atLeast" w:line="240"/>
        <w:ind w:hanging="440" w:start="640" w:end="0"/>
        <w:rPr>
          <w:caps w:val="false"/>
          <w:smallCaps w:val="false"/>
          <w:w w:val="100"/>
          <w:u w:val="single"/>
        </w:rPr>
      </w:pPr>
      <w:r>
        <w:rPr>
          <w:caps w:val="false"/>
          <w:smallCaps w:val="false"/>
          <w:w w:val="100"/>
          <w:u w:val="single"/>
        </w:rPr>
        <w:t>Access Network Options (if present).</w:t>
      </w:r>
    </w:p>
    <w:p>
      <w:pPr>
        <w:pStyle w:val="Note"/>
        <w:rPr>
          <w:u w:val="single"/>
        </w:rPr>
      </w:pPr>
      <w:r>
        <w:rPr>
          <w:u w:val="single"/>
        </w:rPr>
        <w:t xml:space="preserve">NOTE 1: </w:t>
        <w:tab/>
        <w:t>S1G APs with dot11APPMActivated equal to true may enter Power Save mode. To prevent disruption of BSS traffic by an attacker setting the AP PM subfield (bit 15) in modified beacons, the AP PM subfield in S1G Beacon frames is protected by inclusion in the AAD.</w:t>
      </w:r>
    </w:p>
    <w:p>
      <w:pPr>
        <w:pStyle w:val="Note"/>
        <w:rPr>
          <w:u w:val="single"/>
        </w:rPr>
      </w:pPr>
      <w:r>
        <w:rPr>
          <w:u w:val="single"/>
        </w:rPr>
        <w:t>NOTE 2: The Frame Control field in S1G Beacons does not contain Retry or More Data subfields.</w:t>
      </w:r>
    </w:p>
    <w:p>
      <w:pPr>
        <w:pStyle w:val="TText"/>
        <w:suppressAutoHyphens w:val="false"/>
        <w:spacing w:lineRule="atLeast" w:line="240"/>
        <w:ind w:hanging="0" w:start="0" w:end="0"/>
        <w:rPr>
          <w:u w:val="single"/>
        </w:rPr>
      </w:pPr>
      <w:r>
        <w:rPr>
          <w:caps w:val="false"/>
          <w:smallCaps w:val="false"/>
          <w:spacing w:val="-2"/>
          <w:w w:val="100"/>
          <w:u w:val="single"/>
        </w:rPr>
        <w:t>Figure 12-24a (BIP AAD construction for S1G Beacon frames without BCE) depicts the format of the AAD. The length of the AAD is 9-17 octets.</w:t>
      </w:r>
    </w:p>
    <w:p>
      <w:pPr>
        <w:pStyle w:val="TText"/>
        <w:suppressAutoHyphens w:val="false"/>
        <w:spacing w:lineRule="atLeast" w:line="240"/>
        <w:ind w:hanging="0" w:start="0" w:end="0"/>
        <w:rPr>
          <w:u w:val="single"/>
        </w:rPr>
      </w:pPr>
      <w:r>
        <w:rPr>
          <w:u w:val="single"/>
        </w:rPr>
      </w:r>
    </w:p>
    <w:tbl>
      <w:tblPr>
        <w:tblW w:w="7404" w:type="dxa"/>
        <w:jc w:val="center"/>
        <w:tblInd w:w="0" w:type="dxa"/>
        <w:tblLayout w:type="fixed"/>
        <w:tblCellMar>
          <w:top w:w="120" w:type="dxa"/>
          <w:start w:w="120" w:type="dxa"/>
          <w:bottom w:w="60" w:type="dxa"/>
          <w:end w:w="120" w:type="dxa"/>
        </w:tblCellMar>
      </w:tblPr>
      <w:tblGrid>
        <w:gridCol w:w="932"/>
        <w:gridCol w:w="568"/>
        <w:gridCol w:w="536"/>
        <w:gridCol w:w="1081"/>
        <w:gridCol w:w="1126"/>
        <w:gridCol w:w="1543"/>
        <w:gridCol w:w="1617"/>
      </w:tblGrid>
      <w:tr>
        <w:trPr>
          <w:trHeight w:val="320" w:hRule="atLeast"/>
        </w:trPr>
        <w:tc>
          <w:tcPr>
            <w:tcW w:w="932" w:type="dxa"/>
            <w:tcBorders/>
          </w:tcPr>
          <w:p>
            <w:pPr>
              <w:pStyle w:val="Figuretext"/>
              <w:widowControl w:val="false"/>
              <w:tabs>
                <w:tab w:val="clear" w:pos="720"/>
              </w:tabs>
              <w:spacing w:lineRule="atLeast" w:line="160" w:before="0" w:after="0"/>
              <w:ind w:hanging="0" w:start="0" w:end="0"/>
              <w:rPr>
                <w:u w:val="single"/>
              </w:rPr>
            </w:pPr>
            <w:r>
              <w:rPr>
                <w:u w:val="single"/>
              </w:rPr>
            </w:r>
          </w:p>
        </w:tc>
        <w:tc>
          <w:tcPr>
            <w:tcW w:w="568"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FC</w:t>
            </w:r>
          </w:p>
        </w:tc>
        <w:tc>
          <w:tcPr>
            <w:tcW w:w="536"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SA</w:t>
            </w:r>
          </w:p>
        </w:tc>
        <w:tc>
          <w:tcPr>
            <w:tcW w:w="1081"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Change Sequence</w:t>
            </w:r>
          </w:p>
        </w:tc>
        <w:tc>
          <w:tcPr>
            <w:tcW w:w="1126" w:type="dxa"/>
            <w:tcBorders>
              <w:top w:val="single" w:sz="10" w:space="0" w:color="000000"/>
              <w:start w:val="single" w:sz="10" w:space="0" w:color="000000"/>
              <w:bottom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Next TBTT</w:t>
            </w:r>
          </w:p>
        </w:tc>
        <w:tc>
          <w:tcPr>
            <w:tcW w:w="1543" w:type="dxa"/>
            <w:tcBorders>
              <w:top w:val="single" w:sz="10" w:space="0" w:color="000000"/>
              <w:start w:val="single" w:sz="10" w:space="0" w:color="000000"/>
              <w:bottom w:val="single" w:sz="10" w:space="0" w:color="000000"/>
            </w:tcBorders>
          </w:tcPr>
          <w:p>
            <w:pPr>
              <w:pStyle w:val="Figuretext"/>
              <w:widowControl w:val="false"/>
              <w:tabs>
                <w:tab w:val="clear" w:pos="720"/>
              </w:tabs>
              <w:spacing w:lineRule="atLeast" w:line="160"/>
              <w:ind w:hanging="0" w:start="0" w:end="0"/>
              <w:rPr>
                <w:u w:val="single"/>
              </w:rPr>
            </w:pPr>
            <w:r>
              <w:rPr>
                <w:u w:val="single"/>
              </w:rPr>
              <w:t>Compressed SSID</w:t>
            </w:r>
          </w:p>
        </w:tc>
        <w:tc>
          <w:tcPr>
            <w:tcW w:w="1617"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u w:val="single"/>
              </w:rPr>
            </w:pPr>
            <w:r>
              <w:rPr>
                <w:u w:val="single"/>
              </w:rPr>
              <w:t>Access Network Options</w:t>
            </w:r>
          </w:p>
        </w:tc>
      </w:tr>
      <w:tr>
        <w:trPr>
          <w:trHeight w:val="320" w:hRule="atLeast"/>
        </w:trPr>
        <w:tc>
          <w:tcPr>
            <w:tcW w:w="932"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Octets:</w:t>
            </w:r>
          </w:p>
        </w:tc>
        <w:tc>
          <w:tcPr>
            <w:tcW w:w="568"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2</w:t>
            </w:r>
          </w:p>
        </w:tc>
        <w:tc>
          <w:tcPr>
            <w:tcW w:w="536"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6</w:t>
            </w:r>
          </w:p>
        </w:tc>
        <w:tc>
          <w:tcPr>
            <w:tcW w:w="1081"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1</w:t>
            </w:r>
          </w:p>
        </w:tc>
        <w:tc>
          <w:tcPr>
            <w:tcW w:w="1126"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0 or 3</w:t>
            </w:r>
          </w:p>
        </w:tc>
        <w:tc>
          <w:tcPr>
            <w:tcW w:w="1543" w:type="dxa"/>
            <w:tcBorders/>
          </w:tcPr>
          <w:p>
            <w:pPr>
              <w:pStyle w:val="Figuretext"/>
              <w:widowControl w:val="false"/>
              <w:tabs>
                <w:tab w:val="clear" w:pos="720"/>
              </w:tabs>
              <w:spacing w:lineRule="atLeast" w:line="160"/>
              <w:ind w:hanging="0" w:start="0" w:end="0"/>
              <w:rPr>
                <w:u w:val="single"/>
              </w:rPr>
            </w:pPr>
            <w:r>
              <w:rPr>
                <w:u w:val="single"/>
              </w:rPr>
              <w:t>0 or 4</w:t>
            </w:r>
          </w:p>
        </w:tc>
        <w:tc>
          <w:tcPr>
            <w:tcW w:w="1617" w:type="dxa"/>
            <w:tcBorders/>
          </w:tcPr>
          <w:p>
            <w:pPr>
              <w:pStyle w:val="Figuretext"/>
              <w:widowControl w:val="false"/>
              <w:tabs>
                <w:tab w:val="clear" w:pos="720"/>
              </w:tabs>
              <w:spacing w:lineRule="atLeast" w:line="160"/>
              <w:ind w:hanging="0" w:start="0" w:end="0"/>
              <w:rPr>
                <w:u w:val="single"/>
              </w:rPr>
            </w:pPr>
            <w:r>
              <w:rPr>
                <w:u w:val="single"/>
              </w:rPr>
              <w:t>0 or 1</w:t>
            </w:r>
          </w:p>
        </w:tc>
      </w:tr>
      <w:tr>
        <w:trPr/>
        <w:tc>
          <w:tcPr>
            <w:tcW w:w="7403" w:type="dxa"/>
            <w:gridSpan w:val="7"/>
            <w:tcBorders/>
            <w:vAlign w:val="center"/>
          </w:tcPr>
          <w:p>
            <w:pPr>
              <w:pStyle w:val="FigTitle"/>
              <w:widowControl w:val="false"/>
              <w:tabs>
                <w:tab w:val="clear" w:pos="720"/>
              </w:tabs>
              <w:spacing w:lineRule="atLeast" w:line="240" w:before="0" w:after="0"/>
              <w:ind w:hanging="0" w:start="0" w:end="0"/>
              <w:rPr>
                <w:u w:val="single"/>
              </w:rPr>
            </w:pPr>
            <w:r>
              <w:rPr>
                <w:caps w:val="false"/>
                <w:smallCaps w:val="false"/>
                <w:w w:val="100"/>
                <w:u w:val="single"/>
              </w:rPr>
              <w:t>Figure 12-24a—</w:t>
            </w:r>
            <w:bookmarkStart w:id="3" w:name="RTF33373935323a204669675469_Copy_1"/>
            <w:r>
              <w:rPr>
                <w:caps w:val="false"/>
                <w:smallCaps w:val="false"/>
                <w:w w:val="100"/>
                <w:u w:val="single"/>
              </w:rPr>
              <w:t>BIP AAD construction</w:t>
            </w:r>
            <w:bookmarkEnd w:id="3"/>
            <w:r>
              <w:rPr>
                <w:caps w:val="false"/>
                <w:smallCaps w:val="false"/>
                <w:w w:val="100"/>
                <w:u w:val="single"/>
              </w:rPr>
              <w:t xml:space="preserve"> for S1G Beacon frames without BCE</w:t>
            </w:r>
          </w:p>
        </w:tc>
      </w:tr>
    </w:tbl>
    <w:p>
      <w:pPr>
        <w:pStyle w:val="TText"/>
        <w:spacing w:lineRule="atLeast" w:line="240"/>
        <w:ind w:hanging="0" w:start="0" w:end="0"/>
        <w:rPr>
          <w:u w:val="single"/>
        </w:rPr>
      </w:pPr>
      <w:r>
        <w:rPr>
          <w:caps w:val="false"/>
          <w:smallCaps w:val="false"/>
          <w:spacing w:val="-2"/>
          <w:w w:val="100"/>
          <w:u w:val="single"/>
        </w:rPr>
        <w:t xml:space="preserve">For S1G Beacon frames when BCE is in use, </w:t>
      </w:r>
      <w:r>
        <w:rPr>
          <w:caps w:val="false"/>
          <w:smallCaps w:val="false"/>
          <w:strike w:val="false"/>
          <w:dstrike w:val="false"/>
          <w:spacing w:val="-2"/>
          <w:w w:val="100"/>
          <w:u w:val="single"/>
        </w:rPr>
        <w:t>t</w:t>
      </w:r>
      <w:r>
        <w:rPr>
          <w:caps w:val="false"/>
          <w:smallCaps w:val="false"/>
          <w:spacing w:val="-2"/>
          <w:w w:val="100"/>
          <w:u w:val="single"/>
        </w:rPr>
        <w:t>he BIP Additional Authentication Data (AAD) is constructed from the MPDU header and the BIPN. AAD construction is performed as follows:</w:t>
      </w:r>
    </w:p>
    <w:p>
      <w:pPr>
        <w:pStyle w:val="L1LetteredList"/>
        <w:numPr>
          <w:ilvl w:val="0"/>
          <w:numId w:val="12"/>
        </w:numPr>
        <w:suppressAutoHyphens w:val="false"/>
        <w:spacing w:lineRule="atLeast" w:line="240"/>
        <w:ind w:hanging="440" w:start="640" w:end="0"/>
        <w:rPr>
          <w:caps w:val="false"/>
          <w:smallCaps w:val="false"/>
          <w:w w:val="100"/>
          <w:u w:val="single"/>
        </w:rPr>
      </w:pPr>
      <w:r>
        <w:rPr>
          <w:caps w:val="false"/>
          <w:smallCaps w:val="false"/>
          <w:w w:val="100"/>
          <w:u w:val="single"/>
        </w:rPr>
        <w:t>FC—MPDU Frame Control field.</w:t>
      </w:r>
    </w:p>
    <w:p>
      <w:pPr>
        <w:pStyle w:val="LLetteredList"/>
        <w:numPr>
          <w:ilvl w:val="0"/>
          <w:numId w:val="2"/>
        </w:numPr>
        <w:suppressAutoHyphens w:val="false"/>
        <w:spacing w:lineRule="atLeast" w:line="240"/>
        <w:ind w:hanging="440" w:start="640" w:end="0"/>
        <w:rPr>
          <w:u w:val="single"/>
        </w:rPr>
      </w:pPr>
      <w:r>
        <w:rPr>
          <w:caps w:val="false"/>
          <w:smallCaps w:val="false"/>
          <w:w w:val="100"/>
          <w:u w:val="single"/>
        </w:rPr>
        <w:t>SA—address of the STA transmitting the S1G Beacon frame.</w:t>
      </w:r>
    </w:p>
    <w:p>
      <w:pPr>
        <w:pStyle w:val="LLetteredList"/>
        <w:numPr>
          <w:ilvl w:val="0"/>
          <w:numId w:val="2"/>
        </w:numPr>
        <w:suppressAutoHyphens w:val="false"/>
        <w:spacing w:lineRule="atLeast" w:line="240"/>
        <w:ind w:hanging="440" w:start="640" w:end="0"/>
        <w:rPr>
          <w:u w:val="single"/>
        </w:rPr>
      </w:pPr>
      <w:r>
        <w:rPr>
          <w:caps w:val="false"/>
          <w:smallCaps w:val="false"/>
          <w:w w:val="100"/>
          <w:u w:val="single"/>
        </w:rPr>
        <w:t>Change Sequence.</w:t>
      </w:r>
    </w:p>
    <w:p>
      <w:pPr>
        <w:pStyle w:val="LLetteredList"/>
        <w:numPr>
          <w:ilvl w:val="0"/>
          <w:numId w:val="2"/>
        </w:numPr>
        <w:suppressAutoHyphens w:val="false"/>
        <w:spacing w:lineRule="atLeast" w:line="240"/>
        <w:ind w:hanging="440" w:start="640" w:end="0"/>
        <w:rPr>
          <w:caps w:val="false"/>
          <w:smallCaps w:val="false"/>
          <w:w w:val="100"/>
          <w:u w:val="single"/>
        </w:rPr>
      </w:pPr>
      <w:r>
        <w:rPr>
          <w:caps w:val="false"/>
          <w:smallCaps w:val="false"/>
          <w:w w:val="100"/>
          <w:u w:val="single"/>
        </w:rPr>
        <w:t>Next TBTT (if present).</w:t>
      </w:r>
    </w:p>
    <w:p>
      <w:pPr>
        <w:pStyle w:val="LLetteredList"/>
        <w:numPr>
          <w:ilvl w:val="0"/>
          <w:numId w:val="2"/>
        </w:numPr>
        <w:suppressAutoHyphens w:val="false"/>
        <w:spacing w:lineRule="atLeast" w:line="240"/>
        <w:ind w:hanging="440" w:start="640" w:end="0"/>
        <w:rPr>
          <w:caps w:val="false"/>
          <w:smallCaps w:val="false"/>
          <w:w w:val="100"/>
          <w:u w:val="single"/>
        </w:rPr>
      </w:pPr>
      <w:r>
        <w:rPr>
          <w:caps w:val="false"/>
          <w:smallCaps w:val="false"/>
          <w:w w:val="100"/>
          <w:u w:val="single"/>
        </w:rPr>
        <w:t>Compressed SSID (if present).</w:t>
      </w:r>
    </w:p>
    <w:p>
      <w:pPr>
        <w:pStyle w:val="LLetteredList"/>
        <w:numPr>
          <w:ilvl w:val="0"/>
          <w:numId w:val="2"/>
        </w:numPr>
        <w:suppressAutoHyphens w:val="false"/>
        <w:spacing w:lineRule="atLeast" w:line="240"/>
        <w:ind w:hanging="440" w:start="640" w:end="0"/>
        <w:rPr>
          <w:caps w:val="false"/>
          <w:smallCaps w:val="false"/>
          <w:w w:val="100"/>
          <w:u w:val="single"/>
        </w:rPr>
      </w:pPr>
      <w:r>
        <w:rPr>
          <w:caps w:val="false"/>
          <w:smallCaps w:val="false"/>
          <w:w w:val="100"/>
          <w:u w:val="single"/>
        </w:rPr>
        <w:t>Access Network Options (if present).</w:t>
      </w:r>
    </w:p>
    <w:p>
      <w:pPr>
        <w:pStyle w:val="LLetteredList"/>
        <w:numPr>
          <w:ilvl w:val="0"/>
          <w:numId w:val="2"/>
        </w:numPr>
        <w:suppressAutoHyphens w:val="false"/>
        <w:spacing w:lineRule="atLeast" w:line="240"/>
        <w:ind w:hanging="440" w:start="640" w:end="0"/>
        <w:rPr>
          <w:caps w:val="false"/>
          <w:smallCaps w:val="false"/>
          <w:w w:val="100"/>
          <w:u w:val="single"/>
        </w:rPr>
      </w:pPr>
      <w:r>
        <w:rPr>
          <w:caps w:val="false"/>
          <w:smallCaps w:val="false"/>
          <w:w w:val="100"/>
          <w:u w:val="single"/>
        </w:rPr>
        <w:t>BIPN.</w:t>
      </w:r>
    </w:p>
    <w:p>
      <w:pPr>
        <w:pStyle w:val="TText"/>
        <w:suppressAutoHyphens w:val="false"/>
        <w:spacing w:lineRule="atLeast" w:line="240"/>
        <w:ind w:hanging="0" w:start="0" w:end="0"/>
        <w:rPr>
          <w:u w:val="single"/>
        </w:rPr>
      </w:pPr>
      <w:r>
        <w:rPr>
          <w:caps w:val="false"/>
          <w:smallCaps w:val="false"/>
          <w:spacing w:val="-2"/>
          <w:w w:val="100"/>
          <w:u w:val="single"/>
        </w:rPr>
        <w:t>Figure 12-24b (BIP AAD construction for S1G Beacon frames with BCE) depicts the format of the AAD. The length of the AAD is 15-23 octets.</w:t>
      </w:r>
    </w:p>
    <w:p>
      <w:pPr>
        <w:pStyle w:val="TText"/>
        <w:suppressAutoHyphens w:val="false"/>
        <w:spacing w:lineRule="atLeast" w:line="240"/>
        <w:ind w:hanging="0" w:start="0" w:end="0"/>
        <w:rPr>
          <w:u w:val="single"/>
        </w:rPr>
      </w:pPr>
      <w:r>
        <w:rPr>
          <w:u w:val="single"/>
        </w:rPr>
      </w:r>
    </w:p>
    <w:tbl>
      <w:tblPr>
        <w:tblW w:w="7500" w:type="dxa"/>
        <w:jc w:val="center"/>
        <w:tblInd w:w="0" w:type="dxa"/>
        <w:tblLayout w:type="fixed"/>
        <w:tblCellMar>
          <w:top w:w="120" w:type="dxa"/>
          <w:start w:w="120" w:type="dxa"/>
          <w:bottom w:w="60" w:type="dxa"/>
          <w:end w:w="120" w:type="dxa"/>
        </w:tblCellMar>
      </w:tblPr>
      <w:tblGrid>
        <w:gridCol w:w="750"/>
        <w:gridCol w:w="536"/>
        <w:gridCol w:w="546"/>
        <w:gridCol w:w="985"/>
        <w:gridCol w:w="1169"/>
        <w:gridCol w:w="1350"/>
        <w:gridCol w:w="1446"/>
        <w:gridCol w:w="717"/>
      </w:tblGrid>
      <w:tr>
        <w:trPr>
          <w:trHeight w:val="320" w:hRule="atLeast"/>
        </w:trPr>
        <w:tc>
          <w:tcPr>
            <w:tcW w:w="750" w:type="dxa"/>
            <w:tcBorders/>
          </w:tcPr>
          <w:p>
            <w:pPr>
              <w:pStyle w:val="Figuretext"/>
              <w:widowControl w:val="false"/>
              <w:tabs>
                <w:tab w:val="clear" w:pos="720"/>
              </w:tabs>
              <w:spacing w:lineRule="atLeast" w:line="160" w:before="0" w:after="0"/>
              <w:ind w:hanging="0" w:start="0" w:end="0"/>
              <w:rPr>
                <w:u w:val="single"/>
              </w:rPr>
            </w:pPr>
            <w:r>
              <w:rPr>
                <w:u w:val="single"/>
              </w:rPr>
            </w:r>
          </w:p>
        </w:tc>
        <w:tc>
          <w:tcPr>
            <w:tcW w:w="536"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FC</w:t>
            </w:r>
          </w:p>
        </w:tc>
        <w:tc>
          <w:tcPr>
            <w:tcW w:w="546"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SA</w:t>
            </w:r>
          </w:p>
        </w:tc>
        <w:tc>
          <w:tcPr>
            <w:tcW w:w="985" w:type="dxa"/>
            <w:tcBorders>
              <w:top w:val="single" w:sz="10" w:space="0" w:color="000000"/>
              <w:start w:val="single" w:sz="10" w:space="0" w:color="000000"/>
              <w:bottom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Change Sequence</w:t>
            </w:r>
          </w:p>
        </w:tc>
        <w:tc>
          <w:tcPr>
            <w:tcW w:w="1169" w:type="dxa"/>
            <w:tcBorders>
              <w:top w:val="single" w:sz="10" w:space="0" w:color="000000"/>
              <w:start w:val="single" w:sz="10" w:space="0" w:color="000000"/>
              <w:bottom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Next TBTT</w:t>
            </w:r>
          </w:p>
        </w:tc>
        <w:tc>
          <w:tcPr>
            <w:tcW w:w="1350" w:type="dxa"/>
            <w:tcBorders>
              <w:top w:val="single" w:sz="10" w:space="0" w:color="000000"/>
              <w:start w:val="single" w:sz="10" w:space="0" w:color="000000"/>
              <w:bottom w:val="single" w:sz="10" w:space="0" w:color="000000"/>
            </w:tcBorders>
          </w:tcPr>
          <w:p>
            <w:pPr>
              <w:pStyle w:val="Figuretext"/>
              <w:widowControl w:val="false"/>
              <w:tabs>
                <w:tab w:val="clear" w:pos="720"/>
              </w:tabs>
              <w:spacing w:lineRule="atLeast" w:line="160"/>
              <w:ind w:hanging="0" w:start="0" w:end="0"/>
              <w:rPr>
                <w:u w:val="single"/>
              </w:rPr>
            </w:pPr>
            <w:r>
              <w:rPr>
                <w:u w:val="single"/>
              </w:rPr>
              <w:t>Compressed SSID</w:t>
            </w:r>
          </w:p>
        </w:tc>
        <w:tc>
          <w:tcPr>
            <w:tcW w:w="1446" w:type="dxa"/>
            <w:tcBorders>
              <w:top w:val="single" w:sz="10" w:space="0" w:color="000000"/>
              <w:start w:val="single" w:sz="10" w:space="0" w:color="000000"/>
              <w:bottom w:val="single" w:sz="10" w:space="0" w:color="000000"/>
            </w:tcBorders>
          </w:tcPr>
          <w:p>
            <w:pPr>
              <w:pStyle w:val="Figuretext"/>
              <w:widowControl w:val="false"/>
              <w:tabs>
                <w:tab w:val="clear" w:pos="720"/>
              </w:tabs>
              <w:spacing w:lineRule="atLeast" w:line="160"/>
              <w:ind w:hanging="0" w:start="0" w:end="0"/>
              <w:rPr>
                <w:u w:val="single"/>
              </w:rPr>
            </w:pPr>
            <w:r>
              <w:rPr>
                <w:u w:val="single"/>
              </w:rPr>
              <w:t>Access Network Options</w:t>
            </w:r>
          </w:p>
        </w:tc>
        <w:tc>
          <w:tcPr>
            <w:tcW w:w="717" w:type="dxa"/>
            <w:tcBorders>
              <w:top w:val="single" w:sz="10" w:space="0" w:color="000000"/>
              <w:start w:val="single" w:sz="10" w:space="0" w:color="000000"/>
              <w:bottom w:val="single" w:sz="10" w:space="0" w:color="000000"/>
              <w:end w:val="single" w:sz="10" w:space="0" w:color="000000"/>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BIPN</w:t>
            </w:r>
          </w:p>
        </w:tc>
      </w:tr>
      <w:tr>
        <w:trPr>
          <w:trHeight w:val="320" w:hRule="atLeast"/>
        </w:trPr>
        <w:tc>
          <w:tcPr>
            <w:tcW w:w="750"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Octets:</w:t>
            </w:r>
          </w:p>
        </w:tc>
        <w:tc>
          <w:tcPr>
            <w:tcW w:w="536"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2</w:t>
            </w:r>
          </w:p>
        </w:tc>
        <w:tc>
          <w:tcPr>
            <w:tcW w:w="546"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6</w:t>
            </w:r>
          </w:p>
        </w:tc>
        <w:tc>
          <w:tcPr>
            <w:tcW w:w="985"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1</w:t>
            </w:r>
          </w:p>
        </w:tc>
        <w:tc>
          <w:tcPr>
            <w:tcW w:w="1169"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0 or 3</w:t>
            </w:r>
          </w:p>
        </w:tc>
        <w:tc>
          <w:tcPr>
            <w:tcW w:w="1350" w:type="dxa"/>
            <w:tcBorders/>
          </w:tcPr>
          <w:p>
            <w:pPr>
              <w:pStyle w:val="Figuretext"/>
              <w:widowControl w:val="false"/>
              <w:tabs>
                <w:tab w:val="clear" w:pos="720"/>
              </w:tabs>
              <w:spacing w:lineRule="atLeast" w:line="160"/>
              <w:ind w:hanging="0" w:start="0" w:end="0"/>
              <w:rPr>
                <w:u w:val="single"/>
              </w:rPr>
            </w:pPr>
            <w:r>
              <w:rPr>
                <w:u w:val="single"/>
              </w:rPr>
              <w:t>0 or 4</w:t>
            </w:r>
          </w:p>
        </w:tc>
        <w:tc>
          <w:tcPr>
            <w:tcW w:w="1446" w:type="dxa"/>
            <w:tcBorders/>
          </w:tcPr>
          <w:p>
            <w:pPr>
              <w:pStyle w:val="Figuretext"/>
              <w:widowControl w:val="false"/>
              <w:tabs>
                <w:tab w:val="clear" w:pos="720"/>
              </w:tabs>
              <w:spacing w:lineRule="atLeast" w:line="160"/>
              <w:ind w:hanging="0" w:start="0" w:end="0"/>
              <w:rPr>
                <w:u w:val="single"/>
              </w:rPr>
            </w:pPr>
            <w:r>
              <w:rPr>
                <w:u w:val="single"/>
              </w:rPr>
              <w:t>0 or 1</w:t>
            </w:r>
          </w:p>
        </w:tc>
        <w:tc>
          <w:tcPr>
            <w:tcW w:w="717" w:type="dxa"/>
            <w:tcBorders/>
          </w:tcPr>
          <w:p>
            <w:pPr>
              <w:pStyle w:val="Figuretext"/>
              <w:widowControl w:val="false"/>
              <w:tabs>
                <w:tab w:val="clear" w:pos="720"/>
              </w:tabs>
              <w:spacing w:lineRule="atLeast" w:line="160"/>
              <w:ind w:hanging="0" w:start="0" w:end="0"/>
              <w:rPr>
                <w:caps w:val="false"/>
                <w:smallCaps w:val="false"/>
                <w:w w:val="100"/>
                <w:u w:val="single"/>
              </w:rPr>
            </w:pPr>
            <w:r>
              <w:rPr>
                <w:caps w:val="false"/>
                <w:smallCaps w:val="false"/>
                <w:w w:val="100"/>
                <w:u w:val="single"/>
              </w:rPr>
              <w:t>6</w:t>
            </w:r>
          </w:p>
        </w:tc>
      </w:tr>
      <w:tr>
        <w:trPr/>
        <w:tc>
          <w:tcPr>
            <w:tcW w:w="7499" w:type="dxa"/>
            <w:gridSpan w:val="8"/>
            <w:tcBorders/>
            <w:vAlign w:val="center"/>
          </w:tcPr>
          <w:p>
            <w:pPr>
              <w:pStyle w:val="FigTitle"/>
              <w:widowControl w:val="false"/>
              <w:tabs>
                <w:tab w:val="clear" w:pos="720"/>
              </w:tabs>
              <w:spacing w:lineRule="atLeast" w:line="240" w:before="0" w:after="0"/>
              <w:ind w:hanging="0" w:start="0" w:end="0"/>
              <w:rPr>
                <w:u w:val="single"/>
              </w:rPr>
            </w:pPr>
            <w:r>
              <w:rPr>
                <w:caps w:val="false"/>
                <w:smallCaps w:val="false"/>
                <w:w w:val="100"/>
                <w:u w:val="single"/>
              </w:rPr>
              <w:t>Figure 12-24b—</w:t>
            </w:r>
            <w:bookmarkStart w:id="4" w:name="RTF33373935323a204669675469_Copy_1_Copy_"/>
            <w:r>
              <w:rPr>
                <w:caps w:val="false"/>
                <w:smallCaps w:val="false"/>
                <w:w w:val="100"/>
                <w:u w:val="single"/>
              </w:rPr>
              <w:t>BIP AAD construction</w:t>
            </w:r>
            <w:bookmarkEnd w:id="4"/>
            <w:r>
              <w:rPr>
                <w:caps w:val="false"/>
                <w:smallCaps w:val="false"/>
                <w:w w:val="100"/>
                <w:u w:val="single"/>
              </w:rPr>
              <w:t xml:space="preserve"> for S1G Beacon frames with BCE</w:t>
            </w:r>
          </w:p>
        </w:tc>
      </w:tr>
    </w:tbl>
    <w:p>
      <w:pPr>
        <w:pStyle w:val="TText"/>
        <w:rPr/>
      </w:pPr>
      <w:r>
        <w:rPr/>
      </w:r>
    </w:p>
    <w:p>
      <w:pPr>
        <w:pStyle w:val="H41111"/>
        <w:rPr>
          <w:sz w:val="28"/>
          <w:szCs w:val="28"/>
        </w:rPr>
      </w:pPr>
      <w:r>
        <w:rPr>
          <w:sz w:val="28"/>
          <w:szCs w:val="28"/>
        </w:rPr>
        <w:t>12.5.3.4 BIP replay counters and packet numbers</w:t>
      </w:r>
    </w:p>
    <w:p>
      <w:pPr>
        <w:pStyle w:val="Normal"/>
        <w:rPr>
          <w:b/>
          <w:bCs/>
          <w:i/>
          <w:i/>
          <w:iCs/>
        </w:rPr>
      </w:pPr>
      <w:r>
        <w:rPr>
          <w:b/>
          <w:bCs/>
          <w:i/>
          <w:iCs/>
        </w:rPr>
        <w:t>Change the second paragraph as shown:</w:t>
      </w:r>
    </w:p>
    <w:p>
      <w:pPr>
        <w:pStyle w:val="TText"/>
        <w:spacing w:lineRule="atLeast" w:line="240"/>
        <w:ind w:hanging="0" w:start="0" w:end="0"/>
        <w:rPr/>
      </w:pPr>
      <w:r>
        <w:rPr>
          <w:caps w:val="false"/>
          <w:smallCaps w:val="false"/>
          <w:color w:val="auto"/>
          <w:spacing w:val="-2"/>
          <w:w w:val="100"/>
        </w:rPr>
        <w:t>When beacon protection is enabled at the non-</w:t>
      </w:r>
      <w:r>
        <w:rPr>
          <w:caps w:val="false"/>
          <w:smallCaps w:val="false"/>
          <w:strike/>
          <w:color w:val="auto"/>
          <w:spacing w:val="-2"/>
          <w:w w:val="100"/>
        </w:rPr>
        <w:t>S</w:t>
      </w:r>
      <w:r>
        <w:rPr>
          <w:caps w:val="false"/>
          <w:smallCaps w:val="false"/>
          <w:strike w:val="false"/>
          <w:dstrike w:val="false"/>
          <w:color w:val="auto"/>
          <w:spacing w:val="-2"/>
          <w:w w:val="100"/>
          <w:u w:val="single"/>
        </w:rPr>
        <w:t>A</w:t>
      </w:r>
      <w:r>
        <w:rPr>
          <w:caps w:val="false"/>
          <w:smallCaps w:val="false"/>
          <w:color w:val="auto"/>
          <w:spacing w:val="-2"/>
          <w:w w:val="100"/>
        </w:rPr>
        <w:t xml:space="preserve">P STA, the receiver shall maintain a 48-bit replay counter for each BIGTK. The receiver shall set the replay counter to the value of the BIPN in the BIGTK key data encapsulation (KDE) (see 12.7.2 (EAPOL-Key frames)) provided by the Authenticator in the 4-way handshake, FT 4-way handshake, FT handshake, group key handshake, or FILS authentication. The transmitter shall maintain a single BIPN for each BIGTK. </w:t>
      </w:r>
      <w:r>
        <w:rPr>
          <w:caps w:val="false"/>
          <w:smallCaps w:val="false"/>
          <w:strike w:val="false"/>
          <w:dstrike w:val="false"/>
          <w:color w:val="auto"/>
          <w:spacing w:val="-2"/>
          <w:w w:val="100"/>
          <w:u w:val="single"/>
        </w:rPr>
        <w:t xml:space="preserve">When beacon protection is enabled at an S1G AP and BCE is enabled, the BIPN shall be implemented as a 48-bit representation of the number of TSBTTs or TBTTs since TSF time 0. </w:t>
      </w:r>
      <w:r>
        <w:rPr>
          <w:strike w:val="false"/>
          <w:dstrike w:val="false"/>
          <w:u w:val="single"/>
        </w:rPr>
        <w:t>I</w:t>
      </w:r>
      <w:r>
        <w:rPr>
          <w:strike w:val="false"/>
          <w:dstrike w:val="false"/>
          <w:position w:val="0"/>
          <w:sz w:val="20"/>
          <w:sz w:val="20"/>
          <w:u w:val="single"/>
          <w:vertAlign w:val="baseline"/>
        </w:rPr>
        <w:t xml:space="preserve">f dot11ShortBeaconInterval is true, the BIPN shall be initialized </w:t>
      </w:r>
      <w:r>
        <w:rPr>
          <w:strike w:val="false"/>
          <w:dstrike w:val="false"/>
          <w:u w:val="single"/>
        </w:rPr>
        <w:t>using Equation (12-0a):</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u w:val="single"/>
        </w:rPr>
        <w:tab/>
        <w:t xml:space="preserve">BIPN = </w:t>
      </w:r>
      <w:r>
        <w:rPr>
          <w:i w:val="false"/>
          <w:iCs w:val="false"/>
          <w:caps w:val="false"/>
          <w:smallCaps w:val="false"/>
          <w:strike w:val="false"/>
          <w:dstrike w:val="false"/>
          <w:color w:val="auto"/>
          <w:spacing w:val="-2"/>
          <w:w w:val="100"/>
          <w:u w:val="single"/>
        </w:rPr>
        <w:t>Floor</w:t>
      </w:r>
      <w:r>
        <w:rPr>
          <w:i/>
          <w:iCs/>
          <w:caps w:val="false"/>
          <w:smallCaps w:val="false"/>
          <w:strike w:val="false"/>
          <w:dstrike w:val="false"/>
          <w:color w:val="auto"/>
          <w:spacing w:val="-2"/>
          <w:w w:val="100"/>
          <w:u w:val="single"/>
        </w:rPr>
        <w:t>(TSF</w:t>
      </w:r>
      <w:r>
        <w:rPr>
          <w:caps w:val="false"/>
          <w:smallCaps w:val="false"/>
          <w:strike w:val="false"/>
          <w:dstrike w:val="false"/>
          <w:color w:val="auto"/>
          <w:spacing w:val="-2"/>
          <w:w w:val="100"/>
          <w:u w:val="single"/>
        </w:rPr>
        <w:t xml:space="preserve"> / (1024 </w:t>
      </w:r>
      <w:r>
        <w:rPr>
          <w:rFonts w:eastAsia="Marlett" w:cs="Arial" w:ascii="DejaVu Sans" w:hAnsi="DejaVu Sans"/>
          <w:caps w:val="false"/>
          <w:smallCaps w:val="false"/>
          <w:strike w:val="false"/>
          <w:dstrike w:val="false"/>
          <w:color w:val="auto"/>
          <w:spacing w:val="-2"/>
          <w:w w:val="100"/>
          <w:u w:val="single"/>
        </w:rPr>
        <w:t>×</w:t>
      </w:r>
      <w:r>
        <w:rPr>
          <w:caps w:val="false"/>
          <w:smallCaps w:val="false"/>
          <w:strike w:val="false"/>
          <w:dstrike w:val="false"/>
          <w:color w:val="auto"/>
          <w:spacing w:val="-2"/>
          <w:w w:val="100"/>
          <w:u w:val="single"/>
        </w:rPr>
        <w:t xml:space="preserve"> </w:t>
      </w:r>
      <w:r>
        <w:rPr>
          <w:i/>
          <w:iCs/>
          <w:caps w:val="false"/>
          <w:smallCaps w:val="false"/>
          <w:strike w:val="false"/>
          <w:dstrike w:val="false"/>
          <w:color w:val="auto"/>
          <w:spacing w:val="-2"/>
          <w:w w:val="100"/>
          <w:position w:val="0"/>
          <w:sz w:val="20"/>
          <w:sz w:val="20"/>
          <w:u w:val="single"/>
          <w:vertAlign w:val="baseline"/>
        </w:rPr>
        <w:t>dot11ShortBeaconPeriod</w:t>
      </w:r>
      <w:r>
        <w:rPr>
          <w:caps w:val="false"/>
          <w:smallCaps w:val="false"/>
          <w:strike w:val="false"/>
          <w:dstrike w:val="false"/>
          <w:color w:val="auto"/>
          <w:spacing w:val="-2"/>
          <w:w w:val="100"/>
          <w:u w:val="single"/>
        </w:rPr>
        <w:t>))</w:t>
        <w:tab/>
        <w:tab/>
        <w:tab/>
        <w:tab/>
        <w:tab/>
        <w:t>(12-0a)</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u w:val="single"/>
        </w:rPr>
        <w:t>I</w:t>
      </w:r>
      <w:r>
        <w:rPr>
          <w:caps w:val="false"/>
          <w:smallCaps w:val="false"/>
          <w:strike w:val="false"/>
          <w:dstrike w:val="false"/>
          <w:color w:val="auto"/>
          <w:spacing w:val="-2"/>
          <w:w w:val="100"/>
          <w:position w:val="0"/>
          <w:sz w:val="20"/>
          <w:sz w:val="20"/>
          <w:u w:val="single"/>
          <w:vertAlign w:val="baseline"/>
        </w:rPr>
        <w:t xml:space="preserve">f dot11ShortBeaconInterval is false, the BIPN shall be initialized </w:t>
      </w:r>
      <w:r>
        <w:rPr>
          <w:caps w:val="false"/>
          <w:smallCaps w:val="false"/>
          <w:strike w:val="false"/>
          <w:dstrike w:val="false"/>
          <w:color w:val="auto"/>
          <w:spacing w:val="-2"/>
          <w:w w:val="100"/>
          <w:u w:val="single"/>
        </w:rPr>
        <w:t>using Equation (12-0b):</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u w:val="single"/>
        </w:rPr>
        <w:tab/>
        <w:t xml:space="preserve">BIPN =  </w:t>
      </w:r>
      <w:r>
        <w:rPr>
          <w:i w:val="false"/>
          <w:iCs w:val="false"/>
          <w:caps w:val="false"/>
          <w:smallCaps w:val="false"/>
          <w:strike w:val="false"/>
          <w:dstrike w:val="false"/>
          <w:color w:val="auto"/>
          <w:spacing w:val="-2"/>
          <w:w w:val="100"/>
          <w:u w:val="single"/>
        </w:rPr>
        <w:t>Floor</w:t>
      </w:r>
      <w:r>
        <w:rPr>
          <w:i/>
          <w:iCs/>
          <w:caps w:val="false"/>
          <w:smallCaps w:val="false"/>
          <w:strike w:val="false"/>
          <w:dstrike w:val="false"/>
          <w:color w:val="auto"/>
          <w:spacing w:val="-2"/>
          <w:w w:val="100"/>
          <w:u w:val="single"/>
        </w:rPr>
        <w:t>(TSF</w:t>
      </w:r>
      <w:r>
        <w:rPr>
          <w:caps w:val="false"/>
          <w:smallCaps w:val="false"/>
          <w:strike w:val="false"/>
          <w:dstrike w:val="false"/>
          <w:color w:val="auto"/>
          <w:spacing w:val="-2"/>
          <w:w w:val="100"/>
          <w:u w:val="single"/>
        </w:rPr>
        <w:t xml:space="preserve"> / (1024 </w:t>
      </w:r>
      <w:r>
        <w:rPr>
          <w:rFonts w:eastAsia="Marlett" w:cs="Arial" w:ascii="DejaVu Sans" w:hAnsi="DejaVu Sans"/>
          <w:caps w:val="false"/>
          <w:smallCaps w:val="false"/>
          <w:strike w:val="false"/>
          <w:dstrike w:val="false"/>
          <w:color w:val="auto"/>
          <w:spacing w:val="-2"/>
          <w:w w:val="100"/>
          <w:u w:val="single"/>
        </w:rPr>
        <w:t>×</w:t>
      </w:r>
      <w:r>
        <w:rPr>
          <w:caps w:val="false"/>
          <w:smallCaps w:val="false"/>
          <w:strike w:val="false"/>
          <w:dstrike w:val="false"/>
          <w:color w:val="auto"/>
          <w:spacing w:val="-2"/>
          <w:w w:val="100"/>
          <w:u w:val="single"/>
        </w:rPr>
        <w:t xml:space="preserve"> </w:t>
      </w:r>
      <w:r>
        <w:rPr>
          <w:i/>
          <w:iCs/>
          <w:caps w:val="false"/>
          <w:smallCaps w:val="false"/>
          <w:strike w:val="false"/>
          <w:dstrike w:val="false"/>
          <w:color w:val="auto"/>
          <w:spacing w:val="-2"/>
          <w:w w:val="100"/>
          <w:position w:val="0"/>
          <w:sz w:val="20"/>
          <w:sz w:val="20"/>
          <w:u w:val="single"/>
          <w:vertAlign w:val="baseline"/>
        </w:rPr>
        <w:t>dot11BeaconPeriod</w:t>
      </w:r>
      <w:r>
        <w:rPr>
          <w:caps w:val="false"/>
          <w:smallCaps w:val="false"/>
          <w:strike w:val="false"/>
          <w:dstrike w:val="false"/>
          <w:color w:val="auto"/>
          <w:spacing w:val="-2"/>
          <w:w w:val="100"/>
          <w:u w:val="single"/>
        </w:rPr>
        <w:t>))</w:t>
        <w:tab/>
        <w:tab/>
        <w:tab/>
        <w:tab/>
        <w:tab/>
        <w:tab/>
        <w:t>(12-0b)</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position w:val="0"/>
          <w:sz w:val="20"/>
          <w:sz w:val="20"/>
          <w:u w:val="single"/>
          <w:vertAlign w:val="baseline"/>
        </w:rPr>
        <w:t xml:space="preserve">When adding protection to, or checking protection on, an S1G Beacon frame, if dot11ShortBeaconInterval is true, the BIPN shall be calculated </w:t>
      </w:r>
      <w:r>
        <w:rPr>
          <w:caps w:val="false"/>
          <w:smallCaps w:val="false"/>
          <w:strike w:val="false"/>
          <w:dstrike w:val="false"/>
          <w:color w:val="auto"/>
          <w:spacing w:val="-2"/>
          <w:w w:val="100"/>
          <w:u w:val="single"/>
        </w:rPr>
        <w:t>using Equation (12-0c):</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u w:val="single"/>
        </w:rPr>
        <w:tab/>
        <w:t xml:space="preserve">BIPN = </w:t>
      </w:r>
      <w:r>
        <w:rPr>
          <w:i/>
          <w:iCs/>
          <w:caps w:val="false"/>
          <w:smallCaps w:val="false"/>
          <w:strike w:val="false"/>
          <w:dstrike w:val="false"/>
          <w:color w:val="auto"/>
          <w:spacing w:val="-2"/>
          <w:w w:val="100"/>
          <w:u w:val="single"/>
        </w:rPr>
        <w:t>CurrentTSBTT</w:t>
      </w:r>
      <w:r>
        <w:rPr>
          <w:caps w:val="false"/>
          <w:smallCaps w:val="false"/>
          <w:strike w:val="false"/>
          <w:dstrike w:val="false"/>
          <w:color w:val="auto"/>
          <w:spacing w:val="-2"/>
          <w:w w:val="100"/>
          <w:u w:val="single"/>
        </w:rPr>
        <w:t xml:space="preserve"> / (1024 </w:t>
      </w:r>
      <w:r>
        <w:rPr>
          <w:rFonts w:eastAsia="Marlett" w:cs="Arial" w:ascii="DejaVu Sans" w:hAnsi="DejaVu Sans"/>
          <w:caps w:val="false"/>
          <w:smallCaps w:val="false"/>
          <w:strike w:val="false"/>
          <w:dstrike w:val="false"/>
          <w:color w:val="auto"/>
          <w:spacing w:val="-2"/>
          <w:w w:val="100"/>
          <w:u w:val="single"/>
        </w:rPr>
        <w:t>×</w:t>
      </w:r>
      <w:r>
        <w:rPr>
          <w:caps w:val="false"/>
          <w:smallCaps w:val="false"/>
          <w:strike w:val="false"/>
          <w:dstrike w:val="false"/>
          <w:color w:val="auto"/>
          <w:spacing w:val="-2"/>
          <w:w w:val="100"/>
          <w:u w:val="single"/>
        </w:rPr>
        <w:t xml:space="preserve"> </w:t>
      </w:r>
      <w:r>
        <w:rPr>
          <w:i/>
          <w:iCs/>
          <w:caps w:val="false"/>
          <w:smallCaps w:val="false"/>
          <w:strike w:val="false"/>
          <w:dstrike w:val="false"/>
          <w:color w:val="auto"/>
          <w:spacing w:val="-2"/>
          <w:w w:val="100"/>
          <w:position w:val="0"/>
          <w:sz w:val="20"/>
          <w:sz w:val="20"/>
          <w:u w:val="single"/>
          <w:vertAlign w:val="baseline"/>
        </w:rPr>
        <w:t>dot11ShortBeaconPeriod</w:t>
      </w:r>
      <w:r>
        <w:rPr>
          <w:caps w:val="false"/>
          <w:smallCaps w:val="false"/>
          <w:strike w:val="false"/>
          <w:dstrike w:val="false"/>
          <w:color w:val="auto"/>
          <w:spacing w:val="-2"/>
          <w:w w:val="100"/>
          <w:u w:val="single"/>
        </w:rPr>
        <w:t>)</w:t>
        <w:tab/>
        <w:tab/>
        <w:tab/>
        <w:tab/>
        <w:tab/>
        <w:t>(12-0c)</w:t>
      </w:r>
    </w:p>
    <w:p>
      <w:pPr>
        <w:pStyle w:val="TText"/>
        <w:spacing w:lineRule="atLeast" w:line="240"/>
        <w:ind w:hanging="0" w:start="0" w:end="0"/>
        <w:rPr>
          <w:caps w:val="false"/>
          <w:smallCaps w:val="false"/>
          <w:strike w:val="false"/>
          <w:dstrike w:val="false"/>
          <w:color w:val="auto"/>
          <w:spacing w:val="-2"/>
          <w:w w:val="100"/>
          <w:u w:val="single"/>
        </w:rPr>
      </w:pPr>
      <w:r>
        <w:rPr>
          <w:caps w:val="false"/>
          <w:smallCaps w:val="false"/>
          <w:strike w:val="false"/>
          <w:dstrike w:val="false"/>
          <w:color w:val="auto"/>
          <w:spacing w:val="-2"/>
          <w:w w:val="100"/>
          <w:u w:val="single"/>
        </w:rPr>
        <w:t>where</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u w:val="single"/>
        </w:rPr>
        <w:tab/>
      </w:r>
      <w:r>
        <w:rPr>
          <w:i/>
          <w:iCs/>
          <w:caps w:val="false"/>
          <w:smallCaps w:val="false"/>
          <w:strike w:val="false"/>
          <w:dstrike w:val="false"/>
          <w:color w:val="auto"/>
          <w:spacing w:val="-2"/>
          <w:w w:val="100"/>
          <w:u w:val="single"/>
        </w:rPr>
        <w:t>CurrentTSBTT</w:t>
      </w:r>
      <w:r>
        <w:rPr>
          <w:caps w:val="false"/>
          <w:smallCaps w:val="false"/>
          <w:strike w:val="false"/>
          <w:dstrike w:val="false"/>
          <w:color w:val="auto"/>
          <w:spacing w:val="-2"/>
          <w:w w:val="100"/>
          <w:u w:val="single"/>
        </w:rPr>
        <w:tab/>
        <w:t>is the TSBTT of the S1G Beacon frame that is being protected, in µs.</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position w:val="0"/>
          <w:sz w:val="20"/>
          <w:sz w:val="20"/>
          <w:u w:val="single"/>
          <w:vertAlign w:val="baseline"/>
        </w:rPr>
        <w:t xml:space="preserve">When adding protection to, or checking protection on, an S1G Beacon frame, if dot11ShortBeaconInterval is false, the BIPN shall be calculated </w:t>
      </w:r>
      <w:r>
        <w:rPr>
          <w:caps w:val="false"/>
          <w:smallCaps w:val="false"/>
          <w:strike w:val="false"/>
          <w:dstrike w:val="false"/>
          <w:color w:val="auto"/>
          <w:spacing w:val="-2"/>
          <w:w w:val="100"/>
          <w:u w:val="single"/>
        </w:rPr>
        <w:t>using Equation (12-0d):</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u w:val="single"/>
        </w:rPr>
        <w:tab/>
        <w:t xml:space="preserve">BIPN =  </w:t>
      </w:r>
      <w:r>
        <w:rPr>
          <w:i/>
          <w:iCs/>
          <w:caps w:val="false"/>
          <w:smallCaps w:val="false"/>
          <w:strike w:val="false"/>
          <w:dstrike w:val="false"/>
          <w:color w:val="auto"/>
          <w:spacing w:val="-2"/>
          <w:w w:val="100"/>
          <w:u w:val="single"/>
        </w:rPr>
        <w:t>CurrentTBTT</w:t>
      </w:r>
      <w:r>
        <w:rPr>
          <w:caps w:val="false"/>
          <w:smallCaps w:val="false"/>
          <w:strike w:val="false"/>
          <w:dstrike w:val="false"/>
          <w:color w:val="auto"/>
          <w:spacing w:val="-2"/>
          <w:w w:val="100"/>
          <w:u w:val="single"/>
        </w:rPr>
        <w:t xml:space="preserve"> / (1024 </w:t>
      </w:r>
      <w:r>
        <w:rPr>
          <w:rFonts w:eastAsia="Marlett" w:cs="Arial" w:ascii="DejaVu Sans" w:hAnsi="DejaVu Sans"/>
          <w:caps w:val="false"/>
          <w:smallCaps w:val="false"/>
          <w:strike w:val="false"/>
          <w:dstrike w:val="false"/>
          <w:color w:val="auto"/>
          <w:spacing w:val="-2"/>
          <w:w w:val="100"/>
          <w:u w:val="single"/>
        </w:rPr>
        <w:t>×</w:t>
      </w:r>
      <w:r>
        <w:rPr>
          <w:caps w:val="false"/>
          <w:smallCaps w:val="false"/>
          <w:strike w:val="false"/>
          <w:dstrike w:val="false"/>
          <w:color w:val="auto"/>
          <w:spacing w:val="-2"/>
          <w:w w:val="100"/>
          <w:u w:val="single"/>
        </w:rPr>
        <w:t xml:space="preserve"> </w:t>
      </w:r>
      <w:r>
        <w:rPr>
          <w:i/>
          <w:iCs/>
          <w:caps w:val="false"/>
          <w:smallCaps w:val="false"/>
          <w:strike w:val="false"/>
          <w:dstrike w:val="false"/>
          <w:color w:val="auto"/>
          <w:spacing w:val="-2"/>
          <w:w w:val="100"/>
          <w:position w:val="0"/>
          <w:sz w:val="20"/>
          <w:sz w:val="20"/>
          <w:u w:val="single"/>
          <w:vertAlign w:val="baseline"/>
        </w:rPr>
        <w:t>dot11BeaconPeriod</w:t>
      </w:r>
      <w:r>
        <w:rPr>
          <w:caps w:val="false"/>
          <w:smallCaps w:val="false"/>
          <w:strike w:val="false"/>
          <w:dstrike w:val="false"/>
          <w:color w:val="auto"/>
          <w:spacing w:val="-2"/>
          <w:w w:val="100"/>
          <w:u w:val="single"/>
        </w:rPr>
        <w:t>)</w:t>
        <w:tab/>
        <w:tab/>
        <w:tab/>
        <w:tab/>
        <w:tab/>
        <w:tab/>
        <w:t>(12-0d)</w:t>
      </w:r>
    </w:p>
    <w:p>
      <w:pPr>
        <w:pStyle w:val="TText"/>
        <w:spacing w:lineRule="atLeast" w:line="240"/>
        <w:ind w:hanging="0" w:start="0" w:end="0"/>
        <w:rPr>
          <w:caps w:val="false"/>
          <w:smallCaps w:val="false"/>
          <w:strike w:val="false"/>
          <w:dstrike w:val="false"/>
          <w:color w:val="auto"/>
          <w:spacing w:val="-2"/>
          <w:w w:val="100"/>
          <w:u w:val="single"/>
        </w:rPr>
      </w:pPr>
      <w:r>
        <w:rPr>
          <w:caps w:val="false"/>
          <w:smallCaps w:val="false"/>
          <w:strike w:val="false"/>
          <w:dstrike w:val="false"/>
          <w:color w:val="auto"/>
          <w:spacing w:val="-2"/>
          <w:w w:val="100"/>
          <w:u w:val="single"/>
        </w:rPr>
        <w:t>where</w:t>
      </w:r>
    </w:p>
    <w:p>
      <w:pPr>
        <w:pStyle w:val="TText"/>
        <w:spacing w:lineRule="atLeast" w:line="240"/>
        <w:ind w:hanging="0" w:start="0" w:end="0"/>
        <w:rPr>
          <w:caps w:val="false"/>
          <w:smallCaps w:val="false"/>
          <w:color w:val="auto"/>
          <w:spacing w:val="-2"/>
          <w:w w:val="100"/>
        </w:rPr>
      </w:pPr>
      <w:r>
        <w:rPr>
          <w:caps w:val="false"/>
          <w:smallCaps w:val="false"/>
          <w:strike w:val="false"/>
          <w:dstrike w:val="false"/>
          <w:color w:val="auto"/>
          <w:spacing w:val="-2"/>
          <w:w w:val="100"/>
          <w:u w:val="single"/>
        </w:rPr>
        <w:tab/>
      </w:r>
      <w:r>
        <w:rPr>
          <w:i/>
          <w:iCs/>
          <w:caps w:val="false"/>
          <w:smallCaps w:val="false"/>
          <w:strike w:val="false"/>
          <w:dstrike w:val="false"/>
          <w:color w:val="auto"/>
          <w:spacing w:val="-2"/>
          <w:w w:val="100"/>
          <w:u w:val="single"/>
        </w:rPr>
        <w:t>CurrentTBTT</w:t>
      </w:r>
      <w:r>
        <w:rPr>
          <w:caps w:val="false"/>
          <w:smallCaps w:val="false"/>
          <w:strike w:val="false"/>
          <w:dstrike w:val="false"/>
          <w:color w:val="auto"/>
          <w:spacing w:val="-2"/>
          <w:w w:val="100"/>
          <w:u w:val="single"/>
        </w:rPr>
        <w:tab/>
        <w:t>is the TBTT of the S1G Beacon frame that is being protected, in µs.</w:t>
      </w:r>
    </w:p>
    <w:p>
      <w:pPr>
        <w:pStyle w:val="Note"/>
        <w:rPr/>
      </w:pPr>
      <w:r>
        <w:rPr/>
        <w:t>NOTE 1: Calculation of CurrentTBTT or CurrentTSBTT is implementation dependent. One possible implementation is the transmitter could use Ceil(TSF/(1024 x dot11ShortBeaconPeriod)) and Ceil(TSF/(1024 x dot11BeaconPeriod)), and the receiver could use Floor(TSF/(1024 x dot11ShortBeaconPeriod)) and Floor(TSF/(1024 x dot11BeaconPeriod)).</w:t>
      </w:r>
    </w:p>
    <w:p>
      <w:pPr>
        <w:pStyle w:val="TText"/>
        <w:spacing w:lineRule="atLeast" w:line="240"/>
        <w:ind w:hanging="0" w:start="0" w:end="0"/>
        <w:rPr>
          <w:color w:val="auto"/>
        </w:rPr>
      </w:pPr>
      <w:r>
        <w:rPr>
          <w:caps w:val="false"/>
          <w:smallCaps w:val="false"/>
          <w:strike w:val="false"/>
          <w:dstrike w:val="false"/>
          <w:color w:val="auto"/>
          <w:spacing w:val="-2"/>
          <w:w w:val="100"/>
          <w:u w:val="single"/>
        </w:rPr>
        <w:t>When beacon protection is enabled at an S1G AP and BCE is disabled, the BIPN shall be implemented as a 48-bit strictly increasing integer, initialized to 1 when the corresponding BIGTK is initialized. For non-S1G STAs, t</w:t>
      </w:r>
      <w:r>
        <w:rPr>
          <w:caps w:val="false"/>
          <w:smallCaps w:val="false"/>
          <w:strike/>
          <w:color w:val="auto"/>
          <w:spacing w:val="-2"/>
          <w:w w:val="100"/>
        </w:rPr>
        <w:t>T</w:t>
      </w:r>
      <w:r>
        <w:rPr>
          <w:caps w:val="false"/>
          <w:smallCaps w:val="false"/>
          <w:color w:val="auto"/>
          <w:spacing w:val="-2"/>
          <w:w w:val="100"/>
        </w:rPr>
        <w:t>he BIPN shall be implemented as a 48-bit strictly increasing integer, initialized to 1 when the corresponding BIGTK is initialized.</w:t>
      </w:r>
    </w:p>
    <w:p>
      <w:pPr>
        <w:pStyle w:val="TText"/>
        <w:spacing w:lineRule="atLeast" w:line="240"/>
        <w:ind w:hanging="0" w:start="0" w:end="0"/>
        <w:rPr>
          <w:b/>
          <w:bCs/>
        </w:rPr>
      </w:pPr>
      <w:r>
        <w:rPr>
          <w:b/>
          <w:bCs/>
        </w:rPr>
      </w:r>
    </w:p>
    <w:p>
      <w:pPr>
        <w:pStyle w:val="Normal"/>
        <w:rPr>
          <w:b/>
          <w:bCs/>
          <w:i/>
          <w:i/>
          <w:iCs/>
        </w:rPr>
      </w:pPr>
      <w:r>
        <w:rPr>
          <w:b/>
          <w:bCs/>
          <w:i/>
          <w:iCs/>
        </w:rPr>
        <w:t>Change NOTE 1 as shown and renumber subsequent NOTEs:</w:t>
      </w:r>
    </w:p>
    <w:p>
      <w:pPr>
        <w:pStyle w:val="TText"/>
        <w:tabs>
          <w:tab w:val="left" w:pos="720" w:leader="none"/>
          <w:tab w:val="left" w:pos="1440" w:leader="none"/>
          <w:tab w:val="left" w:pos="2160" w:leader="none"/>
          <w:tab w:val="left" w:pos="2880" w:leader="none"/>
          <w:tab w:val="left" w:pos="3300" w:leader="none"/>
          <w:tab w:val="left" w:pos="3600" w:leader="none"/>
          <w:tab w:val="left" w:pos="4320" w:leader="none"/>
          <w:tab w:val="left" w:pos="5040" w:leader="none"/>
          <w:tab w:val="left" w:pos="5760" w:leader="none"/>
          <w:tab w:val="left" w:pos="6480" w:leader="none"/>
          <w:tab w:val="left" w:pos="7200" w:leader="none"/>
          <w:tab w:val="left" w:pos="7920" w:leader="none"/>
        </w:tabs>
        <w:rPr/>
      </w:pPr>
      <w:r>
        <w:rPr/>
        <w:t xml:space="preserve">NOTE </w:t>
      </w:r>
      <w:r>
        <w:rPr>
          <w:strike/>
        </w:rPr>
        <w:t>1</w:t>
      </w:r>
      <w:r>
        <w:rPr>
          <w:strike w:val="false"/>
          <w:dstrike w:val="false"/>
          <w:u w:val="single"/>
        </w:rPr>
        <w:t>2</w:t>
      </w:r>
      <w:r>
        <w:rPr/>
        <w:t>—When the IPN</w:t>
      </w:r>
      <w:r>
        <w:rPr>
          <w:strike w:val="false"/>
          <w:dstrike w:val="false"/>
        </w:rPr>
        <w:t xml:space="preserve"> </w:t>
      </w:r>
      <w:r>
        <w:rPr>
          <w:strike/>
        </w:rPr>
        <w:t xml:space="preserve">or BIPN </w:t>
      </w:r>
      <w:r>
        <w:rPr>
          <w:strike w:val="false"/>
          <w:dstrike w:val="false"/>
        </w:rPr>
        <w:t>space is exhausted</w:t>
      </w:r>
      <w:r>
        <w:rPr/>
        <w:t>, the choices available to an implementation are to replace the corresponding key or to end communications.</w:t>
      </w:r>
      <w:r>
        <w:rPr>
          <w:u w:val="single"/>
        </w:rPr>
        <w:t xml:space="preserve"> When the</w:t>
      </w:r>
      <w:r>
        <w:rPr>
          <w:strike w:val="false"/>
          <w:dstrike w:val="false"/>
          <w:u w:val="single"/>
        </w:rPr>
        <w:t xml:space="preserve"> BIPN space is exhausted and BCE is not in use, </w:t>
      </w:r>
      <w:r>
        <w:rPr>
          <w:u w:val="single"/>
        </w:rPr>
        <w:t>the choices available to an implementation are to replace the corresponding key or to end communications.  When the</w:t>
      </w:r>
      <w:r>
        <w:rPr>
          <w:strike w:val="false"/>
          <w:dstrike w:val="false"/>
          <w:u w:val="single"/>
        </w:rPr>
        <w:t xml:space="preserve"> BIPN space is exhausted and BCE is in use, </w:t>
      </w:r>
      <w:r>
        <w:rPr>
          <w:u w:val="single"/>
        </w:rPr>
        <w:t>the choices available to an implementation are to replace the corresponding key and reset the TSF to 0 or to end communications (and the AP may restart the BSS).</w:t>
      </w:r>
    </w:p>
    <w:p>
      <w:pPr>
        <w:pStyle w:val="TText"/>
        <w:rPr/>
      </w:pPr>
      <w:r>
        <w:rPr/>
      </w:r>
    </w:p>
    <w:p>
      <w:pPr>
        <w:pStyle w:val="H41111"/>
        <w:rPr>
          <w:sz w:val="28"/>
          <w:szCs w:val="28"/>
        </w:rPr>
      </w:pPr>
      <w:r>
        <w:rPr>
          <w:sz w:val="28"/>
          <w:szCs w:val="28"/>
        </w:rPr>
        <w:t>12.5.3.5 BIP transmission</w:t>
      </w:r>
    </w:p>
    <w:p>
      <w:pPr>
        <w:pStyle w:val="Normal"/>
        <w:rPr>
          <w:b/>
          <w:bCs/>
          <w:i/>
          <w:i/>
          <w:iCs/>
        </w:rPr>
      </w:pPr>
      <w:r>
        <w:rPr>
          <w:b/>
          <w:bCs/>
          <w:i/>
          <w:iCs/>
        </w:rPr>
        <w:t>Change the first paragraph as shown:</w:t>
      </w:r>
    </w:p>
    <w:p>
      <w:pPr>
        <w:pStyle w:val="TText"/>
        <w:spacing w:lineRule="atLeast" w:line="240"/>
        <w:ind w:hanging="0" w:start="0" w:end="0"/>
        <w:rPr>
          <w:caps w:val="false"/>
          <w:smallCaps w:val="false"/>
          <w:spacing w:val="-2"/>
          <w:w w:val="100"/>
        </w:rPr>
      </w:pPr>
      <w:r>
        <w:rPr>
          <w:caps w:val="false"/>
          <w:smallCaps w:val="false"/>
          <w:spacing w:val="-2"/>
          <w:w w:val="100"/>
        </w:rPr>
        <w:t>When a STA transmits a protected group addressed robust Management frame</w:t>
      </w:r>
      <w:r>
        <w:rPr>
          <w:caps w:val="false"/>
          <w:smallCaps w:val="false"/>
          <w:spacing w:val="-2"/>
          <w:w w:val="100"/>
          <w:u w:val="single"/>
        </w:rPr>
        <w:t xml:space="preserve"> that is not an S1G Beacon using BCE</w:t>
      </w:r>
      <w:r>
        <w:rPr>
          <w:caps w:val="false"/>
          <w:smallCaps w:val="false"/>
          <w:spacing w:val="-2"/>
          <w:w w:val="100"/>
        </w:rPr>
        <w:t>, it shall</w:t>
      </w:r>
      <w:r>
        <w:rPr>
          <w:caps w:val="false"/>
          <w:smallCaps w:val="false"/>
          <w:spacing w:val="-2"/>
          <w:w w:val="100"/>
          <w:u w:val="single"/>
        </w:rPr>
        <w:t>:</w:t>
      </w:r>
    </w:p>
    <w:p>
      <w:pPr>
        <w:pStyle w:val="L1LetteredList"/>
        <w:numPr>
          <w:ilvl w:val="0"/>
          <w:numId w:val="4"/>
        </w:numPr>
        <w:spacing w:lineRule="atLeast" w:line="240"/>
        <w:ind w:hanging="360" w:start="920" w:end="0"/>
        <w:rPr>
          <w:caps w:val="false"/>
          <w:smallCaps w:val="false"/>
          <w:w w:val="100"/>
        </w:rPr>
      </w:pPr>
      <w:r>
        <w:rPr>
          <w:caps w:val="false"/>
          <w:smallCaps w:val="false"/>
          <w:w w:val="100"/>
        </w:rPr>
        <w:t>Select the IGTK or BIGTK currently active for transmission of frames to the intended group of receivers and construct the MME (see 9.4.2.53 (MME)) with the MIC field masked out and the Key ID field set to the corresponding IGTK key ID. If the frame is not a GQMF, the transmitting STA shall insert a strictly increasing integer into the MME IPN/BIPN field. If the frame is a GQMF, then the transmitting STA shall maintain a 48-bit counter for use as the IPN, the counter shall be incremented for each GQMF until the two least significant bits of the counter match the ACI of the AC that is used to transmit the frame, and the counter value shall be inserted into the MME IPN/BIPN field of the frame. For BIP-GMAC-128 and BIP-GMAC-256, the initialization vector passed to GMAC shall be</w:t>
      </w:r>
      <w:r>
        <w:rPr>
          <w:caps w:val="false"/>
          <w:smallCaps w:val="false"/>
          <w:strike/>
          <w:w w:val="100"/>
        </w:rPr>
        <w:t xml:space="preserve"> a concatenation of Address 2 from the MAC header of the MPDU and the non-negative integer inserted into the MME IPN/BIPN field.</w:t>
      </w:r>
      <w:r>
        <w:rPr>
          <w:caps w:val="false"/>
          <w:smallCaps w:val="false"/>
          <w:strike w:val="false"/>
          <w:dstrike w:val="false"/>
          <w:w w:val="100"/>
          <w:u w:val="single"/>
        </w:rPr>
        <w:t>:</w:t>
      </w:r>
    </w:p>
    <w:p>
      <w:pPr>
        <w:pStyle w:val="LLetteredList"/>
        <w:numPr>
          <w:ilvl w:val="1"/>
          <w:numId w:val="4"/>
        </w:numPr>
        <w:spacing w:lineRule="atLeast" w:line="240"/>
        <w:ind w:hanging="360" w:start="1280" w:end="0"/>
        <w:rPr>
          <w:caps w:val="false"/>
          <w:smallCaps w:val="false"/>
          <w:strike w:val="false"/>
          <w:dstrike w:val="false"/>
          <w:w w:val="100"/>
          <w:u w:val="single"/>
        </w:rPr>
      </w:pPr>
      <w:r>
        <w:rPr>
          <w:caps w:val="false"/>
          <w:smallCaps w:val="false"/>
          <w:strike w:val="false"/>
          <w:dstrike w:val="false"/>
          <w:w w:val="100"/>
          <w:u w:val="single"/>
        </w:rPr>
        <w:t>For S1G Beacons:  a concatenation of the SA field from the MAC header of the MPDU and the non-negative integer inserted into the MME IPN/BIPN field.</w:t>
      </w:r>
    </w:p>
    <w:p>
      <w:pPr>
        <w:pStyle w:val="LLetteredList"/>
        <w:numPr>
          <w:ilvl w:val="1"/>
          <w:numId w:val="4"/>
        </w:numPr>
        <w:spacing w:lineRule="atLeast" w:line="240"/>
        <w:ind w:hanging="360" w:start="1280" w:end="0"/>
        <w:rPr/>
      </w:pPr>
      <w:r>
        <w:rPr>
          <w:strike w:val="false"/>
          <w:dstrike w:val="false"/>
          <w:u w:val="single"/>
        </w:rPr>
        <w:t xml:space="preserve">For all other frames:  </w:t>
      </w:r>
      <w:r>
        <w:rPr>
          <w:caps w:val="false"/>
          <w:smallCaps w:val="false"/>
          <w:strike w:val="false"/>
          <w:dstrike w:val="false"/>
          <w:w w:val="100"/>
          <w:u w:val="single"/>
        </w:rPr>
        <w:t>a concatenation of Address 2 from the MAC header of the MPDU and the non-negative integer inserted into the MME IPN/BIPN field.</w:t>
      </w:r>
    </w:p>
    <w:p>
      <w:pPr>
        <w:pStyle w:val="Note"/>
        <w:numPr>
          <w:ilvl w:val="0"/>
          <w:numId w:val="0"/>
        </w:numPr>
        <w:ind w:hanging="0" w:start="1280"/>
        <w:rPr/>
      </w:pPr>
      <w:r>
        <w:rPr/>
        <w:t>NOTE 1—QMF is not supported for PV1 Management frames (see 11.24.1.1 (Overview)).</w:t>
      </w:r>
    </w:p>
    <w:p>
      <w:pPr>
        <w:pStyle w:val="LLetteredList"/>
        <w:numPr>
          <w:ilvl w:val="0"/>
          <w:numId w:val="4"/>
        </w:numPr>
        <w:spacing w:lineRule="atLeast" w:line="240"/>
        <w:ind w:hanging="360" w:start="920" w:end="0"/>
        <w:rPr/>
      </w:pPr>
      <w:r>
        <w:rPr/>
        <w:t>Compute AAD as specified in 12.5.3.3 (BIP AAD construction).</w:t>
      </w:r>
    </w:p>
    <w:p>
      <w:pPr>
        <w:pStyle w:val="LLetteredList"/>
        <w:numPr>
          <w:ilvl w:val="0"/>
          <w:numId w:val="4"/>
        </w:numPr>
        <w:spacing w:lineRule="atLeast" w:line="240"/>
        <w:ind w:hanging="360" w:start="920" w:end="0"/>
        <w:rPr/>
      </w:pPr>
      <w:r>
        <w:rPr/>
        <w:t xml:space="preserve">Compute an integrity value over the concatenation of AAD and the management frame body including MME, </w:t>
      </w:r>
      <w:r>
        <w:rPr>
          <w:strike/>
        </w:rPr>
        <w:t>and the Timestamp field masked out if it is a protected Beacon frame, and insert</w:t>
      </w:r>
      <w:r>
        <w:rPr>
          <w:strike w:val="false"/>
          <w:dstrike w:val="false"/>
          <w:u w:val="single"/>
        </w:rPr>
        <w:t>with:</w:t>
      </w:r>
    </w:p>
    <w:p>
      <w:pPr>
        <w:pStyle w:val="LLetteredList"/>
        <w:numPr>
          <w:ilvl w:val="1"/>
          <w:numId w:val="4"/>
        </w:numPr>
        <w:spacing w:lineRule="atLeast" w:line="240"/>
        <w:ind w:hanging="360" w:start="1280" w:end="0"/>
        <w:rPr>
          <w:strike w:val="false"/>
          <w:dstrike w:val="false"/>
          <w:u w:val="single"/>
        </w:rPr>
      </w:pPr>
      <w:r>
        <w:rPr>
          <w:strike w:val="false"/>
          <w:dstrike w:val="false"/>
          <w:u w:val="single"/>
        </w:rPr>
        <w:t>For protected Beacon frames: the Timestamp field masked out.</w:t>
      </w:r>
    </w:p>
    <w:p>
      <w:pPr>
        <w:pStyle w:val="LLetteredList"/>
        <w:numPr>
          <w:ilvl w:val="1"/>
          <w:numId w:val="4"/>
        </w:numPr>
        <w:spacing w:lineRule="atLeast" w:line="240"/>
        <w:ind w:hanging="360" w:start="1280" w:end="0"/>
        <w:rPr>
          <w:strike w:val="false"/>
          <w:dstrike w:val="false"/>
          <w:u w:val="single"/>
        </w:rPr>
      </w:pPr>
      <w:r>
        <w:rPr>
          <w:strike w:val="false"/>
          <w:dstrike w:val="false"/>
          <w:u w:val="single"/>
        </w:rPr>
        <w:t>For S1G Beacon Frames: the TSF Completion field of the S1G Beacon Compatibility element masked out, if the element is present.</w:t>
      </w:r>
    </w:p>
    <w:p>
      <w:pPr>
        <w:pStyle w:val="LLetteredList"/>
        <w:numPr>
          <w:ilvl w:val="0"/>
          <w:numId w:val="0"/>
        </w:numPr>
        <w:spacing w:lineRule="atLeast" w:line="240"/>
        <w:ind w:hanging="0" w:start="920" w:end="0"/>
        <w:rPr/>
      </w:pPr>
      <w:r>
        <w:rPr>
          <w:strike w:val="false"/>
          <w:dstrike w:val="false"/>
          <w:u w:val="single"/>
        </w:rPr>
        <w:t>Insert</w:t>
      </w:r>
      <w:r>
        <w:rPr/>
        <w:t xml:space="preserve"> the output into the MME MIC field. For BIP-CMAC-128, the integrity value is 64 bits and is computed using AES-128-CMAC; for BIP-CMAC-256, the integrity value is 128 bits and is computed using AES-256-CMAC; for BIP-GMAC-128, the integrity value is 128 bits and is computed using AES-128-GMAC; and, for BIP-GMAC-256, the integrity value is 128 bits and is computed using AES-256-GMAC.</w:t>
      </w:r>
    </w:p>
    <w:p>
      <w:pPr>
        <w:pStyle w:val="LLetteredList"/>
        <w:numPr>
          <w:ilvl w:val="0"/>
          <w:numId w:val="4"/>
        </w:numPr>
        <w:spacing w:lineRule="atLeast" w:line="240"/>
        <w:ind w:hanging="360" w:start="920" w:end="0"/>
        <w:rPr/>
      </w:pPr>
      <w:r>
        <w:rPr/>
        <w:t>Compose the frame as the IEEE 802.11 header, management frame body, including MME, and FCS. The MME shall appear last in the frame body.</w:t>
      </w:r>
    </w:p>
    <w:p>
      <w:pPr>
        <w:pStyle w:val="LLetteredList"/>
        <w:numPr>
          <w:ilvl w:val="0"/>
          <w:numId w:val="4"/>
        </w:numPr>
        <w:spacing w:lineRule="atLeast" w:line="240"/>
        <w:ind w:hanging="360" w:start="920" w:end="0"/>
        <w:rPr/>
      </w:pPr>
      <w:r>
        <w:rPr/>
        <w:t>Transmit the frame.</w:t>
      </w:r>
    </w:p>
    <w:p>
      <w:pPr>
        <w:pStyle w:val="TText"/>
        <w:spacing w:lineRule="atLeast" w:line="240"/>
        <w:ind w:hanging="0" w:start="0" w:end="0"/>
        <w:rPr>
          <w:u w:val="single"/>
        </w:rPr>
      </w:pPr>
      <w:r>
        <w:rPr>
          <w:caps w:val="false"/>
          <w:smallCaps w:val="false"/>
          <w:spacing w:val="-2"/>
          <w:w w:val="100"/>
          <w:u w:val="single"/>
        </w:rPr>
        <w:t>When an S1G STA transmits a protected S1G Beacon frame using BCE, it shall:</w:t>
      </w:r>
    </w:p>
    <w:p>
      <w:pPr>
        <w:pStyle w:val="L1LetteredList"/>
        <w:numPr>
          <w:ilvl w:val="0"/>
          <w:numId w:val="13"/>
        </w:numPr>
        <w:spacing w:lineRule="atLeast" w:line="240"/>
        <w:ind w:hanging="360" w:start="920" w:end="0"/>
        <w:rPr>
          <w:u w:val="single"/>
        </w:rPr>
      </w:pPr>
      <w:r>
        <w:rPr>
          <w:caps w:val="false"/>
          <w:smallCaps w:val="false"/>
          <w:w w:val="100"/>
          <w:u w:val="single"/>
        </w:rPr>
        <w:t>Select the BIGTK currently active for transmission of frames to the intended group of receivers.</w:t>
      </w:r>
    </w:p>
    <w:p>
      <w:pPr>
        <w:pStyle w:val="L1LetteredList"/>
        <w:numPr>
          <w:ilvl w:val="0"/>
          <w:numId w:val="4"/>
        </w:numPr>
        <w:spacing w:lineRule="atLeast" w:line="240"/>
        <w:ind w:hanging="360" w:start="920" w:end="0"/>
        <w:rPr>
          <w:color w:val="auto"/>
          <w:u w:val="single"/>
        </w:rPr>
      </w:pPr>
      <w:r>
        <w:rPr>
          <w:caps w:val="false"/>
          <w:smallCaps w:val="false"/>
          <w:color w:val="auto"/>
          <w:w w:val="100"/>
          <w:u w:val="single"/>
        </w:rPr>
        <w:t>Set the BIGTK Key ID Index subfield in the S1G Beacon Compatibility element, if present, to the value that corresponds to the BIGTK key ID (see 9.4.2.195 (S1G Beacon Compatibility element)). If the S1G Beacon Compatibility element is not present, the BIGTK used to protect the frame shall be the same BIGTK used in the most recently transmitted protected S1G Beacon frame that contained an S1G Beacon Compatibility element. If that BIGTK is not available for use, or no previous protected S1G Beacon frame containing an S1G Beacon Compatibility element has been transmitted, then the frame shall be sent without BIP encapsulation.</w:t>
      </w:r>
    </w:p>
    <w:p>
      <w:pPr>
        <w:pStyle w:val="L1LetteredList"/>
        <w:numPr>
          <w:ilvl w:val="0"/>
          <w:numId w:val="4"/>
        </w:numPr>
        <w:spacing w:lineRule="atLeast" w:line="240"/>
        <w:ind w:hanging="360" w:start="920" w:end="0"/>
        <w:rPr>
          <w:color w:val="auto"/>
          <w:u w:val="single"/>
        </w:rPr>
      </w:pPr>
      <w:r>
        <w:rPr>
          <w:caps w:val="false"/>
          <w:smallCaps w:val="false"/>
          <w:color w:val="auto"/>
          <w:w w:val="100"/>
          <w:u w:val="single"/>
        </w:rPr>
        <w:t>Construct the MIC element (see 9.4.2.117 (MIC element)) with the MIC field masked out.</w:t>
      </w:r>
    </w:p>
    <w:p>
      <w:pPr>
        <w:pStyle w:val="L1LetteredList"/>
        <w:numPr>
          <w:ilvl w:val="0"/>
          <w:numId w:val="4"/>
        </w:numPr>
        <w:spacing w:lineRule="atLeast" w:line="240"/>
        <w:ind w:hanging="360" w:start="920" w:end="0"/>
        <w:rPr>
          <w:color w:val="auto"/>
          <w:u w:val="single"/>
        </w:rPr>
      </w:pPr>
      <w:r>
        <w:rPr>
          <w:caps w:val="false"/>
          <w:smallCaps w:val="false"/>
          <w:color w:val="auto"/>
          <w:w w:val="100"/>
          <w:u w:val="single"/>
        </w:rPr>
        <w:t xml:space="preserve">Derive the BIPN using Equation (12-0c) </w:t>
      </w:r>
      <w:r>
        <w:rPr>
          <w:caps w:val="false"/>
          <w:smallCaps w:val="false"/>
          <w:strike w:val="false"/>
          <w:dstrike w:val="false"/>
          <w:color w:val="auto"/>
          <w:spacing w:val="-2"/>
          <w:w w:val="100"/>
          <w:u w:val="single"/>
        </w:rPr>
        <w:t>i</w:t>
      </w:r>
      <w:r>
        <w:rPr>
          <w:caps w:val="false"/>
          <w:smallCaps w:val="false"/>
          <w:strike w:val="false"/>
          <w:dstrike w:val="false"/>
          <w:color w:val="auto"/>
          <w:spacing w:val="-2"/>
          <w:w w:val="100"/>
          <w:position w:val="0"/>
          <w:sz w:val="20"/>
          <w:sz w:val="20"/>
          <w:u w:val="single"/>
          <w:vertAlign w:val="baseline"/>
        </w:rPr>
        <w:t xml:space="preserve">f dot11ShortBeaconInterval is true, </w:t>
      </w:r>
      <w:r>
        <w:rPr>
          <w:caps w:val="false"/>
          <w:smallCaps w:val="false"/>
          <w:color w:val="auto"/>
          <w:w w:val="100"/>
          <w:u w:val="single"/>
        </w:rPr>
        <w:t>or Equation (12-0d) i</w:t>
      </w:r>
      <w:r>
        <w:rPr>
          <w:caps w:val="false"/>
          <w:smallCaps w:val="false"/>
          <w:strike w:val="false"/>
          <w:dstrike w:val="false"/>
          <w:color w:val="auto"/>
          <w:spacing w:val="-2"/>
          <w:w w:val="100"/>
          <w:position w:val="0"/>
          <w:sz w:val="20"/>
          <w:sz w:val="20"/>
          <w:u w:val="single"/>
          <w:vertAlign w:val="baseline"/>
        </w:rPr>
        <w:t>f dot11ShortBeaconInterval is false</w:t>
      </w:r>
      <w:r>
        <w:rPr>
          <w:caps w:val="false"/>
          <w:smallCaps w:val="false"/>
          <w:color w:val="auto"/>
          <w:w w:val="100"/>
          <w:u w:val="single"/>
        </w:rPr>
        <w:t>. For BIP-GMAC-128 and BIP-GMAC-256, the initialization vector passed to GMAC shall be</w:t>
      </w:r>
      <w:r>
        <w:rPr>
          <w:caps w:val="false"/>
          <w:smallCaps w:val="false"/>
          <w:strike w:val="false"/>
          <w:dstrike w:val="false"/>
          <w:color w:val="auto"/>
          <w:w w:val="100"/>
          <w:u w:val="single"/>
        </w:rPr>
        <w:t xml:space="preserve"> a concatenation of the SA field from the MAC header of the MPDU and the BIPN.</w:t>
      </w:r>
    </w:p>
    <w:p>
      <w:pPr>
        <w:pStyle w:val="LLetteredList"/>
        <w:numPr>
          <w:ilvl w:val="0"/>
          <w:numId w:val="4"/>
        </w:numPr>
        <w:spacing w:lineRule="atLeast" w:line="240"/>
        <w:ind w:hanging="360" w:start="920" w:end="0"/>
        <w:rPr>
          <w:color w:val="auto"/>
          <w:u w:val="single"/>
        </w:rPr>
      </w:pPr>
      <w:r>
        <w:rPr>
          <w:color w:val="auto"/>
          <w:u w:val="single"/>
        </w:rPr>
        <w:t>Compute AAD as specified in 12.5.3.3 (BIP AAD construction).</w:t>
      </w:r>
    </w:p>
    <w:p>
      <w:pPr>
        <w:pStyle w:val="LLetteredList"/>
        <w:numPr>
          <w:ilvl w:val="0"/>
          <w:numId w:val="4"/>
        </w:numPr>
        <w:spacing w:lineRule="atLeast" w:line="240"/>
        <w:ind w:hanging="360" w:start="920" w:end="0"/>
        <w:rPr>
          <w:u w:val="single"/>
        </w:rPr>
      </w:pPr>
      <w:r>
        <w:rPr>
          <w:u w:val="single"/>
        </w:rPr>
        <w:t xml:space="preserve">Compute an integrity value over the concatenation of AAD and the management frame body including MIC element, </w:t>
      </w:r>
      <w:r>
        <w:rPr>
          <w:strike w:val="false"/>
          <w:dstrike w:val="false"/>
          <w:u w:val="single"/>
        </w:rPr>
        <w:t>with the TSF Completion field of the S1G Beacon Compatibility element masked out if the element is present.</w:t>
      </w:r>
    </w:p>
    <w:p>
      <w:pPr>
        <w:pStyle w:val="LLetteredList"/>
        <w:numPr>
          <w:ilvl w:val="0"/>
          <w:numId w:val="4"/>
        </w:numPr>
        <w:spacing w:lineRule="atLeast" w:line="240"/>
        <w:ind w:hanging="360" w:start="920" w:end="0"/>
        <w:rPr>
          <w:u w:val="single"/>
        </w:rPr>
      </w:pPr>
      <w:r>
        <w:rPr>
          <w:strike w:val="false"/>
          <w:dstrike w:val="false"/>
          <w:u w:val="single"/>
        </w:rPr>
        <w:t>Insert</w:t>
      </w:r>
      <w:r>
        <w:rPr>
          <w:u w:val="single"/>
        </w:rPr>
        <w:t xml:space="preserve"> the output into the MIC field of the MIC element. For BIP-CMAC-128, the integrity value is 64 bits and is computed using AES-128-CMAC; for BIP-CMAC-256, the integrity value is 128 bits and is computed using AES-256-CMAC; for BIP-GMAC-128, the integrity value is 128 bits and is computed using AES-128-GMAC; and, for BIP-GMAC-256, the integrity value is 128 bits and is computed using AES-256-GMAC.</w:t>
      </w:r>
    </w:p>
    <w:p>
      <w:pPr>
        <w:pStyle w:val="LLetteredList"/>
        <w:numPr>
          <w:ilvl w:val="0"/>
          <w:numId w:val="4"/>
        </w:numPr>
        <w:spacing w:lineRule="atLeast" w:line="240"/>
        <w:ind w:hanging="360" w:start="920" w:end="0"/>
        <w:rPr>
          <w:u w:val="single"/>
        </w:rPr>
      </w:pPr>
      <w:r>
        <w:rPr>
          <w:u w:val="single"/>
        </w:rPr>
        <w:t>Compose the frame as the IEEE 802.11 header, management frame body, including MIC element, and FCS. The MIC element shall appear last in the frame body.</w:t>
      </w:r>
    </w:p>
    <w:p>
      <w:pPr>
        <w:pStyle w:val="LLetteredList"/>
        <w:numPr>
          <w:ilvl w:val="0"/>
          <w:numId w:val="4"/>
        </w:numPr>
        <w:spacing w:lineRule="atLeast" w:line="240"/>
        <w:ind w:hanging="360" w:start="920" w:end="0"/>
        <w:rPr>
          <w:u w:val="single"/>
        </w:rPr>
      </w:pPr>
      <w:r>
        <w:rPr>
          <w:u w:val="single"/>
        </w:rPr>
        <w:t>Transmit the frame.</w:t>
      </w:r>
    </w:p>
    <w:p>
      <w:pPr>
        <w:pStyle w:val="Normal"/>
        <w:rPr>
          <w:b/>
          <w:bCs/>
          <w:i/>
          <w:i/>
          <w:iCs/>
        </w:rPr>
      </w:pPr>
      <w:r>
        <w:rPr>
          <w:b/>
          <w:bCs/>
          <w:i/>
          <w:iCs/>
        </w:rPr>
      </w:r>
    </w:p>
    <w:p>
      <w:pPr>
        <w:pStyle w:val="Normal"/>
        <w:rPr>
          <w:b/>
          <w:bCs/>
          <w:i/>
          <w:i/>
          <w:iCs/>
        </w:rPr>
      </w:pPr>
      <w:r>
        <w:rPr>
          <w:b/>
          <w:bCs/>
          <w:i/>
          <w:iCs/>
        </w:rPr>
        <w:t>Change the last paragraph as shown:</w:t>
      </w:r>
    </w:p>
    <w:p>
      <w:pPr>
        <w:pStyle w:val="TText"/>
        <w:spacing w:lineRule="atLeast" w:line="240"/>
        <w:ind w:hanging="0" w:start="0" w:end="0"/>
        <w:rPr>
          <w:caps w:val="false"/>
          <w:smallCaps w:val="false"/>
          <w:spacing w:val="-2"/>
          <w:w w:val="100"/>
        </w:rPr>
      </w:pPr>
      <w:r>
        <w:rPr>
          <w:caps w:val="false"/>
          <w:smallCaps w:val="false"/>
          <w:spacing w:val="-2"/>
          <w:w w:val="100"/>
        </w:rPr>
        <w:t xml:space="preserve">Once a STA transmits a protected Beacon frame </w:t>
      </w:r>
      <w:r>
        <w:rPr>
          <w:caps w:val="false"/>
          <w:smallCaps w:val="false"/>
          <w:spacing w:val="-2"/>
          <w:w w:val="100"/>
          <w:u w:val="single"/>
        </w:rPr>
        <w:t xml:space="preserve">or a protected S1G Beacon frame </w:t>
      </w:r>
      <w:r>
        <w:rPr>
          <w:caps w:val="false"/>
          <w:smallCaps w:val="false"/>
          <w:spacing w:val="-2"/>
          <w:w w:val="100"/>
        </w:rPr>
        <w:t xml:space="preserve">using a new BIGTK, the STA shall not transmit protected Beacon frames </w:t>
      </w:r>
      <w:r>
        <w:rPr>
          <w:caps w:val="false"/>
          <w:smallCaps w:val="false"/>
          <w:spacing w:val="-2"/>
          <w:w w:val="100"/>
          <w:u w:val="single"/>
        </w:rPr>
        <w:t xml:space="preserve">or protected S1G Beacon frames </w:t>
      </w:r>
      <w:r>
        <w:rPr>
          <w:caps w:val="false"/>
          <w:smallCaps w:val="false"/>
          <w:spacing w:val="-2"/>
          <w:w w:val="100"/>
        </w:rPr>
        <w:t>using the previous BIGTK. Once a STA transmits a protected group addressed robust Management frame using a new IGTK, the STA shall not transmit protected group addressed robust Management frames using the previously used IGTK.</w:t>
      </w:r>
    </w:p>
    <w:p>
      <w:pPr>
        <w:pStyle w:val="TText"/>
        <w:spacing w:lineRule="atLeast" w:line="240"/>
        <w:ind w:hanging="0" w:start="0" w:end="0"/>
        <w:rPr>
          <w:caps w:val="false"/>
          <w:smallCaps w:val="false"/>
          <w:spacing w:val="-2"/>
          <w:w w:val="100"/>
        </w:rPr>
      </w:pPr>
      <w:r>
        <w:rPr>
          <w:caps w:val="false"/>
          <w:smallCaps w:val="false"/>
          <w:spacing w:val="-2"/>
          <w:w w:val="100"/>
        </w:rPr>
      </w:r>
    </w:p>
    <w:p>
      <w:pPr>
        <w:pStyle w:val="H41111"/>
        <w:rPr>
          <w:sz w:val="28"/>
          <w:szCs w:val="28"/>
        </w:rPr>
      </w:pPr>
      <w:r>
        <w:rPr>
          <w:sz w:val="28"/>
          <w:szCs w:val="28"/>
        </w:rPr>
        <w:t>12.5.3.6 BIP reception</w:t>
      </w:r>
    </w:p>
    <w:p>
      <w:pPr>
        <w:pStyle w:val="Normal"/>
        <w:rPr>
          <w:b/>
          <w:bCs/>
          <w:i/>
          <w:i/>
          <w:iCs/>
        </w:rPr>
      </w:pPr>
      <w:r>
        <w:rPr>
          <w:b/>
          <w:bCs/>
          <w:i/>
          <w:iCs/>
        </w:rPr>
        <w:t>Change the text as shown:</w:t>
      </w:r>
    </w:p>
    <w:p>
      <w:pPr>
        <w:pStyle w:val="TText"/>
        <w:suppressAutoHyphens w:val="false"/>
        <w:spacing w:lineRule="atLeast" w:line="240"/>
        <w:ind w:hanging="0" w:start="0" w:end="0"/>
        <w:rPr>
          <w:caps w:val="false"/>
          <w:smallCaps w:val="false"/>
          <w:spacing w:val="-2"/>
          <w:w w:val="100"/>
        </w:rPr>
      </w:pPr>
      <w:r>
        <w:rPr>
          <w:caps w:val="false"/>
          <w:smallCaps w:val="false"/>
          <w:spacing w:val="-2"/>
          <w:w w:val="100"/>
        </w:rPr>
        <w:t>When a STA with management frame protection negotiated receives a group addressed robust Management frame</w:t>
      </w:r>
      <w:r>
        <w:rPr>
          <w:caps w:val="false"/>
          <w:smallCaps w:val="false"/>
          <w:strike/>
          <w:spacing w:val="-2"/>
          <w:w w:val="100"/>
        </w:rPr>
        <w:t xml:space="preserve"> or</w:t>
      </w:r>
      <w:r>
        <w:rPr>
          <w:caps w:val="false"/>
          <w:smallCaps w:val="false"/>
          <w:strike w:val="false"/>
          <w:dstrike w:val="false"/>
          <w:spacing w:val="-2"/>
          <w:w w:val="100"/>
          <w:u w:val="single"/>
        </w:rPr>
        <w:t xml:space="preserve">, a </w:t>
      </w:r>
      <w:r>
        <w:rPr>
          <w:caps w:val="false"/>
          <w:smallCaps w:val="false"/>
          <w:spacing w:val="-2"/>
          <w:w w:val="100"/>
        </w:rPr>
        <w:t>protected Beacon frame</w:t>
      </w:r>
      <w:r>
        <w:rPr>
          <w:caps w:val="false"/>
          <w:smallCaps w:val="false"/>
          <w:strike/>
          <w:spacing w:val="-2"/>
          <w:w w:val="100"/>
        </w:rPr>
        <w:t xml:space="preserve"> </w:t>
      </w:r>
      <w:r>
        <w:rPr>
          <w:caps w:val="false"/>
          <w:smallCaps w:val="false"/>
          <w:strike w:val="false"/>
          <w:dstrike w:val="false"/>
          <w:spacing w:val="-2"/>
          <w:w w:val="100"/>
          <w:u w:val="single"/>
        </w:rPr>
        <w:t xml:space="preserve">, </w:t>
      </w:r>
      <w:r>
        <w:rPr>
          <w:caps w:val="false"/>
          <w:smallCaps w:val="false"/>
          <w:spacing w:val="-2"/>
          <w:w w:val="100"/>
          <w:u w:val="single"/>
        </w:rPr>
        <w:t>or a protected S1G Beacon frame that is not using BCE</w:t>
      </w:r>
      <w:r>
        <w:rPr>
          <w:caps w:val="false"/>
          <w:smallCaps w:val="false"/>
          <w:strike/>
          <w:spacing w:val="-2"/>
          <w:w w:val="100"/>
        </w:rPr>
        <w:t>protected by BIP-CMAC-128, BIP-CMAC-256, BIP-GMAC-128, or BIP-GMAC-256</w:t>
      </w:r>
      <w:r>
        <w:rPr>
          <w:caps w:val="false"/>
          <w:smallCaps w:val="false"/>
          <w:spacing w:val="-2"/>
          <w:w w:val="100"/>
        </w:rPr>
        <w:t>, it shall</w:t>
      </w:r>
    </w:p>
    <w:p>
      <w:pPr>
        <w:pStyle w:val="LLetteredList"/>
        <w:numPr>
          <w:ilvl w:val="0"/>
          <w:numId w:val="5"/>
        </w:numPr>
        <w:suppressAutoHyphens w:val="false"/>
        <w:spacing w:lineRule="atLeast" w:line="240" w:before="40" w:after="40"/>
        <w:ind w:hanging="360" w:start="920" w:end="0"/>
        <w:rPr>
          <w:caps w:val="false"/>
          <w:smallCaps w:val="false"/>
          <w:w w:val="100"/>
        </w:rPr>
      </w:pPr>
      <w:r>
        <w:rPr>
          <w:caps w:val="false"/>
          <w:smallCaps w:val="false"/>
          <w:w w:val="100"/>
        </w:rPr>
        <w:t xml:space="preserve">Identify the appropriate IGTK or BIGTK and associated state based on the MME Key ID field. If the frame is a robust Management frame </w:t>
      </w:r>
      <w:r>
        <w:rPr>
          <w:caps w:val="false"/>
          <w:smallCaps w:val="false"/>
          <w:w w:val="100"/>
          <w:u w:val="single"/>
        </w:rPr>
        <w:t xml:space="preserve">and </w:t>
      </w:r>
      <w:r>
        <w:rPr>
          <w:caps w:val="false"/>
          <w:smallCaps w:val="false"/>
          <w:w w:val="100"/>
        </w:rPr>
        <w:t>no such IGTK exists, silently discard the frame and terminate BIP processing for this reception.</w:t>
      </w:r>
      <w:r>
        <w:rPr>
          <w:caps w:val="false"/>
          <w:smallCaps w:val="false"/>
          <w:w w:val="100"/>
          <w:u w:val="single"/>
        </w:rPr>
        <w:t xml:space="preserve"> If the frame is a protected S1G Beacon frame, and the Encapsulation Mode for the key is BCE, the receiver shall silently discard the frame and and optionally transmit to the AP a WNM Notification Request frame to report beacon protection failure. </w:t>
      </w:r>
      <w:r>
        <w:rPr>
          <w:caps w:val="false"/>
          <w:smallCaps w:val="false"/>
          <w:w w:val="100"/>
        </w:rPr>
        <w:t>If the frame is a protected Beacon frame and no such BIGTK exists, terminate BIP processing for this reception, and</w:t>
      </w:r>
    </w:p>
    <w:p>
      <w:pPr>
        <w:pStyle w:val="Ll1NumberedList2"/>
        <w:numPr>
          <w:ilvl w:val="1"/>
          <w:numId w:val="5"/>
        </w:numPr>
        <w:spacing w:lineRule="atLeast" w:line="240" w:before="40" w:after="40"/>
        <w:ind w:hanging="360" w:start="1280" w:end="0"/>
        <w:rPr>
          <w:caps w:val="false"/>
          <w:smallCaps w:val="false"/>
          <w:w w:val="100"/>
        </w:rPr>
      </w:pPr>
      <w:r>
        <w:rPr>
          <w:caps w:val="false"/>
          <w:smallCaps w:val="false"/>
          <w:w w:val="100"/>
        </w:rPr>
        <w:t>If beacon protection is enabled at the non-AP STA, silently discard the frame and optionally transmit to the AP a WNM Notification Request frame to report beacon protection failure.</w:t>
      </w:r>
    </w:p>
    <w:p>
      <w:pPr>
        <w:pStyle w:val="Ll1NumberedList2"/>
        <w:numPr>
          <w:ilvl w:val="1"/>
          <w:numId w:val="5"/>
        </w:numPr>
        <w:spacing w:lineRule="atLeast" w:line="240" w:before="40" w:after="40"/>
        <w:ind w:hanging="360" w:start="1280" w:end="0"/>
        <w:rPr>
          <w:caps w:val="false"/>
          <w:smallCaps w:val="false"/>
          <w:w w:val="100"/>
        </w:rPr>
      </w:pPr>
      <w:r>
        <w:rPr>
          <w:caps w:val="false"/>
          <w:smallCaps w:val="false"/>
          <w:w w:val="100"/>
        </w:rPr>
        <w:t>Otherwise, process the frame.</w:t>
      </w:r>
    </w:p>
    <w:p>
      <w:pPr>
        <w:pStyle w:val="LLetteredList"/>
        <w:numPr>
          <w:ilvl w:val="0"/>
          <w:numId w:val="5"/>
        </w:numPr>
        <w:suppressAutoHyphens w:val="false"/>
        <w:spacing w:lineRule="atLeast" w:line="240" w:before="40" w:after="40"/>
        <w:ind w:hanging="360" w:start="920" w:end="0"/>
        <w:rPr>
          <w:caps w:val="false"/>
          <w:smallCaps w:val="false"/>
          <w:w w:val="100"/>
        </w:rPr>
      </w:pPr>
      <w:r>
        <w:rPr>
          <w:caps w:val="false"/>
          <w:smallCaps w:val="false"/>
          <w:w w:val="100"/>
        </w:rPr>
        <w:t xml:space="preserve">Perform replay protection on the received frame. The receiver shall interpret the MME IPN/BIPN field as a 48-bit unsigned integer. </w:t>
      </w:r>
    </w:p>
    <w:p>
      <w:pPr>
        <w:pStyle w:val="Ll1NumberedList2"/>
        <w:numPr>
          <w:ilvl w:val="1"/>
          <w:numId w:val="5"/>
        </w:numPr>
        <w:spacing w:lineRule="atLeast" w:line="240" w:before="40" w:after="40"/>
        <w:ind w:hanging="360" w:start="1280" w:end="0"/>
        <w:rPr>
          <w:caps w:val="false"/>
          <w:smallCaps w:val="false"/>
          <w:w w:val="100"/>
        </w:rPr>
      </w:pPr>
      <w:r>
        <w:rPr>
          <w:caps w:val="false"/>
          <w:smallCaps w:val="false"/>
          <w:w w:val="100"/>
        </w:rPr>
        <w:t xml:space="preserve">If the frame is a robust Management frame but not a GQMF, the receiver shall compare this MME IPN/BIPN to the value of the replay counter for the IGTK identified by the MME Key ID field. If the value from the received MME IPN/BIPN field is less than or equal to the replay counter value for this IGTK, the receiver shall discard the frame and increment the dot11RSNAStatsCMACReplays counter by 1. </w:t>
      </w:r>
    </w:p>
    <w:p>
      <w:pPr>
        <w:pStyle w:val="Note"/>
        <w:spacing w:lineRule="atLeast" w:line="200"/>
        <w:ind w:firstLine="1060" w:start="0" w:end="0"/>
        <w:rPr>
          <w:caps w:val="false"/>
          <w:smallCaps w:val="false"/>
          <w:w w:val="100"/>
        </w:rPr>
      </w:pPr>
      <w:r>
        <w:rPr>
          <w:caps w:val="false"/>
          <w:smallCaps w:val="false"/>
          <w:w w:val="100"/>
        </w:rPr>
        <w:t>NOTE 1—QMF is not supported for PV1 Management frames (see 11.24.1.1 (Overview)).</w:t>
      </w:r>
    </w:p>
    <w:p>
      <w:pPr>
        <w:pStyle w:val="Ll1NumberedList2"/>
        <w:numPr>
          <w:ilvl w:val="1"/>
          <w:numId w:val="5"/>
        </w:numPr>
        <w:spacing w:lineRule="atLeast" w:line="240" w:before="40" w:after="40"/>
        <w:ind w:hanging="360" w:start="1280" w:end="0"/>
        <w:rPr>
          <w:caps w:val="false"/>
          <w:smallCaps w:val="false"/>
          <w:w w:val="100"/>
        </w:rPr>
      </w:pPr>
      <w:r>
        <w:rPr>
          <w:caps w:val="false"/>
          <w:smallCaps w:val="false"/>
          <w:w w:val="100"/>
        </w:rPr>
        <w:t>If the frame is a robust Management frame and also a GQMF, the receiver shall compare this MME IPN/BIPN to the value of the replay counter for the IGTK identified by the MME Key ID field and the AC represented by the value of the ACI subfield of the received frame. If the value from the received MME IPN/BIPN field is less than or equal to the replay counter value for this IGTK and AC, the receiver shall discard the frame and increment the dot11RSNAStatsCMACReplays counter by 1.</w:t>
      </w:r>
    </w:p>
    <w:p>
      <w:pPr>
        <w:pStyle w:val="LlNumberedList2"/>
        <w:numPr>
          <w:ilvl w:val="1"/>
          <w:numId w:val="5"/>
        </w:numPr>
        <w:spacing w:lineRule="atLeast" w:line="240" w:before="40" w:after="40"/>
        <w:ind w:hanging="360" w:start="1280" w:end="0"/>
        <w:rPr>
          <w:caps w:val="false"/>
          <w:smallCaps w:val="false"/>
          <w:w w:val="100"/>
        </w:rPr>
      </w:pPr>
      <w:r>
        <w:rPr>
          <w:caps w:val="false"/>
          <w:smallCaps w:val="false"/>
          <w:w w:val="100"/>
        </w:rPr>
        <w:t>If the frame is a protected Beacon frame</w:t>
      </w:r>
      <w:r>
        <w:rPr>
          <w:caps w:val="false"/>
          <w:smallCaps w:val="false"/>
          <w:w w:val="100"/>
          <w:u w:val="single"/>
        </w:rPr>
        <w:t xml:space="preserve"> or a protected S1G Beacon frame</w:t>
      </w:r>
      <w:r>
        <w:rPr>
          <w:caps w:val="false"/>
          <w:smallCaps w:val="false"/>
          <w:w w:val="100"/>
        </w:rPr>
        <w:t>, the receiver shall compare this MME IPN/BIPN to the value of the replay counter for the BIGTK identified by the MME Key ID field. If the integer value from the received MME IPN/BIPN field is less than or equal to the replay counter value for this BIGTK, the receiver shall discard the frame and increment the dot11RSNAStatsCMACReplays counter by 1.</w:t>
      </w:r>
    </w:p>
    <w:p>
      <w:pPr>
        <w:pStyle w:val="LLetteredList"/>
        <w:numPr>
          <w:ilvl w:val="0"/>
          <w:numId w:val="5"/>
        </w:numPr>
        <w:suppressAutoHyphens w:val="false"/>
        <w:spacing w:lineRule="atLeast" w:line="240" w:before="40" w:after="40"/>
        <w:ind w:hanging="360" w:start="920" w:end="0"/>
        <w:rPr>
          <w:caps w:val="false"/>
          <w:smallCaps w:val="false"/>
          <w:w w:val="100"/>
        </w:rPr>
      </w:pPr>
      <w:r>
        <w:rPr>
          <w:caps w:val="false"/>
          <w:smallCaps w:val="false"/>
          <w:w w:val="100"/>
        </w:rPr>
        <w:t>Compute AAD for this Management frame, as specified in 12.5.3.3 (BIP AAD construction). For BIP-GMAC-128 and BIP-GMAC-256, an initialization vector for GMAC is constructed as</w:t>
      </w:r>
      <w:r>
        <w:rPr>
          <w:caps w:val="false"/>
          <w:smallCaps w:val="false"/>
          <w:w w:val="100"/>
          <w:u w:val="single"/>
        </w:rPr>
        <w:t>:</w:t>
      </w:r>
      <w:r>
        <w:rPr>
          <w:caps w:val="false"/>
          <w:smallCaps w:val="false"/>
          <w:strike/>
          <w:w w:val="100"/>
        </w:rPr>
        <w:t xml:space="preserve"> the concatenation of Address 2 from the MAC header of the MPDU and the 48-bit unsigned integer from the MME IPN/BIPN field.</w:t>
      </w:r>
    </w:p>
    <w:p>
      <w:pPr>
        <w:pStyle w:val="LLetteredList"/>
        <w:numPr>
          <w:ilvl w:val="1"/>
          <w:numId w:val="5"/>
        </w:numPr>
        <w:spacing w:lineRule="atLeast" w:line="240"/>
        <w:ind w:hanging="360" w:start="1280" w:end="0"/>
        <w:rPr>
          <w:caps w:val="false"/>
          <w:smallCaps w:val="false"/>
          <w:strike w:val="false"/>
          <w:dstrike w:val="false"/>
          <w:w w:val="100"/>
          <w:u w:val="single"/>
        </w:rPr>
      </w:pPr>
      <w:r>
        <w:rPr>
          <w:caps w:val="false"/>
          <w:smallCaps w:val="false"/>
          <w:strike w:val="false"/>
          <w:dstrike w:val="false"/>
          <w:w w:val="100"/>
          <w:u w:val="single"/>
        </w:rPr>
        <w:t>For S1G Beacons:  a concatenation of the SA field from the MAC header of the MPDU and the non-negative integer inserted into the MME IPN/BIPN field.</w:t>
      </w:r>
    </w:p>
    <w:p>
      <w:pPr>
        <w:pStyle w:val="LLetteredList"/>
        <w:numPr>
          <w:ilvl w:val="1"/>
          <w:numId w:val="5"/>
        </w:numPr>
        <w:spacing w:lineRule="atLeast" w:line="240"/>
        <w:ind w:hanging="360" w:start="1280" w:end="0"/>
        <w:rPr>
          <w:strike w:val="false"/>
          <w:dstrike w:val="false"/>
          <w:u w:val="single"/>
        </w:rPr>
      </w:pPr>
      <w:r>
        <w:rPr>
          <w:strike w:val="false"/>
          <w:dstrike w:val="false"/>
          <w:u w:val="single"/>
        </w:rPr>
        <w:t xml:space="preserve">For all other frames:  </w:t>
      </w:r>
      <w:r>
        <w:rPr>
          <w:caps w:val="false"/>
          <w:smallCaps w:val="false"/>
          <w:strike w:val="false"/>
          <w:dstrike w:val="false"/>
          <w:w w:val="100"/>
          <w:u w:val="single"/>
        </w:rPr>
        <w:t>a concatenation of Address 2 from the MAC header of the MPDU and the non-negative integer inserted into the MME IPN/BIPN field.</w:t>
      </w:r>
    </w:p>
    <w:p>
      <w:pPr>
        <w:pStyle w:val="LLetteredList"/>
        <w:numPr>
          <w:ilvl w:val="0"/>
          <w:numId w:val="5"/>
        </w:numPr>
        <w:suppressAutoHyphens w:val="false"/>
        <w:spacing w:lineRule="atLeast" w:line="240" w:before="40" w:after="40"/>
        <w:ind w:hanging="360" w:start="920" w:end="0"/>
        <w:rPr>
          <w:caps w:val="false"/>
          <w:smallCaps w:val="false"/>
          <w:w w:val="100"/>
        </w:rPr>
      </w:pPr>
      <w:r>
        <w:rPr>
          <w:caps w:val="false"/>
          <w:smallCaps w:val="false"/>
          <w:w w:val="100"/>
        </w:rPr>
        <w:t>Extract and save the received MIC value, and compute a verifier over the concatenation of AAD, the management frame body, with</w:t>
      </w:r>
      <w:r>
        <w:rPr>
          <w:caps w:val="false"/>
          <w:smallCaps w:val="false"/>
          <w:w w:val="100"/>
          <w:u w:val="single"/>
        </w:rPr>
        <w:t>:</w:t>
      </w:r>
      <w:r>
        <w:rPr>
          <w:caps w:val="false"/>
          <w:smallCaps w:val="false"/>
          <w:strike/>
          <w:w w:val="100"/>
        </w:rPr>
        <w:t xml:space="preserve"> the Timestamp field masked out if it is a protected Beacon frame,</w:t>
      </w:r>
    </w:p>
    <w:p>
      <w:pPr>
        <w:pStyle w:val="LLetteredList"/>
        <w:numPr>
          <w:ilvl w:val="1"/>
          <w:numId w:val="5"/>
        </w:numPr>
        <w:spacing w:lineRule="atLeast" w:line="240"/>
        <w:ind w:hanging="360" w:start="1280" w:end="0"/>
        <w:rPr>
          <w:strike w:val="false"/>
          <w:dstrike w:val="false"/>
          <w:u w:val="single"/>
        </w:rPr>
      </w:pPr>
      <w:r>
        <w:rPr>
          <w:strike w:val="false"/>
          <w:dstrike w:val="false"/>
          <w:u w:val="single"/>
        </w:rPr>
        <w:t>For protected Beacon frames: the Timestamp field masked out</w:t>
      </w:r>
    </w:p>
    <w:p>
      <w:pPr>
        <w:pStyle w:val="LLetteredList"/>
        <w:numPr>
          <w:ilvl w:val="1"/>
          <w:numId w:val="5"/>
        </w:numPr>
        <w:spacing w:lineRule="atLeast" w:line="240"/>
        <w:ind w:hanging="360" w:start="1280" w:end="0"/>
        <w:rPr>
          <w:caps w:val="false"/>
          <w:smallCaps w:val="false"/>
          <w:strike w:val="false"/>
          <w:dstrike w:val="false"/>
          <w:w w:val="100"/>
          <w:u w:val="single"/>
        </w:rPr>
      </w:pPr>
      <w:r>
        <w:rPr>
          <w:caps w:val="false"/>
          <w:smallCaps w:val="false"/>
          <w:strike w:val="false"/>
          <w:dstrike w:val="false"/>
          <w:w w:val="100"/>
          <w:u w:val="single"/>
        </w:rPr>
        <w:t>For S1G Beacon Frames: the TSF Completion field of the S1G Beacon Compatibility element masked out if the element is present,</w:t>
      </w:r>
    </w:p>
    <w:p>
      <w:pPr>
        <w:pStyle w:val="LLetteredList"/>
        <w:numPr>
          <w:ilvl w:val="0"/>
          <w:numId w:val="0"/>
        </w:numPr>
        <w:suppressAutoHyphens w:val="false"/>
        <w:spacing w:lineRule="atLeast" w:line="240" w:before="40" w:after="40"/>
        <w:ind w:hanging="0" w:start="920" w:end="0"/>
        <w:rPr>
          <w:caps w:val="false"/>
          <w:smallCaps w:val="false"/>
          <w:w w:val="100"/>
        </w:rPr>
      </w:pPr>
      <w:r>
        <w:rPr>
          <w:caps w:val="false"/>
          <w:smallCaps w:val="false"/>
          <w:w w:val="100"/>
        </w:rPr>
        <w:t>and MME, with the MIC field masked out in the MME. For BIP-CMAC-128, the integrity value is 64 bits and is computed using AES-128-CMAC; for BIP-CMAC-256, the integrity value is 128 bits and is computed using AES-256-CMAC; for BIP-GMAC-128, the integrity value is 128 bits and is computed using AES-128-GMAC; and, for BIP-GMAC-256, the integrity value is 128 bits and is computed using AES-256-GMAC. If the result does not match the received MIC value, then the receiver shall discard the frame, increment the dot11RSNAStatsBIPMICErrors counter by 1, and terminate BIP processing for this reception.</w:t>
      </w:r>
    </w:p>
    <w:p>
      <w:pPr>
        <w:pStyle w:val="LLetteredList"/>
        <w:numPr>
          <w:ilvl w:val="0"/>
          <w:numId w:val="5"/>
        </w:numPr>
        <w:spacing w:lineRule="atLeast" w:line="240" w:before="40" w:after="40"/>
        <w:ind w:hanging="360" w:start="920" w:end="0"/>
        <w:rPr>
          <w:caps w:val="false"/>
          <w:smallCaps w:val="false"/>
          <w:w w:val="100"/>
        </w:rPr>
      </w:pPr>
      <w:r>
        <w:rPr>
          <w:caps w:val="false"/>
          <w:smallCaps w:val="false"/>
          <w:w w:val="100"/>
        </w:rPr>
        <w:t>If the frame is a robust Management frame but not a GQMF, update the replay counter for the IGTK identified by the MME Key ID field with the value of the MME IPN/BIPN field.</w:t>
      </w:r>
    </w:p>
    <w:p>
      <w:pPr>
        <w:pStyle w:val="LLetteredList"/>
        <w:numPr>
          <w:ilvl w:val="0"/>
          <w:numId w:val="5"/>
        </w:numPr>
        <w:spacing w:lineRule="atLeast" w:line="240" w:before="40" w:after="40"/>
        <w:ind w:hanging="360" w:start="920" w:end="0"/>
        <w:rPr>
          <w:caps w:val="false"/>
          <w:smallCaps w:val="false"/>
          <w:w w:val="100"/>
        </w:rPr>
      </w:pPr>
      <w:r>
        <w:rPr>
          <w:caps w:val="false"/>
          <w:smallCaps w:val="false"/>
          <w:w w:val="100"/>
        </w:rPr>
        <w:t>If the frame is a robust Management frame and also a GQMF, update the replay counter for the IGTK identified by the MME Key ID field and the AC represented by the value of the ACI subfield of the received frame with the value of the MME IPN/BIPN field.</w:t>
      </w:r>
    </w:p>
    <w:p>
      <w:pPr>
        <w:pStyle w:val="LLetteredList"/>
        <w:numPr>
          <w:ilvl w:val="0"/>
          <w:numId w:val="5"/>
        </w:numPr>
        <w:spacing w:lineRule="atLeast" w:line="240" w:before="40" w:after="40"/>
        <w:ind w:hanging="360" w:start="920" w:end="0"/>
        <w:rPr>
          <w:caps w:val="false"/>
          <w:smallCaps w:val="false"/>
          <w:w w:val="100"/>
        </w:rPr>
      </w:pPr>
      <w:r>
        <w:rPr>
          <w:caps w:val="false"/>
          <w:smallCaps w:val="false"/>
          <w:w w:val="100"/>
        </w:rPr>
        <w:t>If the frame is a protected Beacon frame</w:t>
      </w:r>
      <w:r>
        <w:rPr>
          <w:caps w:val="false"/>
          <w:smallCaps w:val="false"/>
          <w:w w:val="100"/>
          <w:u w:val="single"/>
        </w:rPr>
        <w:t xml:space="preserve"> or a protected S1G Beacon frame</w:t>
      </w:r>
      <w:r>
        <w:rPr>
          <w:caps w:val="false"/>
          <w:smallCaps w:val="false"/>
          <w:w w:val="100"/>
        </w:rPr>
        <w:t>, update the replay counter for the BIGTK identified by the MME Key ID field with the value of the MME IPN/BIPN field.</w:t>
      </w:r>
    </w:p>
    <w:p>
      <w:pPr>
        <w:pStyle w:val="TText"/>
        <w:suppressAutoHyphens w:val="false"/>
        <w:spacing w:lineRule="atLeast" w:line="240"/>
        <w:ind w:hanging="0" w:start="0" w:end="0"/>
        <w:rPr>
          <w:u w:val="single"/>
        </w:rPr>
      </w:pPr>
      <w:r>
        <w:rPr>
          <w:caps w:val="false"/>
          <w:smallCaps w:val="false"/>
          <w:spacing w:val="-2"/>
          <w:w w:val="100"/>
          <w:u w:val="single"/>
        </w:rPr>
        <w:t>When an S1G STA with management frame protection negotiated receives a protected S1G Beacon frame that is using BCE, it shall</w:t>
      </w:r>
    </w:p>
    <w:p>
      <w:pPr>
        <w:pStyle w:val="LLetteredList"/>
        <w:numPr>
          <w:ilvl w:val="0"/>
          <w:numId w:val="14"/>
        </w:numPr>
        <w:suppressAutoHyphens w:val="false"/>
        <w:spacing w:lineRule="atLeast" w:line="240" w:before="40" w:after="40"/>
        <w:ind w:hanging="360" w:start="920" w:end="0"/>
        <w:rPr>
          <w:u w:val="single"/>
        </w:rPr>
      </w:pPr>
      <w:r>
        <w:rPr>
          <w:caps w:val="false"/>
          <w:smallCaps w:val="false"/>
          <w:w w:val="100"/>
          <w:u w:val="single"/>
        </w:rPr>
        <w:t xml:space="preserve">Identify the appropriate BIGTK and associated state based on </w:t>
      </w:r>
      <w:r>
        <w:rPr>
          <w:caps w:val="false"/>
          <w:smallCaps w:val="false"/>
          <w:color w:val="auto"/>
          <w:w w:val="100"/>
          <w:u w:val="single"/>
        </w:rPr>
        <w:t>the BIGTK Key ID Index subfield in the S1G Beacon Compatibility element, if present (see 9.4.2.195 (S1G Beacon Compatibility element)). If the S1G Beacon Compatibility element is not present, the BIGTK used to check the frame shall be the same BIGTK used in the most recently received protected S1G Beacon frame that contained an S1G Beacon Compatibility element. If the Encapsulation Mode for the key is Normal, the receiver shall silently discard the frame and and optionally transmit to the AP a WNM Notification Request frame to report beacon protection failure.</w:t>
      </w:r>
    </w:p>
    <w:p>
      <w:pPr>
        <w:pStyle w:val="LLetteredList"/>
        <w:numPr>
          <w:ilvl w:val="0"/>
          <w:numId w:val="5"/>
        </w:numPr>
        <w:suppressAutoHyphens w:val="false"/>
        <w:spacing w:lineRule="atLeast" w:line="240" w:before="40" w:after="40"/>
        <w:ind w:hanging="360" w:start="920" w:end="0"/>
        <w:rPr>
          <w:caps w:val="false"/>
          <w:smallCaps w:val="false"/>
          <w:w w:val="100"/>
          <w:u w:val="single"/>
        </w:rPr>
      </w:pPr>
      <w:r>
        <w:rPr>
          <w:caps w:val="false"/>
          <w:smallCaps w:val="false"/>
          <w:w w:val="100"/>
          <w:u w:val="single"/>
        </w:rPr>
        <w:t>If no such BIGTK exists, terminate BIP processing for this reception, and</w:t>
      </w:r>
    </w:p>
    <w:p>
      <w:pPr>
        <w:pStyle w:val="Ll1NumberedList2"/>
        <w:numPr>
          <w:ilvl w:val="1"/>
          <w:numId w:val="5"/>
        </w:numPr>
        <w:spacing w:lineRule="atLeast" w:line="240" w:before="40" w:after="40"/>
        <w:ind w:hanging="360" w:start="1280" w:end="0"/>
        <w:rPr>
          <w:caps w:val="false"/>
          <w:smallCaps w:val="false"/>
          <w:w w:val="100"/>
          <w:u w:val="single"/>
        </w:rPr>
      </w:pPr>
      <w:r>
        <w:rPr>
          <w:caps w:val="false"/>
          <w:smallCaps w:val="false"/>
          <w:w w:val="100"/>
          <w:u w:val="single"/>
        </w:rPr>
        <w:t>If beacon protection is enabled at the non-AP STA, silently discard the frame and optionally transmit to the AP a WNM Notification Request frame to report beacon protection failure.</w:t>
      </w:r>
    </w:p>
    <w:p>
      <w:pPr>
        <w:pStyle w:val="Ll1NumberedList2"/>
        <w:numPr>
          <w:ilvl w:val="1"/>
          <w:numId w:val="5"/>
        </w:numPr>
        <w:spacing w:lineRule="atLeast" w:line="240" w:before="40" w:after="40"/>
        <w:ind w:hanging="360" w:start="1280" w:end="0"/>
        <w:rPr>
          <w:caps w:val="false"/>
          <w:smallCaps w:val="false"/>
          <w:w w:val="100"/>
          <w:u w:val="single"/>
        </w:rPr>
      </w:pPr>
      <w:r>
        <w:rPr>
          <w:caps w:val="false"/>
          <w:smallCaps w:val="false"/>
          <w:w w:val="100"/>
          <w:u w:val="single"/>
        </w:rPr>
        <w:t>Otherwise, process the frame.</w:t>
      </w:r>
    </w:p>
    <w:p>
      <w:pPr>
        <w:pStyle w:val="L1LetteredList"/>
        <w:numPr>
          <w:ilvl w:val="0"/>
          <w:numId w:val="5"/>
        </w:numPr>
        <w:spacing w:lineRule="atLeast" w:line="240"/>
        <w:ind w:hanging="360" w:start="920" w:end="0"/>
        <w:rPr>
          <w:u w:val="single"/>
        </w:rPr>
      </w:pPr>
      <w:r>
        <w:rPr>
          <w:caps w:val="false"/>
          <w:smallCaps w:val="false"/>
          <w:color w:val="auto"/>
          <w:w w:val="100"/>
          <w:u w:val="single"/>
        </w:rPr>
        <w:t xml:space="preserve">Derive the BIPN using Equation (12-0c) </w:t>
      </w:r>
      <w:r>
        <w:rPr>
          <w:caps w:val="false"/>
          <w:smallCaps w:val="false"/>
          <w:strike w:val="false"/>
          <w:dstrike w:val="false"/>
          <w:color w:val="auto"/>
          <w:spacing w:val="-2"/>
          <w:w w:val="100"/>
          <w:u w:val="single"/>
        </w:rPr>
        <w:t>i</w:t>
      </w:r>
      <w:r>
        <w:rPr>
          <w:caps w:val="false"/>
          <w:smallCaps w:val="false"/>
          <w:strike w:val="false"/>
          <w:dstrike w:val="false"/>
          <w:color w:val="auto"/>
          <w:spacing w:val="-2"/>
          <w:w w:val="100"/>
          <w:position w:val="0"/>
          <w:sz w:val="20"/>
          <w:sz w:val="20"/>
          <w:u w:val="single"/>
          <w:vertAlign w:val="baseline"/>
        </w:rPr>
        <w:t xml:space="preserve">f dot11ShortBeaconInterval is true, </w:t>
      </w:r>
      <w:r>
        <w:rPr>
          <w:caps w:val="false"/>
          <w:smallCaps w:val="false"/>
          <w:color w:val="auto"/>
          <w:w w:val="100"/>
          <w:u w:val="single"/>
        </w:rPr>
        <w:t>or Equation (12-0d) i</w:t>
      </w:r>
      <w:r>
        <w:rPr>
          <w:caps w:val="false"/>
          <w:smallCaps w:val="false"/>
          <w:strike w:val="false"/>
          <w:dstrike w:val="false"/>
          <w:color w:val="auto"/>
          <w:spacing w:val="-2"/>
          <w:w w:val="100"/>
          <w:position w:val="0"/>
          <w:sz w:val="20"/>
          <w:sz w:val="20"/>
          <w:u w:val="single"/>
          <w:vertAlign w:val="baseline"/>
        </w:rPr>
        <w:t>f dot11ShortBeaconInterval is false</w:t>
      </w:r>
      <w:r>
        <w:rPr>
          <w:caps w:val="false"/>
          <w:smallCaps w:val="false"/>
          <w:color w:val="auto"/>
          <w:w w:val="100"/>
          <w:u w:val="single"/>
        </w:rPr>
        <w:t>. For BIP-GMAC-128 and BIP-GMAC-256, the initialization vector passed to GMAC shall be</w:t>
      </w:r>
      <w:r>
        <w:rPr>
          <w:caps w:val="false"/>
          <w:smallCaps w:val="false"/>
          <w:strike w:val="false"/>
          <w:dstrike w:val="false"/>
          <w:color w:val="auto"/>
          <w:w w:val="100"/>
          <w:u w:val="single"/>
        </w:rPr>
        <w:t xml:space="preserve"> a concatenation of the SA field from the MAC header of the MPDU and the BIPN.</w:t>
      </w:r>
    </w:p>
    <w:p>
      <w:pPr>
        <w:pStyle w:val="LLetteredList"/>
        <w:numPr>
          <w:ilvl w:val="0"/>
          <w:numId w:val="5"/>
        </w:numPr>
        <w:spacing w:lineRule="atLeast" w:line="240"/>
        <w:ind w:hanging="360" w:start="920" w:end="0"/>
        <w:rPr>
          <w:u w:val="single"/>
        </w:rPr>
      </w:pPr>
      <w:r>
        <w:rPr>
          <w:caps w:val="false"/>
          <w:smallCaps w:val="false"/>
          <w:strike w:val="false"/>
          <w:dstrike w:val="false"/>
          <w:color w:val="auto"/>
          <w:w w:val="100"/>
          <w:u w:val="single"/>
        </w:rPr>
        <w:t>Perform replay protection on the received frame. The receiver shall compare the derived BIPN to the value of the replay counter for the identified BIGTK. If the integer value from the derived BIPN is less than or equal to the replay counter value for this BIGTK, the receiver shall discard the frame and increment the dot11RSNAStatsCMACReplays counter by 1.</w:t>
      </w:r>
    </w:p>
    <w:p>
      <w:pPr>
        <w:pStyle w:val="Note"/>
        <w:numPr>
          <w:ilvl w:val="0"/>
          <w:numId w:val="0"/>
        </w:numPr>
        <w:ind w:hanging="0" w:start="920"/>
        <w:rPr>
          <w:u w:val="single"/>
        </w:rPr>
      </w:pPr>
      <w:r>
        <w:rPr>
          <w:caps w:val="false"/>
          <w:smallCaps w:val="false"/>
          <w:strike w:val="false"/>
          <w:dstrike w:val="false"/>
          <w:color w:val="auto"/>
          <w:w w:val="100"/>
          <w:u w:val="single"/>
        </w:rPr>
        <w:t>NOTE 2: A STA should synchronize to the TSF prior to processing the first protected S1G Beacon frame using BCE.</w:t>
      </w:r>
    </w:p>
    <w:p>
      <w:pPr>
        <w:pStyle w:val="LLetteredList"/>
        <w:numPr>
          <w:ilvl w:val="0"/>
          <w:numId w:val="5"/>
        </w:numPr>
        <w:suppressAutoHyphens w:val="false"/>
        <w:spacing w:lineRule="atLeast" w:line="240" w:before="40" w:after="40"/>
        <w:ind w:hanging="360" w:start="920" w:end="0"/>
        <w:rPr>
          <w:caps w:val="false"/>
          <w:smallCaps w:val="false"/>
          <w:w w:val="100"/>
          <w:u w:val="single"/>
        </w:rPr>
      </w:pPr>
      <w:r>
        <w:rPr>
          <w:caps w:val="false"/>
          <w:smallCaps w:val="false"/>
          <w:w w:val="100"/>
          <w:u w:val="single"/>
        </w:rPr>
        <w:t>Compute AAD for this Management frame, as specified in 12.5.3.3 (BIP AAD construction).</w:t>
      </w:r>
    </w:p>
    <w:p>
      <w:pPr>
        <w:pStyle w:val="LLetteredList"/>
        <w:numPr>
          <w:ilvl w:val="0"/>
          <w:numId w:val="5"/>
        </w:numPr>
        <w:suppressAutoHyphens w:val="false"/>
        <w:spacing w:lineRule="atLeast" w:line="240" w:before="40" w:after="40"/>
        <w:ind w:hanging="360" w:start="920" w:end="0"/>
        <w:rPr>
          <w:u w:val="single"/>
        </w:rPr>
      </w:pPr>
      <w:r>
        <w:rPr>
          <w:caps w:val="false"/>
          <w:smallCaps w:val="false"/>
          <w:w w:val="100"/>
          <w:u w:val="single"/>
        </w:rPr>
        <w:t xml:space="preserve">Extract and save the received MIC value, and compute a verifier over the concatenation of AAD, the management frame body, </w:t>
      </w:r>
      <w:r>
        <w:rPr>
          <w:caps w:val="false"/>
          <w:smallCaps w:val="false"/>
          <w:strike w:val="false"/>
          <w:dstrike w:val="false"/>
          <w:w w:val="100"/>
          <w:u w:val="single"/>
        </w:rPr>
        <w:t xml:space="preserve">with the TSF Completion field of the S1G Beacon Compatibility element masked out if the element is present, </w:t>
      </w:r>
      <w:r>
        <w:rPr>
          <w:caps w:val="false"/>
          <w:smallCaps w:val="false"/>
          <w:w w:val="100"/>
          <w:u w:val="single"/>
        </w:rPr>
        <w:t>and MIC element, with the MIC field masked out in the MIC element. For BIP-CMAC-128, the integrity value is 64 bits and is computed using AES-128-CMAC; for BIP-CMAC-256, the integrity value is 128 bits and is computed using AES-256-CMAC; for BIP-GMAC-128, the integrity value is 128 bits and is computed using AES-128-GMAC; and, for BIP-GMAC-256, the integrity value is 128 bits and is computed using AES-256-GMAC. If the result does not match the received MIC value, then the receiver shall discard the frame, increment the dot11RSNAStatsBIPMICErrors counter by 1, and terminate BIP processing for this reception.</w:t>
      </w:r>
    </w:p>
    <w:p>
      <w:pPr>
        <w:pStyle w:val="TText"/>
        <w:numPr>
          <w:ilvl w:val="0"/>
          <w:numId w:val="0"/>
        </w:numPr>
        <w:ind w:hanging="0" w:start="920"/>
        <w:rPr/>
      </w:pPr>
      <w:r>
        <w:rPr/>
      </w:r>
    </w:p>
    <w:p>
      <w:pPr>
        <w:pStyle w:val="H41111"/>
        <w:rPr/>
      </w:pPr>
      <w:r>
        <w:rPr/>
        <w:t>12.6.21 Protection of Beacon frames</w:t>
      </w:r>
    </w:p>
    <w:p>
      <w:pPr>
        <w:pStyle w:val="Normal"/>
        <w:rPr>
          <w:b/>
          <w:bCs/>
          <w:i/>
          <w:i/>
          <w:iCs/>
        </w:rPr>
      </w:pPr>
      <w:r>
        <w:rPr>
          <w:b/>
          <w:bCs/>
          <w:i/>
          <w:iCs/>
        </w:rPr>
        <w:t>Change the first paragraph as shown:</w:t>
      </w:r>
    </w:p>
    <w:p>
      <w:pPr>
        <w:pStyle w:val="TText"/>
        <w:rPr/>
      </w:pPr>
      <w:r>
        <w:rPr/>
        <w:t>An AP shall transmit protected Beacon frames if beacon protection is enabled. Protected Beacon frames cannot be validated until a BIGTKSA has been established. If a BIGTKSA exists, the non-AP STA shall validate the MME</w:t>
      </w:r>
      <w:r>
        <w:rPr>
          <w:u w:val="single"/>
        </w:rPr>
        <w:t xml:space="preserve"> or MIC element</w:t>
      </w:r>
      <w:r>
        <w:rPr/>
        <w:t xml:space="preserve"> in received Beacon frames.</w:t>
      </w:r>
    </w:p>
    <w:p>
      <w:pPr>
        <w:pStyle w:val="TText"/>
        <w:rPr/>
      </w:pPr>
      <w:r>
        <w:rPr/>
      </w:r>
    </w:p>
    <w:p>
      <w:pPr>
        <w:pStyle w:val="H41111"/>
        <w:rPr/>
      </w:pPr>
      <w:r>
        <w:rPr/>
        <w:t>12.7.2 EAPOL-Key frames</w:t>
      </w:r>
    </w:p>
    <w:p>
      <w:pPr>
        <w:pStyle w:val="Normal"/>
        <w:rPr>
          <w:b/>
          <w:bCs/>
          <w:i/>
          <w:i/>
          <w:iCs/>
        </w:rPr>
      </w:pPr>
      <w:r>
        <w:rPr>
          <w:b/>
          <w:bCs/>
          <w:i/>
          <w:iCs/>
        </w:rPr>
        <w:t>Change the BIGTK KDE description as shown:</w:t>
      </w:r>
    </w:p>
    <w:p>
      <w:pPr>
        <w:pStyle w:val="TText"/>
        <w:rPr/>
      </w:pPr>
      <w:r>
        <w:rPr/>
        <w:t>The Key ID field contains the BIGTK key ID.</w:t>
      </w:r>
    </w:p>
    <w:p>
      <w:pPr>
        <w:pStyle w:val="TText"/>
        <w:rPr/>
      </w:pPr>
      <w:r>
        <w:rPr/>
        <w:t xml:space="preserve">The BIPN field contains the BIPN that was </w:t>
      </w:r>
      <w:r>
        <w:rPr>
          <w:strike/>
        </w:rPr>
        <w:t>carried in the MME of</w:t>
      </w:r>
      <w:r>
        <w:rPr>
          <w:strike w:val="false"/>
          <w:dstrike w:val="false"/>
          <w:u w:val="single"/>
        </w:rPr>
        <w:t>used to protect</w:t>
      </w:r>
      <w:r>
        <w:rPr/>
        <w:t xml:space="preserve"> the last protected Beacon frame and it is used by the receiver as the initial value for the BIP replay counter for the BIGTK.</w:t>
      </w:r>
    </w:p>
    <w:p>
      <w:pPr>
        <w:pStyle w:val="TText"/>
        <w:rPr/>
      </w:pPr>
      <w:r>
        <w:rPr/>
        <w:t>The BIGTK field contains the BIGTK.</w:t>
      </w:r>
    </w:p>
    <w:p>
      <w:pPr>
        <w:pStyle w:val="TText"/>
        <w:rPr/>
      </w:pPr>
      <w:r>
        <w:rPr/>
      </w:r>
    </w:p>
    <w:p>
      <w:pPr>
        <w:pStyle w:val="H41111"/>
        <w:rPr/>
      </w:pPr>
      <w:r>
        <w:rPr/>
        <w:t>B.4.4.1 MAC protocol capabilities</w:t>
      </w:r>
    </w:p>
    <w:p>
      <w:pPr>
        <w:pStyle w:val="Normal"/>
        <w:rPr>
          <w:b/>
          <w:bCs/>
          <w:i/>
          <w:i/>
          <w:iCs/>
          <w:color w:val="auto"/>
        </w:rPr>
      </w:pPr>
      <w:r>
        <w:rPr>
          <w:b/>
          <w:bCs/>
          <w:i/>
          <w:iCs/>
          <w:color w:val="auto"/>
        </w:rPr>
        <w:t>Add two new entries to the MAC Protocol Capabilities table as shown:</w:t>
      </w:r>
    </w:p>
    <w:p>
      <w:pPr>
        <w:pStyle w:val="Normal"/>
        <w:rPr>
          <w:b/>
          <w:bCs/>
        </w:rPr>
      </w:pPr>
      <w:r>
        <w:rPr>
          <w:b/>
          <w:bCs/>
        </w:rPr>
      </w:r>
    </w:p>
    <w:tbl>
      <w:tblPr>
        <w:tblW w:w="9586" w:type="dxa"/>
        <w:jc w:val="center"/>
        <w:tblInd w:w="0" w:type="dxa"/>
        <w:tblLayout w:type="fixed"/>
        <w:tblCellMar>
          <w:top w:w="120" w:type="dxa"/>
          <w:start w:w="120" w:type="dxa"/>
          <w:bottom w:w="80" w:type="dxa"/>
          <w:end w:w="120" w:type="dxa"/>
        </w:tblCellMar>
      </w:tblPr>
      <w:tblGrid>
        <w:gridCol w:w="1744"/>
        <w:gridCol w:w="2155"/>
        <w:gridCol w:w="2427"/>
        <w:gridCol w:w="1623"/>
        <w:gridCol w:w="1637"/>
      </w:tblGrid>
      <w:tr>
        <w:trPr/>
        <w:tc>
          <w:tcPr>
            <w:tcW w:w="1744" w:type="dxa"/>
            <w:tcBorders>
              <w:top w:val="single" w:sz="2" w:space="0" w:color="000000"/>
              <w:start w:val="single" w:sz="10" w:space="0" w:color="000000"/>
              <w:end w:val="single" w:sz="2" w:space="0" w:color="000000"/>
            </w:tcBorders>
          </w:tcPr>
          <w:p>
            <w:pPr>
              <w:pStyle w:val="TableText"/>
              <w:rPr>
                <w:w w:val="100"/>
              </w:rPr>
            </w:pPr>
            <w:r>
              <w:rPr>
                <w:w w:val="100"/>
              </w:rPr>
              <w:t xml:space="preserve">*PC34.1.10 </w:t>
            </w:r>
          </w:p>
        </w:tc>
        <w:tc>
          <w:tcPr>
            <w:tcW w:w="2155" w:type="dxa"/>
            <w:tcBorders>
              <w:top w:val="single" w:sz="2" w:space="0" w:color="000000"/>
              <w:start w:val="single" w:sz="2" w:space="0" w:color="000000"/>
              <w:end w:val="single" w:sz="2" w:space="0" w:color="000000"/>
            </w:tcBorders>
          </w:tcPr>
          <w:p>
            <w:pPr>
              <w:pStyle w:val="TableText"/>
              <w:ind w:hanging="100" w:start="100"/>
              <w:rPr>
                <w:w w:val="100"/>
              </w:rPr>
            </w:pPr>
            <w:r>
              <w:rPr>
                <w:w w:val="100"/>
              </w:rPr>
              <w:t>Management frame protection</w:t>
            </w:r>
          </w:p>
        </w:tc>
        <w:tc>
          <w:tcPr>
            <w:tcW w:w="2427" w:type="dxa"/>
            <w:tcBorders>
              <w:top w:val="single" w:sz="2" w:space="0" w:color="000000"/>
              <w:start w:val="single" w:sz="2" w:space="0" w:color="000000"/>
              <w:end w:val="single" w:sz="2" w:space="0" w:color="000000"/>
            </w:tcBorders>
          </w:tcPr>
          <w:p>
            <w:pPr>
              <w:pStyle w:val="TableText"/>
              <w:rPr/>
            </w:pPr>
            <w:r>
              <w:rPr>
                <w:w w:val="100"/>
              </w:rPr>
              <w:t>9.2.4.1.10 (+HTC subfield), 9.4.1.11 (Action field), 9.4.2.23.4 (RSN capabilities), 9.6.3 (QoS Action frame details), 12.3.4.1.2 (TKIP cryptographic encapsulation), 12.3.4.1.3 (TKIP decapsulation), 12.3.4.2 (TKIP MPDU formats), 12.5.2.3.3 (Construct AAD), 12.5.2.3.7 (CCM originator processing), 12.5.2.4.2 (CCM recipient processing), 12.5.2.4.4 (PN and replay detection), 12.5.4.4.4 (PN and replay detection), 12.6.3 (RSNA policy selection in an infrastructure BSS)</w:t>
            </w:r>
          </w:p>
        </w:tc>
        <w:tc>
          <w:tcPr>
            <w:tcW w:w="1623" w:type="dxa"/>
            <w:tcBorders>
              <w:top w:val="single" w:sz="2" w:space="0" w:color="000000"/>
              <w:start w:val="single" w:sz="2" w:space="0" w:color="000000"/>
              <w:end w:val="single" w:sz="2" w:space="0" w:color="000000"/>
            </w:tcBorders>
          </w:tcPr>
          <w:p>
            <w:pPr>
              <w:pStyle w:val="TableText"/>
              <w:rPr>
                <w:w w:val="100"/>
              </w:rPr>
            </w:pPr>
            <w:r>
              <w:rPr>
                <w:w w:val="100"/>
              </w:rPr>
              <w:t>PC34:O</w:t>
            </w:r>
          </w:p>
        </w:tc>
        <w:tc>
          <w:tcPr>
            <w:tcW w:w="1637" w:type="dxa"/>
            <w:tcBorders>
              <w:top w:val="single" w:sz="2" w:space="0" w:color="000000"/>
              <w:start w:val="single" w:sz="2" w:space="0" w:color="000000"/>
              <w:end w:val="single" w:sz="10" w:space="0" w:color="000000"/>
            </w:tcBorders>
          </w:tcPr>
          <w:p>
            <w:pPr>
              <w:pStyle w:val="TableText"/>
              <w:rPr>
                <w:rFonts w:ascii="Wingdings" w:hAnsi="Wingdings" w:cs="Wingdings"/>
                <w:w w:val="100"/>
                <w:sz w:val="17"/>
                <w:szCs w:val="17"/>
              </w:rPr>
            </w:pPr>
            <w:r>
              <w:rPr>
                <w:w w:val="100"/>
              </w:rPr>
              <w:t xml:space="preserve">Yes </w:t>
            </w:r>
            <w:r>
              <w:rPr>
                <w:rFonts w:cs="Wingdings" w:ascii="Wingdings" w:hAnsi="Wingdings"/>
                <w:w w:val="100"/>
              </w:rPr>
              <w:t>o</w:t>
            </w:r>
            <w:r>
              <w:rPr>
                <w:w w:val="100"/>
              </w:rPr>
              <w:t xml:space="preserve"> No </w:t>
            </w:r>
            <w:r>
              <w:rPr>
                <w:rFonts w:cs="Wingdings" w:ascii="Wingdings" w:hAnsi="Wingdings"/>
                <w:w w:val="100"/>
              </w:rPr>
              <w:t>o</w:t>
            </w:r>
            <w:r>
              <w:rPr>
                <w:w w:val="100"/>
                <w:sz w:val="17"/>
                <w:szCs w:val="17"/>
              </w:rPr>
              <w:t xml:space="preserve"> N/A </w:t>
            </w:r>
            <w:r>
              <w:rPr>
                <w:rFonts w:cs="Wingdings" w:ascii="Wingdings" w:hAnsi="Wingdings"/>
                <w:w w:val="100"/>
                <w:sz w:val="17"/>
                <w:szCs w:val="17"/>
              </w:rPr>
              <w:t>o</w:t>
            </w:r>
          </w:p>
          <w:p>
            <w:pPr>
              <w:pStyle w:val="Body"/>
              <w:rPr/>
            </w:pPr>
            <w:r>
              <w:rPr/>
            </w:r>
          </w:p>
        </w:tc>
      </w:tr>
      <w:tr>
        <w:trPr/>
        <w:tc>
          <w:tcPr>
            <w:tcW w:w="1744" w:type="dxa"/>
            <w:tcBorders>
              <w:start w:val="single" w:sz="10" w:space="0" w:color="000000"/>
              <w:bottom w:val="single" w:sz="2" w:space="0" w:color="000000"/>
              <w:end w:val="single" w:sz="2" w:space="0" w:color="000000"/>
            </w:tcBorders>
          </w:tcPr>
          <w:p>
            <w:pPr>
              <w:pStyle w:val="TableText"/>
              <w:rPr>
                <w:w w:val="100"/>
              </w:rPr>
            </w:pPr>
            <w:r>
              <w:rPr>
                <w:w w:val="100"/>
              </w:rPr>
              <w:t xml:space="preserve">*PC34.1.10.1 </w:t>
            </w:r>
          </w:p>
        </w:tc>
        <w:tc>
          <w:tcPr>
            <w:tcW w:w="2155" w:type="dxa"/>
            <w:tcBorders>
              <w:start w:val="single" w:sz="2" w:space="0" w:color="000000"/>
              <w:bottom w:val="single" w:sz="2" w:space="0" w:color="000000"/>
              <w:end w:val="single" w:sz="2" w:space="0" w:color="000000"/>
            </w:tcBorders>
          </w:tcPr>
          <w:p>
            <w:pPr>
              <w:pStyle w:val="TableText"/>
              <w:ind w:hanging="100" w:start="100"/>
              <w:rPr>
                <w:w w:val="100"/>
              </w:rPr>
            </w:pPr>
            <w:r>
              <w:rPr>
                <w:w w:val="100"/>
              </w:rPr>
              <w:t>BIP</w:t>
            </w:r>
          </w:p>
        </w:tc>
        <w:tc>
          <w:tcPr>
            <w:tcW w:w="2427" w:type="dxa"/>
            <w:tcBorders>
              <w:start w:val="single" w:sz="2" w:space="0" w:color="000000"/>
              <w:bottom w:val="single" w:sz="2" w:space="0" w:color="000000"/>
              <w:end w:val="single" w:sz="2" w:space="0" w:color="000000"/>
            </w:tcBorders>
          </w:tcPr>
          <w:p>
            <w:pPr>
              <w:pStyle w:val="TableText"/>
              <w:rPr>
                <w:w w:val="100"/>
              </w:rPr>
            </w:pPr>
            <w:r>
              <w:rPr>
                <w:w w:val="100"/>
              </w:rPr>
              <w:t>Clause 11 (MLME), 12.5.3 (Broadcast/multicast integrity protocol (BIP))</w:t>
            </w:r>
          </w:p>
        </w:tc>
        <w:tc>
          <w:tcPr>
            <w:tcW w:w="1623" w:type="dxa"/>
            <w:tcBorders>
              <w:start w:val="single" w:sz="2" w:space="0" w:color="000000"/>
              <w:bottom w:val="single" w:sz="2" w:space="0" w:color="000000"/>
              <w:end w:val="single" w:sz="2" w:space="0" w:color="000000"/>
            </w:tcBorders>
          </w:tcPr>
          <w:p>
            <w:pPr>
              <w:pStyle w:val="TableText"/>
              <w:rPr>
                <w:w w:val="100"/>
              </w:rPr>
            </w:pPr>
            <w:r>
              <w:rPr>
                <w:w w:val="100"/>
              </w:rPr>
              <w:t>PC34.1.10:M</w:t>
            </w:r>
          </w:p>
        </w:tc>
        <w:tc>
          <w:tcPr>
            <w:tcW w:w="1637" w:type="dxa"/>
            <w:tcBorders>
              <w:start w:val="single" w:sz="2" w:space="0" w:color="000000"/>
              <w:bottom w:val="single" w:sz="2" w:space="0" w:color="000000"/>
              <w:end w:val="single" w:sz="10" w:space="0" w:color="000000"/>
            </w:tcBorders>
          </w:tcPr>
          <w:p>
            <w:pPr>
              <w:pStyle w:val="TableText"/>
              <w:rPr/>
            </w:pPr>
            <w:r>
              <w:rPr>
                <w:w w:val="100"/>
              </w:rPr>
              <w:t xml:space="preserve">Yes </w:t>
            </w:r>
            <w:r>
              <w:rPr>
                <w:rFonts w:cs="Wingdings" w:ascii="Wingdings" w:hAnsi="Wingdings"/>
                <w:w w:val="100"/>
              </w:rPr>
              <w:t>o</w:t>
            </w:r>
            <w:r>
              <w:rPr>
                <w:w w:val="100"/>
              </w:rPr>
              <w:t xml:space="preserve"> No </w:t>
            </w:r>
            <w:r>
              <w:rPr>
                <w:rFonts w:cs="Wingdings" w:ascii="Wingdings" w:hAnsi="Wingdings"/>
                <w:w w:val="100"/>
              </w:rPr>
              <w:t>o</w:t>
            </w:r>
            <w:r>
              <w:rPr>
                <w:w w:val="100"/>
                <w:sz w:val="17"/>
                <w:szCs w:val="17"/>
              </w:rPr>
              <w:t xml:space="preserve"> N/A </w:t>
            </w:r>
            <w:r>
              <w:rPr>
                <w:rFonts w:cs="Wingdings" w:ascii="Wingdings" w:hAnsi="Wingdings"/>
                <w:w w:val="100"/>
                <w:sz w:val="17"/>
                <w:szCs w:val="17"/>
              </w:rPr>
              <w:t>o</w:t>
            </w:r>
          </w:p>
        </w:tc>
      </w:tr>
      <w:tr>
        <w:trPr/>
        <w:tc>
          <w:tcPr>
            <w:tcW w:w="1744" w:type="dxa"/>
            <w:tcBorders>
              <w:top w:val="single" w:sz="2" w:space="0" w:color="000000"/>
              <w:start w:val="single" w:sz="10" w:space="0" w:color="000000"/>
              <w:bottom w:val="single" w:sz="2" w:space="0" w:color="000000"/>
              <w:end w:val="single" w:sz="2" w:space="0" w:color="000000"/>
            </w:tcBorders>
          </w:tcPr>
          <w:p>
            <w:pPr>
              <w:pStyle w:val="TableText"/>
              <w:rPr>
                <w:w w:val="100"/>
              </w:rPr>
            </w:pPr>
            <w:r>
              <w:rPr>
                <w:w w:val="100"/>
              </w:rPr>
              <w:t xml:space="preserve">PC34.1.10.1.1 </w:t>
            </w:r>
          </w:p>
        </w:tc>
        <w:tc>
          <w:tcPr>
            <w:tcW w:w="2155" w:type="dxa"/>
            <w:tcBorders>
              <w:top w:val="single" w:sz="2" w:space="0" w:color="000000"/>
              <w:start w:val="single" w:sz="2" w:space="0" w:color="000000"/>
              <w:bottom w:val="single" w:sz="2" w:space="0" w:color="000000"/>
              <w:end w:val="single" w:sz="2" w:space="0" w:color="000000"/>
            </w:tcBorders>
          </w:tcPr>
          <w:p>
            <w:pPr>
              <w:pStyle w:val="TableText"/>
              <w:ind w:hanging="100" w:start="100"/>
              <w:rPr>
                <w:spacing w:val="-2"/>
                <w:w w:val="100"/>
              </w:rPr>
            </w:pPr>
            <w:r>
              <w:rPr>
                <w:spacing w:val="-2"/>
                <w:w w:val="100"/>
              </w:rPr>
              <w:t>MME</w:t>
            </w:r>
          </w:p>
        </w:tc>
        <w:tc>
          <w:tcPr>
            <w:tcW w:w="2427" w:type="dxa"/>
            <w:tcBorders>
              <w:top w:val="single" w:sz="2" w:space="0" w:color="000000"/>
              <w:start w:val="single" w:sz="2" w:space="0" w:color="000000"/>
              <w:bottom w:val="single" w:sz="2" w:space="0" w:color="000000"/>
              <w:end w:val="single" w:sz="2" w:space="0" w:color="000000"/>
            </w:tcBorders>
          </w:tcPr>
          <w:p>
            <w:pPr>
              <w:pStyle w:val="TableText"/>
              <w:rPr>
                <w:w w:val="100"/>
              </w:rPr>
            </w:pPr>
            <w:r>
              <w:rPr>
                <w:w w:val="100"/>
              </w:rPr>
              <w:t xml:space="preserve">9.4.2.53 (MME) </w:t>
            </w:r>
          </w:p>
        </w:tc>
        <w:tc>
          <w:tcPr>
            <w:tcW w:w="1623" w:type="dxa"/>
            <w:tcBorders>
              <w:top w:val="single" w:sz="2" w:space="0" w:color="000000"/>
              <w:start w:val="single" w:sz="2" w:space="0" w:color="000000"/>
              <w:bottom w:val="single" w:sz="2" w:space="0" w:color="000000"/>
              <w:end w:val="single" w:sz="2" w:space="0" w:color="000000"/>
            </w:tcBorders>
          </w:tcPr>
          <w:p>
            <w:pPr>
              <w:pStyle w:val="TableText"/>
              <w:rPr>
                <w:w w:val="100"/>
              </w:rPr>
            </w:pPr>
            <w:r>
              <w:rPr>
                <w:w w:val="100"/>
              </w:rPr>
              <w:t>PC34.1.10.1:M</w:t>
            </w:r>
          </w:p>
        </w:tc>
        <w:tc>
          <w:tcPr>
            <w:tcW w:w="1637" w:type="dxa"/>
            <w:tcBorders>
              <w:top w:val="single" w:sz="2" w:space="0" w:color="000000"/>
              <w:start w:val="single" w:sz="2" w:space="0" w:color="000000"/>
              <w:bottom w:val="single" w:sz="2" w:space="0" w:color="000000"/>
              <w:end w:val="single" w:sz="10" w:space="0" w:color="000000"/>
            </w:tcBorders>
          </w:tcPr>
          <w:p>
            <w:pPr>
              <w:pStyle w:val="TableText"/>
              <w:rPr/>
            </w:pPr>
            <w:r>
              <w:rPr>
                <w:w w:val="100"/>
              </w:rPr>
              <w:t xml:space="preserve">Yes </w:t>
            </w:r>
            <w:r>
              <w:rPr>
                <w:rFonts w:cs="Wingdings" w:ascii="Wingdings" w:hAnsi="Wingdings"/>
                <w:w w:val="100"/>
              </w:rPr>
              <w:t>o</w:t>
            </w:r>
            <w:r>
              <w:rPr>
                <w:w w:val="100"/>
              </w:rPr>
              <w:t xml:space="preserve"> No </w:t>
            </w:r>
            <w:r>
              <w:rPr>
                <w:rFonts w:cs="Wingdings" w:ascii="Wingdings" w:hAnsi="Wingdings"/>
                <w:w w:val="100"/>
              </w:rPr>
              <w:t>o</w:t>
            </w:r>
            <w:r>
              <w:rPr>
                <w:w w:val="100"/>
                <w:sz w:val="17"/>
                <w:szCs w:val="17"/>
              </w:rPr>
              <w:t xml:space="preserve"> N/A </w:t>
            </w:r>
            <w:r>
              <w:rPr>
                <w:rFonts w:cs="Wingdings" w:ascii="Wingdings" w:hAnsi="Wingdings"/>
                <w:w w:val="100"/>
                <w:sz w:val="17"/>
                <w:szCs w:val="17"/>
              </w:rPr>
              <w:t>o</w:t>
            </w:r>
          </w:p>
        </w:tc>
      </w:tr>
      <w:tr>
        <w:trPr/>
        <w:tc>
          <w:tcPr>
            <w:tcW w:w="1744" w:type="dxa"/>
            <w:tcBorders>
              <w:top w:val="single" w:sz="10" w:space="0" w:color="000000"/>
              <w:start w:val="single" w:sz="10" w:space="0" w:color="000000"/>
              <w:end w:val="single" w:sz="2" w:space="0" w:color="000000"/>
            </w:tcBorders>
          </w:tcPr>
          <w:p>
            <w:pPr>
              <w:pStyle w:val="TableText"/>
              <w:rPr>
                <w:w w:val="100"/>
              </w:rPr>
            </w:pPr>
            <w:r>
              <w:rPr>
                <w:w w:val="100"/>
              </w:rPr>
              <w:t xml:space="preserve">PC 34.1.10.1.2 </w:t>
            </w:r>
          </w:p>
        </w:tc>
        <w:tc>
          <w:tcPr>
            <w:tcW w:w="2155" w:type="dxa"/>
            <w:tcBorders>
              <w:top w:val="single" w:sz="10" w:space="0" w:color="000000"/>
              <w:start w:val="single" w:sz="2" w:space="0" w:color="000000"/>
              <w:end w:val="single" w:sz="2" w:space="0" w:color="000000"/>
            </w:tcBorders>
          </w:tcPr>
          <w:p>
            <w:pPr>
              <w:pStyle w:val="TableText"/>
              <w:ind w:hanging="100" w:start="100"/>
              <w:rPr>
                <w:w w:val="100"/>
              </w:rPr>
            </w:pPr>
            <w:r>
              <w:rPr>
                <w:w w:val="100"/>
              </w:rPr>
              <w:t>Beacon protection</w:t>
            </w:r>
          </w:p>
        </w:tc>
        <w:tc>
          <w:tcPr>
            <w:tcW w:w="2427" w:type="dxa"/>
            <w:tcBorders>
              <w:top w:val="single" w:sz="10" w:space="0" w:color="000000"/>
              <w:start w:val="single" w:sz="2" w:space="0" w:color="000000"/>
              <w:end w:val="single" w:sz="2" w:space="0" w:color="000000"/>
            </w:tcBorders>
          </w:tcPr>
          <w:p>
            <w:pPr>
              <w:pStyle w:val="TableText"/>
              <w:rPr>
                <w:w w:val="100"/>
              </w:rPr>
            </w:pPr>
            <w:r>
              <w:rPr>
                <w:w w:val="100"/>
              </w:rPr>
              <w:t>11.52 (Beacon frame protection procedures); 12.6.21 (Protection of Beacon frames)</w:t>
            </w:r>
          </w:p>
        </w:tc>
        <w:tc>
          <w:tcPr>
            <w:tcW w:w="1623" w:type="dxa"/>
            <w:tcBorders>
              <w:top w:val="single" w:sz="10" w:space="0" w:color="000000"/>
              <w:start w:val="single" w:sz="2" w:space="0" w:color="000000"/>
              <w:end w:val="single" w:sz="2" w:space="0" w:color="000000"/>
            </w:tcBorders>
          </w:tcPr>
          <w:p>
            <w:pPr>
              <w:pStyle w:val="TableText"/>
              <w:rPr>
                <w:w w:val="100"/>
              </w:rPr>
            </w:pPr>
            <w:r>
              <w:rPr>
                <w:w w:val="100"/>
              </w:rPr>
              <w:t>PC34.1.10.1 AND (CFAP OR CFSTAofAP):O</w:t>
            </w:r>
          </w:p>
        </w:tc>
        <w:tc>
          <w:tcPr>
            <w:tcW w:w="1637" w:type="dxa"/>
            <w:tcBorders>
              <w:top w:val="single" w:sz="10" w:space="0" w:color="000000"/>
              <w:start w:val="single" w:sz="2" w:space="0" w:color="000000"/>
              <w:end w:val="single" w:sz="10" w:space="0" w:color="000000"/>
            </w:tcBorders>
          </w:tcPr>
          <w:p>
            <w:pPr>
              <w:pStyle w:val="TableText"/>
              <w:rPr>
                <w:rFonts w:ascii="Wingdings" w:hAnsi="Wingdings" w:cs="Wingdings"/>
                <w:w w:val="100"/>
                <w:sz w:val="17"/>
                <w:szCs w:val="17"/>
              </w:rPr>
            </w:pPr>
            <w:r>
              <w:rPr>
                <w:w w:val="100"/>
              </w:rPr>
              <w:t xml:space="preserve">Yes </w:t>
            </w:r>
            <w:r>
              <w:rPr>
                <w:rFonts w:cs="Wingdings" w:ascii="Wingdings" w:hAnsi="Wingdings"/>
                <w:w w:val="100"/>
              </w:rPr>
              <w:t>o</w:t>
            </w:r>
            <w:r>
              <w:rPr>
                <w:w w:val="100"/>
              </w:rPr>
              <w:t xml:space="preserve"> No </w:t>
            </w:r>
            <w:r>
              <w:rPr>
                <w:rFonts w:cs="Wingdings" w:ascii="Wingdings" w:hAnsi="Wingdings"/>
                <w:w w:val="100"/>
              </w:rPr>
              <w:t>o</w:t>
            </w:r>
            <w:r>
              <w:rPr>
                <w:w w:val="100"/>
                <w:sz w:val="17"/>
                <w:szCs w:val="17"/>
              </w:rPr>
              <w:t xml:space="preserve"> N/A </w:t>
            </w:r>
            <w:r>
              <w:rPr>
                <w:rFonts w:cs="Wingdings" w:ascii="Wingdings" w:hAnsi="Wingdings"/>
                <w:w w:val="100"/>
                <w:sz w:val="17"/>
                <w:szCs w:val="17"/>
              </w:rPr>
              <w:t>o</w:t>
            </w:r>
          </w:p>
          <w:p>
            <w:pPr>
              <w:pStyle w:val="TableText"/>
              <w:rPr/>
            </w:pPr>
            <w:r>
              <w:rPr/>
            </w:r>
          </w:p>
        </w:tc>
      </w:tr>
      <w:tr>
        <w:trPr/>
        <w:tc>
          <w:tcPr>
            <w:tcW w:w="1744" w:type="dxa"/>
            <w:tcBorders>
              <w:start w:val="single" w:sz="10" w:space="0" w:color="000000"/>
              <w:end w:val="single" w:sz="2" w:space="0" w:color="000000"/>
            </w:tcBorders>
          </w:tcPr>
          <w:p>
            <w:pPr>
              <w:pStyle w:val="TableText"/>
              <w:rPr>
                <w:w w:val="100"/>
                <w:u w:val="single"/>
              </w:rPr>
            </w:pPr>
            <w:r>
              <w:rPr>
                <w:w w:val="100"/>
                <w:u w:val="single"/>
              </w:rPr>
              <w:t>PC 34.1.10.1.2.1</w:t>
            </w:r>
          </w:p>
        </w:tc>
        <w:tc>
          <w:tcPr>
            <w:tcW w:w="2155" w:type="dxa"/>
            <w:tcBorders>
              <w:start w:val="single" w:sz="2" w:space="0" w:color="000000"/>
              <w:end w:val="single" w:sz="2" w:space="0" w:color="000000"/>
            </w:tcBorders>
          </w:tcPr>
          <w:p>
            <w:pPr>
              <w:pStyle w:val="TableText"/>
              <w:rPr>
                <w:w w:val="100"/>
                <w:u w:val="single"/>
              </w:rPr>
            </w:pPr>
            <w:r>
              <w:rPr>
                <w:w w:val="100"/>
                <w:u w:val="single"/>
              </w:rPr>
              <w:t>BIP compact encapsulation</w:t>
            </w:r>
          </w:p>
        </w:tc>
        <w:tc>
          <w:tcPr>
            <w:tcW w:w="2427" w:type="dxa"/>
            <w:tcBorders>
              <w:start w:val="single" w:sz="2" w:space="0" w:color="000000"/>
              <w:end w:val="single" w:sz="2" w:space="0" w:color="000000"/>
            </w:tcBorders>
          </w:tcPr>
          <w:p>
            <w:pPr>
              <w:pStyle w:val="TableText"/>
              <w:rPr>
                <w:w w:val="100"/>
                <w:u w:val="single"/>
              </w:rPr>
            </w:pPr>
            <w:r>
              <w:rPr>
                <w:w w:val="100"/>
                <w:u w:val="single"/>
              </w:rPr>
              <w:t>12.5.3 Broadcast/multicast integrity protocol (BIP)</w:t>
            </w:r>
          </w:p>
        </w:tc>
        <w:tc>
          <w:tcPr>
            <w:tcW w:w="1623" w:type="dxa"/>
            <w:tcBorders>
              <w:start w:val="single" w:sz="2" w:space="0" w:color="000000"/>
              <w:end w:val="single" w:sz="2" w:space="0" w:color="000000"/>
            </w:tcBorders>
          </w:tcPr>
          <w:p>
            <w:pPr>
              <w:pStyle w:val="TableText"/>
              <w:rPr>
                <w:w w:val="100"/>
                <w:u w:val="single"/>
              </w:rPr>
            </w:pPr>
            <w:r>
              <w:rPr>
                <w:w w:val="100"/>
                <w:u w:val="single"/>
              </w:rPr>
              <w:t>PC 34.1.10.1.2 AND CFS1G: O</w:t>
            </w:r>
          </w:p>
        </w:tc>
        <w:tc>
          <w:tcPr>
            <w:tcW w:w="1637" w:type="dxa"/>
            <w:tcBorders>
              <w:start w:val="single" w:sz="2" w:space="0" w:color="000000"/>
              <w:end w:val="single" w:sz="10" w:space="0" w:color="000000"/>
            </w:tcBorders>
          </w:tcPr>
          <w:p>
            <w:pPr>
              <w:pStyle w:val="TableText"/>
              <w:rPr>
                <w:u w:val="single"/>
              </w:rPr>
            </w:pPr>
            <w:r>
              <w:rPr>
                <w:w w:val="100"/>
                <w:u w:val="single"/>
              </w:rPr>
              <w:t xml:space="preserve">Yes </w:t>
            </w:r>
            <w:r>
              <w:rPr>
                <w:rFonts w:cs="Wingdings" w:ascii="Wingdings" w:hAnsi="Wingdings"/>
                <w:w w:val="100"/>
                <w:u w:val="single"/>
              </w:rPr>
              <w:t>o</w:t>
            </w:r>
            <w:r>
              <w:rPr>
                <w:w w:val="100"/>
                <w:u w:val="single"/>
              </w:rPr>
              <w:t xml:space="preserve"> No </w:t>
            </w:r>
            <w:r>
              <w:rPr>
                <w:rFonts w:cs="Wingdings" w:ascii="Wingdings" w:hAnsi="Wingdings"/>
                <w:w w:val="100"/>
                <w:u w:val="single"/>
              </w:rPr>
              <w:t>o</w:t>
            </w:r>
            <w:r>
              <w:rPr>
                <w:w w:val="100"/>
                <w:sz w:val="17"/>
                <w:szCs w:val="17"/>
                <w:u w:val="single"/>
              </w:rPr>
              <w:t xml:space="preserve"> N/A </w:t>
            </w:r>
            <w:r>
              <w:rPr>
                <w:rFonts w:cs="Wingdings" w:ascii="Wingdings" w:hAnsi="Wingdings"/>
                <w:w w:val="100"/>
                <w:sz w:val="17"/>
                <w:szCs w:val="17"/>
                <w:u w:val="single"/>
              </w:rPr>
              <w:t>o</w:t>
            </w:r>
          </w:p>
          <w:p>
            <w:pPr>
              <w:pStyle w:val="TableText"/>
              <w:rPr>
                <w:w w:val="100"/>
                <w:u w:val="single"/>
              </w:rPr>
            </w:pPr>
            <w:r>
              <w:rPr>
                <w:w w:val="100"/>
                <w:u w:val="single"/>
              </w:rPr>
            </w:r>
          </w:p>
        </w:tc>
      </w:tr>
      <w:tr>
        <w:trPr/>
        <w:tc>
          <w:tcPr>
            <w:tcW w:w="1744" w:type="dxa"/>
            <w:tcBorders>
              <w:start w:val="single" w:sz="10" w:space="0" w:color="000000"/>
              <w:end w:val="single" w:sz="2" w:space="0" w:color="000000"/>
            </w:tcBorders>
          </w:tcPr>
          <w:p>
            <w:pPr>
              <w:pStyle w:val="TableText"/>
              <w:rPr>
                <w:w w:val="100"/>
                <w:u w:val="single"/>
              </w:rPr>
            </w:pPr>
            <w:r>
              <w:rPr>
                <w:w w:val="100"/>
                <w:u w:val="single"/>
              </w:rPr>
              <w:t>PC 34.1.10.1.2.1.1</w:t>
            </w:r>
          </w:p>
        </w:tc>
        <w:tc>
          <w:tcPr>
            <w:tcW w:w="2155" w:type="dxa"/>
            <w:tcBorders>
              <w:start w:val="single" w:sz="2" w:space="0" w:color="000000"/>
              <w:end w:val="single" w:sz="2" w:space="0" w:color="000000"/>
            </w:tcBorders>
          </w:tcPr>
          <w:p>
            <w:pPr>
              <w:pStyle w:val="TableText"/>
              <w:rPr>
                <w:w w:val="100"/>
                <w:u w:val="single"/>
              </w:rPr>
            </w:pPr>
            <w:r>
              <w:rPr>
                <w:w w:val="100"/>
                <w:u w:val="single"/>
              </w:rPr>
              <w:t>MIC element</w:t>
            </w:r>
          </w:p>
        </w:tc>
        <w:tc>
          <w:tcPr>
            <w:tcW w:w="2427" w:type="dxa"/>
            <w:tcBorders>
              <w:start w:val="single" w:sz="2" w:space="0" w:color="000000"/>
              <w:end w:val="single" w:sz="2" w:space="0" w:color="000000"/>
            </w:tcBorders>
          </w:tcPr>
          <w:p>
            <w:pPr>
              <w:pStyle w:val="TableText"/>
              <w:rPr>
                <w:w w:val="100"/>
                <w:u w:val="single"/>
              </w:rPr>
            </w:pPr>
            <w:r>
              <w:rPr>
                <w:w w:val="100"/>
                <w:u w:val="single"/>
              </w:rPr>
              <w:t>9.4.2.117 (MIC element)</w:t>
            </w:r>
          </w:p>
        </w:tc>
        <w:tc>
          <w:tcPr>
            <w:tcW w:w="1623" w:type="dxa"/>
            <w:tcBorders>
              <w:start w:val="single" w:sz="2" w:space="0" w:color="000000"/>
              <w:end w:val="single" w:sz="2" w:space="0" w:color="000000"/>
            </w:tcBorders>
          </w:tcPr>
          <w:p>
            <w:pPr>
              <w:pStyle w:val="TableText"/>
              <w:rPr>
                <w:w w:val="100"/>
                <w:u w:val="single"/>
              </w:rPr>
            </w:pPr>
            <w:r>
              <w:rPr>
                <w:w w:val="100"/>
                <w:u w:val="single"/>
              </w:rPr>
              <w:t>PC 34.1.10.1.2.1: M</w:t>
            </w:r>
          </w:p>
        </w:tc>
        <w:tc>
          <w:tcPr>
            <w:tcW w:w="1637" w:type="dxa"/>
            <w:tcBorders>
              <w:start w:val="single" w:sz="2" w:space="0" w:color="000000"/>
              <w:end w:val="single" w:sz="10" w:space="0" w:color="000000"/>
            </w:tcBorders>
          </w:tcPr>
          <w:p>
            <w:pPr>
              <w:pStyle w:val="TableText"/>
              <w:rPr>
                <w:u w:val="single"/>
              </w:rPr>
            </w:pPr>
            <w:r>
              <w:rPr>
                <w:w w:val="100"/>
                <w:u w:val="single"/>
              </w:rPr>
              <w:t xml:space="preserve">Yes </w:t>
            </w:r>
            <w:r>
              <w:rPr>
                <w:rFonts w:cs="Wingdings" w:ascii="Wingdings" w:hAnsi="Wingdings"/>
                <w:w w:val="100"/>
                <w:u w:val="single"/>
              </w:rPr>
              <w:t>o</w:t>
            </w:r>
            <w:r>
              <w:rPr>
                <w:w w:val="100"/>
                <w:u w:val="single"/>
              </w:rPr>
              <w:t xml:space="preserve"> No </w:t>
            </w:r>
            <w:r>
              <w:rPr>
                <w:rFonts w:cs="Wingdings" w:ascii="Wingdings" w:hAnsi="Wingdings"/>
                <w:w w:val="100"/>
                <w:u w:val="single"/>
              </w:rPr>
              <w:t>o</w:t>
            </w:r>
            <w:r>
              <w:rPr>
                <w:w w:val="100"/>
                <w:sz w:val="17"/>
                <w:szCs w:val="17"/>
                <w:u w:val="single"/>
              </w:rPr>
              <w:t xml:space="preserve"> N/A </w:t>
            </w:r>
            <w:r>
              <w:rPr>
                <w:rFonts w:cs="Wingdings" w:ascii="Wingdings" w:hAnsi="Wingdings"/>
                <w:w w:val="100"/>
                <w:sz w:val="17"/>
                <w:szCs w:val="17"/>
                <w:u w:val="single"/>
              </w:rPr>
              <w:t>o</w:t>
            </w:r>
          </w:p>
          <w:p>
            <w:pPr>
              <w:pStyle w:val="TableText"/>
              <w:rPr>
                <w:w w:val="100"/>
                <w:u w:val="single"/>
              </w:rPr>
            </w:pPr>
            <w:r>
              <w:rPr>
                <w:w w:val="100"/>
                <w:u w:val="single"/>
              </w:rPr>
            </w:r>
          </w:p>
        </w:tc>
      </w:tr>
      <w:tr>
        <w:trPr/>
        <w:tc>
          <w:tcPr>
            <w:tcW w:w="1744" w:type="dxa"/>
            <w:tcBorders>
              <w:start w:val="single" w:sz="10" w:space="0" w:color="000000"/>
              <w:end w:val="single" w:sz="2" w:space="0" w:color="000000"/>
            </w:tcBorders>
          </w:tcPr>
          <w:p>
            <w:pPr>
              <w:pStyle w:val="TableText"/>
              <w:rPr>
                <w:w w:val="100"/>
              </w:rPr>
            </w:pPr>
            <w:r>
              <w:rPr>
                <w:w w:val="100"/>
              </w:rPr>
              <w:t xml:space="preserve">PC34.1.11 </w:t>
            </w:r>
          </w:p>
        </w:tc>
        <w:tc>
          <w:tcPr>
            <w:tcW w:w="2155" w:type="dxa"/>
            <w:tcBorders>
              <w:start w:val="single" w:sz="2" w:space="0" w:color="000000"/>
              <w:end w:val="single" w:sz="2" w:space="0" w:color="000000"/>
            </w:tcBorders>
          </w:tcPr>
          <w:p>
            <w:pPr>
              <w:pStyle w:val="TableText"/>
              <w:rPr>
                <w:w w:val="100"/>
              </w:rPr>
            </w:pPr>
            <w:r>
              <w:rPr>
                <w:w w:val="100"/>
              </w:rPr>
              <w:t>AKM: IEEE 802.1X authentication with SHA-256 PRF</w:t>
            </w:r>
          </w:p>
        </w:tc>
        <w:tc>
          <w:tcPr>
            <w:tcW w:w="2427" w:type="dxa"/>
            <w:tcBorders>
              <w:start w:val="single" w:sz="2" w:space="0" w:color="000000"/>
              <w:end w:val="single" w:sz="2" w:space="0" w:color="000000"/>
            </w:tcBorders>
          </w:tcPr>
          <w:p>
            <w:pPr>
              <w:pStyle w:val="TableText"/>
              <w:rPr>
                <w:w w:val="100"/>
              </w:rPr>
            </w:pPr>
            <w:r>
              <w:rPr>
                <w:w w:val="100"/>
              </w:rPr>
              <w:t>9.4.2.23 (RSNE), 12.7 (Keys and key distribution)</w:t>
            </w:r>
          </w:p>
        </w:tc>
        <w:tc>
          <w:tcPr>
            <w:tcW w:w="1623" w:type="dxa"/>
            <w:tcBorders>
              <w:start w:val="single" w:sz="2" w:space="0" w:color="000000"/>
              <w:end w:val="single" w:sz="2" w:space="0" w:color="000000"/>
            </w:tcBorders>
          </w:tcPr>
          <w:p>
            <w:pPr>
              <w:pStyle w:val="TableText"/>
              <w:rPr>
                <w:w w:val="100"/>
              </w:rPr>
            </w:pPr>
            <w:r>
              <w:rPr>
                <w:w w:val="100"/>
              </w:rPr>
              <w:t>PC34:O</w:t>
            </w:r>
          </w:p>
        </w:tc>
        <w:tc>
          <w:tcPr>
            <w:tcW w:w="1637" w:type="dxa"/>
            <w:tcBorders>
              <w:start w:val="single" w:sz="2" w:space="0" w:color="000000"/>
              <w:end w:val="single" w:sz="10" w:space="0" w:color="000000"/>
            </w:tcBorders>
          </w:tcPr>
          <w:p>
            <w:pPr>
              <w:pStyle w:val="TableText"/>
              <w:rPr/>
            </w:pPr>
            <w:r>
              <w:rPr>
                <w:w w:val="100"/>
              </w:rPr>
              <w:t xml:space="preserve">Yes </w:t>
            </w:r>
            <w:r>
              <w:rPr>
                <w:rFonts w:cs="Wingdings" w:ascii="Wingdings" w:hAnsi="Wingdings"/>
                <w:w w:val="100"/>
              </w:rPr>
              <w:t>o</w:t>
            </w:r>
            <w:r>
              <w:rPr>
                <w:w w:val="100"/>
              </w:rPr>
              <w:t xml:space="preserve"> No </w:t>
            </w:r>
            <w:r>
              <w:rPr>
                <w:rFonts w:cs="Wingdings" w:ascii="Wingdings" w:hAnsi="Wingdings"/>
                <w:w w:val="100"/>
              </w:rPr>
              <w:t>o</w:t>
            </w:r>
            <w:r>
              <w:rPr>
                <w:w w:val="100"/>
                <w:sz w:val="17"/>
                <w:szCs w:val="17"/>
              </w:rPr>
              <w:t xml:space="preserve"> N/A </w:t>
            </w:r>
            <w:r>
              <w:rPr>
                <w:rFonts w:cs="Wingdings" w:ascii="Wingdings" w:hAnsi="Wingdings"/>
                <w:w w:val="100"/>
                <w:sz w:val="17"/>
                <w:szCs w:val="17"/>
              </w:rPr>
              <w:t>o</w:t>
            </w:r>
          </w:p>
        </w:tc>
      </w:tr>
      <w:tr>
        <w:trPr/>
        <w:tc>
          <w:tcPr>
            <w:tcW w:w="1744" w:type="dxa"/>
            <w:tcBorders>
              <w:start w:val="single" w:sz="10" w:space="0" w:color="000000"/>
              <w:end w:val="single" w:sz="2" w:space="0" w:color="000000"/>
            </w:tcBorders>
          </w:tcPr>
          <w:p>
            <w:pPr>
              <w:pStyle w:val="TableText"/>
              <w:rPr>
                <w:w w:val="100"/>
              </w:rPr>
            </w:pPr>
            <w:r>
              <w:rPr>
                <w:w w:val="100"/>
              </w:rPr>
              <w:t xml:space="preserve">PC34.1.12 </w:t>
            </w:r>
          </w:p>
        </w:tc>
        <w:tc>
          <w:tcPr>
            <w:tcW w:w="2155" w:type="dxa"/>
            <w:tcBorders>
              <w:start w:val="single" w:sz="2" w:space="0" w:color="000000"/>
              <w:end w:val="single" w:sz="2" w:space="0" w:color="000000"/>
            </w:tcBorders>
          </w:tcPr>
          <w:p>
            <w:pPr>
              <w:pStyle w:val="TableText"/>
              <w:ind w:hanging="100" w:start="100"/>
              <w:rPr>
                <w:w w:val="100"/>
              </w:rPr>
            </w:pPr>
            <w:r>
              <w:rPr>
                <w:w w:val="100"/>
              </w:rPr>
              <w:t>AKM: PSK with SHA-256 PRF</w:t>
            </w:r>
          </w:p>
        </w:tc>
        <w:tc>
          <w:tcPr>
            <w:tcW w:w="2427" w:type="dxa"/>
            <w:tcBorders>
              <w:start w:val="single" w:sz="2" w:space="0" w:color="000000"/>
              <w:end w:val="single" w:sz="2" w:space="0" w:color="000000"/>
            </w:tcBorders>
          </w:tcPr>
          <w:p>
            <w:pPr>
              <w:pStyle w:val="TableText"/>
              <w:rPr>
                <w:w w:val="100"/>
              </w:rPr>
            </w:pPr>
            <w:r>
              <w:rPr>
                <w:w w:val="100"/>
              </w:rPr>
              <w:t>9.4.2.23 (RSNE), 12.7 (Keys and key distribution)</w:t>
            </w:r>
          </w:p>
        </w:tc>
        <w:tc>
          <w:tcPr>
            <w:tcW w:w="1623" w:type="dxa"/>
            <w:tcBorders>
              <w:start w:val="single" w:sz="2" w:space="0" w:color="000000"/>
              <w:end w:val="single" w:sz="2" w:space="0" w:color="000000"/>
            </w:tcBorders>
          </w:tcPr>
          <w:p>
            <w:pPr>
              <w:pStyle w:val="TableText"/>
              <w:rPr>
                <w:w w:val="100"/>
              </w:rPr>
            </w:pPr>
            <w:r>
              <w:rPr>
                <w:w w:val="100"/>
              </w:rPr>
              <w:t>PC34:O</w:t>
            </w:r>
          </w:p>
        </w:tc>
        <w:tc>
          <w:tcPr>
            <w:tcW w:w="1637" w:type="dxa"/>
            <w:tcBorders>
              <w:start w:val="single" w:sz="2" w:space="0" w:color="000000"/>
              <w:end w:val="single" w:sz="10" w:space="0" w:color="000000"/>
            </w:tcBorders>
          </w:tcPr>
          <w:p>
            <w:pPr>
              <w:pStyle w:val="TableText"/>
              <w:rPr/>
            </w:pPr>
            <w:r>
              <w:rPr>
                <w:w w:val="100"/>
              </w:rPr>
              <w:t xml:space="preserve">Yes </w:t>
            </w:r>
            <w:r>
              <w:rPr>
                <w:rFonts w:cs="Wingdings" w:ascii="Wingdings" w:hAnsi="Wingdings"/>
                <w:w w:val="100"/>
              </w:rPr>
              <w:t>o</w:t>
            </w:r>
            <w:r>
              <w:rPr>
                <w:w w:val="100"/>
              </w:rPr>
              <w:t xml:space="preserve"> No </w:t>
            </w:r>
            <w:r>
              <w:rPr>
                <w:rFonts w:cs="Wingdings" w:ascii="Wingdings" w:hAnsi="Wingdings"/>
                <w:w w:val="100"/>
              </w:rPr>
              <w:t>o</w:t>
            </w:r>
            <w:r>
              <w:rPr>
                <w:w w:val="100"/>
                <w:sz w:val="17"/>
                <w:szCs w:val="17"/>
              </w:rPr>
              <w:t xml:space="preserve"> N/A </w:t>
            </w:r>
            <w:r>
              <w:rPr>
                <w:rFonts w:cs="Wingdings" w:ascii="Wingdings" w:hAnsi="Wingdings"/>
                <w:w w:val="100"/>
                <w:sz w:val="17"/>
                <w:szCs w:val="17"/>
              </w:rPr>
              <w:t>o</w:t>
            </w:r>
          </w:p>
        </w:tc>
      </w:tr>
    </w:tbl>
    <w:p>
      <w:pPr>
        <w:pStyle w:val="T"/>
        <w:rPr/>
      </w:pPr>
      <w:r>
        <w:rPr/>
      </w:r>
    </w:p>
    <w:p>
      <w:pPr>
        <w:pStyle w:val="H41111"/>
        <w:rPr/>
      </w:pPr>
      <w:r>
        <w:rPr/>
        <w:t>C.3 MIB detail</w:t>
      </w:r>
    </w:p>
    <w:p>
      <w:pPr>
        <w:pStyle w:val="Normal"/>
        <w:rPr/>
      </w:pPr>
      <w:r>
        <w:rPr>
          <w:b/>
          <w:bCs/>
        </w:rPr>
        <w:t>Change the Dot11S1GStationConfigEntry SEQUENCE as shown:</w:t>
      </w:r>
    </w:p>
    <w:p>
      <w:pPr>
        <w:pStyle w:val="Code"/>
        <w:spacing w:lineRule="atLeast" w:line="200"/>
        <w:ind w:hanging="720" w:start="720" w:end="0"/>
        <w:rPr>
          <w:caps w:val="false"/>
          <w:smallCaps w:val="false"/>
          <w:w w:val="100"/>
        </w:rPr>
      </w:pPr>
      <w:r>
        <w:rPr>
          <w:caps w:val="false"/>
          <w:smallCaps w:val="false"/>
          <w:w w:val="100"/>
        </w:rPr>
      </w:r>
    </w:p>
    <w:p>
      <w:pPr>
        <w:pStyle w:val="Code"/>
        <w:spacing w:lineRule="atLeast" w:line="200"/>
        <w:ind w:hanging="720" w:start="720" w:end="0"/>
        <w:rPr>
          <w:caps w:val="false"/>
          <w:smallCaps w:val="false"/>
          <w:w w:val="100"/>
        </w:rPr>
      </w:pPr>
      <w:r>
        <w:rPr>
          <w:caps w:val="false"/>
          <w:smallCaps w:val="false"/>
          <w:w w:val="100"/>
        </w:rPr>
        <w:tab/>
        <w:tab/>
        <w:t>dot11S1GDACTImin</w:t>
        <w:tab/>
        <w:t>Unsigned32,</w:t>
      </w:r>
    </w:p>
    <w:p>
      <w:pPr>
        <w:pStyle w:val="Code"/>
        <w:spacing w:lineRule="atLeast" w:line="200"/>
        <w:ind w:hanging="720" w:start="720" w:end="0"/>
        <w:rPr>
          <w:caps w:val="false"/>
          <w:smallCaps w:val="false"/>
          <w:w w:val="100"/>
        </w:rPr>
      </w:pPr>
      <w:r>
        <w:rPr>
          <w:caps w:val="false"/>
          <w:smallCaps w:val="false"/>
          <w:w w:val="100"/>
        </w:rPr>
        <w:tab/>
        <w:tab/>
        <w:t>dot11S1GDACTImax</w:t>
        <w:tab/>
        <w:t>Unsigned32,</w:t>
      </w:r>
    </w:p>
    <w:p>
      <w:pPr>
        <w:pStyle w:val="Code"/>
        <w:spacing w:lineRule="atLeast" w:line="200"/>
        <w:ind w:hanging="720" w:start="720" w:end="0"/>
        <w:rPr>
          <w:caps w:val="false"/>
          <w:smallCaps w:val="false"/>
          <w:w w:val="100"/>
        </w:rPr>
      </w:pPr>
      <w:r>
        <w:rPr>
          <w:caps w:val="false"/>
          <w:smallCaps w:val="false"/>
          <w:w w:val="100"/>
        </w:rPr>
        <w:tab/>
        <w:tab/>
        <w:t>dot11ProtectedTWTOperationsImplemented</w:t>
        <w:tab/>
        <w:t>TruthValue,</w:t>
      </w:r>
    </w:p>
    <w:p>
      <w:pPr>
        <w:pStyle w:val="Code"/>
        <w:spacing w:lineRule="atLeast" w:line="200"/>
        <w:ind w:hanging="720" w:start="720" w:end="0"/>
        <w:rPr>
          <w:caps w:val="false"/>
          <w:smallCaps w:val="false"/>
          <w:w w:val="100"/>
        </w:rPr>
      </w:pPr>
      <w:r>
        <w:rPr>
          <w:caps w:val="false"/>
          <w:smallCaps w:val="false"/>
          <w:w w:val="100"/>
        </w:rPr>
        <w:tab/>
        <w:tab/>
        <w:t>dot11ExtendedS1GActionProtectionOperationsImplemented</w:t>
        <w:tab/>
        <w:t>TruthValue</w:t>
      </w:r>
      <w:r>
        <w:rPr>
          <w:caps w:val="false"/>
          <w:smallCaps w:val="false"/>
          <w:w w:val="100"/>
          <w:u w:val="single"/>
        </w:rPr>
        <w:t>,</w:t>
      </w:r>
    </w:p>
    <w:p>
      <w:pPr>
        <w:pStyle w:val="Code"/>
        <w:spacing w:lineRule="atLeast" w:line="200"/>
        <w:ind w:hanging="720" w:start="720" w:end="0"/>
        <w:rPr>
          <w:caps w:val="false"/>
          <w:smallCaps w:val="false"/>
          <w:w w:val="100"/>
        </w:rPr>
      </w:pPr>
      <w:r>
        <w:rPr>
          <w:caps w:val="false"/>
          <w:smallCaps w:val="false"/>
          <w:w w:val="100"/>
          <w:u w:val="single"/>
        </w:rPr>
        <w:tab/>
        <w:tab/>
        <w:t>dot11BIPCompactEncapsulation</w:t>
        <w:tab/>
        <w:t>TruthValue</w:t>
      </w:r>
    </w:p>
    <w:p>
      <w:pPr>
        <w:pStyle w:val="Code"/>
        <w:spacing w:lineRule="atLeast" w:line="200"/>
        <w:ind w:hanging="720" w:start="720" w:end="0"/>
        <w:rPr>
          <w:caps w:val="false"/>
          <w:smallCaps w:val="false"/>
          <w:w w:val="100"/>
        </w:rPr>
      </w:pPr>
      <w:r>
        <w:rPr>
          <w:caps w:val="false"/>
          <w:smallCaps w:val="false"/>
          <w:w w:val="100"/>
        </w:rPr>
        <w:tab/>
        <w:tab/>
        <w:t>}</w:t>
      </w:r>
    </w:p>
    <w:p>
      <w:pPr>
        <w:pStyle w:val="TText"/>
        <w:rPr>
          <w:caps w:val="false"/>
          <w:smallCaps w:val="false"/>
          <w:w w:val="100"/>
        </w:rPr>
      </w:pPr>
      <w:r>
        <w:rPr>
          <w:caps w:val="false"/>
          <w:smallCaps w:val="false"/>
          <w:w w:val="100"/>
        </w:rPr>
      </w:r>
    </w:p>
    <w:p>
      <w:pPr>
        <w:pStyle w:val="Normal"/>
        <w:rPr>
          <w:b/>
          <w:bCs/>
        </w:rPr>
      </w:pPr>
      <w:r>
        <w:rPr>
          <w:b/>
          <w:bCs/>
        </w:rPr>
        <w:t>Add the following new entry at the end of dot11S1GStationConfigTable TABLE:</w:t>
      </w:r>
    </w:p>
    <w:p>
      <w:pPr>
        <w:pStyle w:val="Code"/>
        <w:spacing w:lineRule="atLeast" w:line="200"/>
        <w:ind w:hanging="720" w:start="720" w:end="0"/>
        <w:rPr>
          <w:caps w:val="false"/>
          <w:smallCaps w:val="false"/>
          <w:w w:val="100"/>
        </w:rPr>
      </w:pPr>
      <w:r>
        <w:rPr>
          <w:caps w:val="false"/>
          <w:smallCaps w:val="false"/>
          <w:w w:val="100"/>
        </w:rPr>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dot11BIPCompactEncapsulation OBJECT-TYPE</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ab/>
        <w:t xml:space="preserve">SYNTAX TruthValue </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ab/>
        <w:t xml:space="preserve">MAX-ACCESS read-write </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ab/>
        <w:t>STATUS current</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ab/>
        <w:t>DESCRIPTION</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ab/>
        <w:tab/>
        <w:t xml:space="preserve">"This is a control variable. </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ab/>
        <w:tab/>
        <w:t xml:space="preserve">It is written by an external management entity. </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ab/>
        <w:tab/>
        <w:t>Changes take effect as soon as practical in the implementation.</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u w:val="single"/>
        </w:rPr>
      </w:pPr>
      <w:r>
        <w:rPr>
          <w:caps w:val="false"/>
          <w:smallCaps w:val="false"/>
          <w:w w:val="100"/>
          <w:u w:val="single"/>
        </w:rPr>
        <w:tab/>
        <w:tab/>
        <w:t>This attribute, when true indicates the station supports the use of BIP Compact Encapsulation of protected Beacon frames. The attribute is set to true only if the dot11RSNAProtectedManagementFramesActivated is true."</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caps w:val="false"/>
          <w:smallCaps w:val="false"/>
          <w:w w:val="100"/>
          <w:u w:val="single"/>
        </w:rPr>
      </w:pPr>
      <w:r>
        <w:rPr>
          <w:caps w:val="false"/>
          <w:smallCaps w:val="false"/>
          <w:w w:val="100"/>
          <w:u w:val="single"/>
        </w:rPr>
        <w:tab/>
        <w:t>DEFVAL { false }</w:t>
      </w:r>
    </w:p>
    <w:p>
      <w:pPr>
        <w:pStyle w:val="Code"/>
        <w:tabs>
          <w:tab w:val="left" w:pos="360" w:leader="none"/>
          <w:tab w:val="left" w:pos="720" w:leader="none"/>
          <w:tab w:val="left" w:pos="1400" w:leader="none"/>
          <w:tab w:val="left" w:pos="6600" w:leader="none"/>
          <w:tab w:val="left" w:pos="7920" w:leader="none"/>
          <w:tab w:val="left" w:pos="8640" w:leader="none"/>
          <w:tab w:val="left" w:pos="9360" w:leader="none"/>
        </w:tabs>
        <w:suppressAutoHyphens w:val="true"/>
        <w:spacing w:lineRule="atLeast" w:line="200"/>
        <w:ind w:hanging="720" w:start="720" w:end="0"/>
        <w:rPr>
          <w:u w:val="single"/>
        </w:rPr>
      </w:pPr>
      <w:r>
        <w:rPr>
          <w:caps w:val="false"/>
          <w:smallCaps w:val="false"/>
          <w:w w:val="100"/>
          <w:u w:val="single"/>
        </w:rPr>
        <w:tab/>
        <w:t>::= { dot11S1GStationConfigEntry 59 }</w:t>
      </w:r>
    </w:p>
    <w:p>
      <w:pPr>
        <w:pStyle w:val="TText"/>
        <w:rPr/>
      </w:pPr>
      <w:r>
        <w:rPr/>
      </w:r>
    </w:p>
    <w:p>
      <w:pPr>
        <w:pStyle w:val="Normal"/>
        <w:ind w:hanging="0" w:start="0" w:end="0"/>
        <w:rPr>
          <w:b/>
          <w:bCs/>
          <w:i/>
          <w:i/>
          <w:iCs/>
        </w:rPr>
      </w:pPr>
      <w:r>
        <w:rPr>
          <w:b/>
          <w:bCs/>
          <w:i/>
          <w:iCs/>
          <w:caps w:val="false"/>
          <w:smallCaps w:val="false"/>
          <w:w w:val="100"/>
        </w:rPr>
        <w:t>Add a new subclause after J.9.1, and renumber the following subclause(s):</w:t>
      </w:r>
    </w:p>
    <w:p>
      <w:pPr>
        <w:pStyle w:val="H41111"/>
        <w:ind w:hanging="0" w:start="0" w:end="0"/>
        <w:rPr>
          <w:sz w:val="28"/>
          <w:szCs w:val="28"/>
          <w:u w:val="single"/>
        </w:rPr>
      </w:pPr>
      <w:r>
        <w:rPr>
          <w:caps w:val="false"/>
          <w:smallCaps w:val="false"/>
          <w:w w:val="100"/>
          <w:sz w:val="28"/>
          <w:szCs w:val="28"/>
          <w:u w:val="single"/>
        </w:rPr>
        <w:t>J.9.2 BIP with S1G Beacon Frames</w:t>
      </w:r>
    </w:p>
    <w:p>
      <w:pPr>
        <w:pStyle w:val="TText"/>
        <w:rPr>
          <w:u w:val="single"/>
        </w:rPr>
      </w:pPr>
      <w:r>
        <w:rPr>
          <w:u w:val="single"/>
        </w:rPr>
        <w:t>==== S1G Beacon frame with BIP-CMAC-128, no optional header fields, S1G Beacon Compatibility element in body ====</w:t>
      </w:r>
    </w:p>
    <w:p>
      <w:pPr>
        <w:pStyle w:val="TText"/>
        <w:rPr>
          <w:u w:val="single"/>
        </w:rPr>
      </w:pPr>
      <w:r>
        <w:rPr>
          <w:u w:val="single"/>
        </w:rPr>
        <w:t>Unprotected S1G Beacon frame (without FCS): 1c 40 00 00 02 00 00 00 00 00 00 00 00 00 00 d5 08 80 00 00 00 12 34 56 78</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BIP-CMAC-128 AAD|Body(masked): 1c 40 02 00 00 00 00 00 00 d5 08 80 00 00 00 00 00 00 00 4c 10 07 00 04 00 00 00 00 00 00 00 00 00 00 00 00 00</w:t>
      </w:r>
    </w:p>
    <w:p>
      <w:pPr>
        <w:pStyle w:val="TText"/>
        <w:rPr>
          <w:u w:val="single"/>
        </w:rPr>
      </w:pPr>
      <w:r>
        <w:rPr>
          <w:u w:val="single"/>
        </w:rPr>
        <w:t>S1G BIP-CMAC-128 MIC: 6b f6 47 29 3f 14 5b bc</w:t>
      </w:r>
    </w:p>
    <w:p>
      <w:pPr>
        <w:pStyle w:val="TText"/>
        <w:rPr>
          <w:u w:val="single"/>
        </w:rPr>
      </w:pPr>
      <w:r>
        <w:rPr>
          <w:u w:val="single"/>
        </w:rPr>
        <w:t>Protected MPDU (without FCS): 1c 40 00 00 02 00 00 00 00 00 00 00 00 00 00 d5 08 80 00 00 00 12 34 56 78 4c 10 07 00 04 00 00 00 00 00 6b f6 47 29 3f 14 5b bc</w:t>
      </w:r>
    </w:p>
    <w:p>
      <w:pPr>
        <w:pStyle w:val="TText"/>
        <w:rPr>
          <w:u w:val="single"/>
        </w:rPr>
      </w:pPr>
      <w:r>
        <w:rPr>
          <w:u w:val="single"/>
        </w:rPr>
      </w:r>
    </w:p>
    <w:p>
      <w:pPr>
        <w:pStyle w:val="TText"/>
        <w:rPr>
          <w:u w:val="single"/>
        </w:rPr>
      </w:pPr>
      <w:r>
        <w:rPr>
          <w:u w:val="single"/>
        </w:rPr>
        <w:t>==== S1G Beacon frame with BIP-CMAC-128, all optional header fields, no body elements ====</w:t>
      </w:r>
    </w:p>
    <w:p>
      <w:pPr>
        <w:pStyle w:val="TText"/>
        <w:rPr>
          <w:u w:val="single"/>
        </w:rPr>
      </w:pPr>
      <w:r>
        <w:rPr>
          <w:u w:val="single"/>
        </w:rPr>
        <w:t>Unprotected S1G Beacon frame (without FCS): 1c 47 00 00 02 00 00 00 00 00 00 00 00 00 00 00 00 00 00 00 00 00 00</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BIP-CMAC-128 AAD|Body(masked): 1c 47 02 00 00 00 00 00 00 00 00 00 00 00 00 00 00 4c 10 06 00 04 00 00 00 00 00 00 00 00 00 00 00 00 00</w:t>
      </w:r>
    </w:p>
    <w:p>
      <w:pPr>
        <w:pStyle w:val="TText"/>
        <w:rPr>
          <w:u w:val="single"/>
        </w:rPr>
      </w:pPr>
      <w:r>
        <w:rPr>
          <w:u w:val="single"/>
        </w:rPr>
        <w:t>S1G BIP-CMAC-128 MIC: 3c 58 b6 bd 3b da 56 c3</w:t>
      </w:r>
    </w:p>
    <w:p>
      <w:pPr>
        <w:pStyle w:val="TText"/>
        <w:rPr>
          <w:u w:val="single"/>
        </w:rPr>
      </w:pPr>
      <w:r>
        <w:rPr>
          <w:u w:val="single"/>
        </w:rPr>
        <w:t>Protected MPDU (without FCS): 1c 47 00 00 02 00 00 00 00 00 00 00 00 00 00 00 00 00 00 00 00 00 00 4c 10 06 00 04 00 00 00 00 00 3c 58 b6 bd 3b da 56 c3</w:t>
      </w:r>
    </w:p>
    <w:p>
      <w:pPr>
        <w:pStyle w:val="TText"/>
        <w:rPr>
          <w:u w:val="single"/>
        </w:rPr>
      </w:pPr>
      <w:r>
        <w:rPr>
          <w:u w:val="single"/>
        </w:rPr>
      </w:r>
    </w:p>
    <w:p>
      <w:pPr>
        <w:pStyle w:val="TText"/>
        <w:rPr>
          <w:u w:val="single"/>
        </w:rPr>
      </w:pPr>
      <w:r>
        <w:rPr>
          <w:u w:val="single"/>
        </w:rPr>
        <w:t>==== S1G Beacon frame with BIP-CMAC-128 using BCE, no optional header fields, S1G Beacon Compatibility element in body ====</w:t>
      </w:r>
    </w:p>
    <w:p>
      <w:pPr>
        <w:pStyle w:val="TText"/>
        <w:rPr>
          <w:u w:val="single"/>
        </w:rPr>
      </w:pPr>
      <w:r>
        <w:rPr>
          <w:u w:val="single"/>
        </w:rPr>
        <w:t>Unprotected S1G Beacon frame (without FCS): 1c 40 00 00 02 00 00 00 00 00 00 00 00 00 00 d5 08 80 00 00 00 12 34 56 78</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BIP-CMAC-128 AAD|Body(masked): 1c 40 02 00 00 00 00 00 00 04 00 00 00 00 00 d5 08 80 00 00 00 00 00 00 00 8c 08 00 00 00 00 00 00 00 00</w:t>
      </w:r>
    </w:p>
    <w:p>
      <w:pPr>
        <w:pStyle w:val="TText"/>
        <w:rPr>
          <w:u w:val="single"/>
        </w:rPr>
      </w:pPr>
      <w:r>
        <w:rPr>
          <w:u w:val="single"/>
        </w:rPr>
        <w:t>S1G BIP-CMAC-128 MIC: bf d5 09 15 39 04 ef 3c</w:t>
      </w:r>
    </w:p>
    <w:p>
      <w:pPr>
        <w:pStyle w:val="TText"/>
        <w:rPr>
          <w:u w:val="single"/>
        </w:rPr>
      </w:pPr>
      <w:r>
        <w:rPr>
          <w:u w:val="single"/>
        </w:rPr>
        <w:t>Protected MPDU (without FCS): 1c 40 00 00 02 00 00 00 00 00 00 00 00 00 00 d5 08 80 00 00 00 12 34 56 78 8c 08 bf d5 09 15 39 04 ef 3c</w:t>
      </w:r>
    </w:p>
    <w:p>
      <w:pPr>
        <w:pStyle w:val="TText"/>
        <w:rPr>
          <w:u w:val="single"/>
        </w:rPr>
      </w:pPr>
      <w:r>
        <w:rPr>
          <w:u w:val="single"/>
        </w:rPr>
      </w:r>
    </w:p>
    <w:p>
      <w:pPr>
        <w:pStyle w:val="TText"/>
        <w:rPr>
          <w:u w:val="single"/>
        </w:rPr>
      </w:pPr>
      <w:r>
        <w:rPr>
          <w:u w:val="single"/>
        </w:rPr>
        <w:t>==== S1G Beacon frame with BIP-CMAC-128 using BCE, all optional header fields, no body elements ====</w:t>
      </w:r>
    </w:p>
    <w:p>
      <w:pPr>
        <w:pStyle w:val="TText"/>
        <w:rPr>
          <w:u w:val="single"/>
        </w:rPr>
      </w:pPr>
      <w:r>
        <w:rPr>
          <w:u w:val="single"/>
        </w:rPr>
        <w:t>Unprotected S1G Beacon frame (without FCS): 1c 47 00 00 02 00 00 00 00 00 00 00 00 00 00 00 00 00 00 00 00 00 00</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BIP-CMAC-128 AAD|Body(masked): 1c 47 02 00 00 00 00 00 00 00 00 00 00 00 00 00 00 04 00 00 00 00 00 8c 08 00 00 00 00 00 00 00 00</w:t>
      </w:r>
    </w:p>
    <w:p>
      <w:pPr>
        <w:pStyle w:val="TText"/>
        <w:rPr>
          <w:u w:val="single"/>
        </w:rPr>
      </w:pPr>
      <w:r>
        <w:rPr>
          <w:u w:val="single"/>
        </w:rPr>
        <w:t>S1G BIP-CMAC-128 MIC: c1 1e d2 f4 23 34 40 15</w:t>
      </w:r>
    </w:p>
    <w:p>
      <w:pPr>
        <w:pStyle w:val="TText"/>
        <w:rPr>
          <w:u w:val="single"/>
        </w:rPr>
      </w:pPr>
      <w:r>
        <w:rPr>
          <w:u w:val="single"/>
        </w:rPr>
        <w:t>Protected MPDU (without FCS): 1c 47 00 00 02 00 00 00 00 00 00 00 00 00 00 00 00 00 00 00 00 00 00 8c 08 c1 1e d2 f4 23 34 40 15</w:t>
      </w:r>
    </w:p>
    <w:p>
      <w:pPr>
        <w:pStyle w:val="TText"/>
        <w:rPr>
          <w:u w:val="single"/>
        </w:rPr>
      </w:pPr>
      <w:r>
        <w:rPr>
          <w:u w:val="single"/>
        </w:rPr>
      </w:r>
    </w:p>
    <w:p>
      <w:pPr>
        <w:pStyle w:val="TText"/>
        <w:rPr>
          <w:u w:val="single"/>
        </w:rPr>
      </w:pPr>
      <w:r>
        <w:rPr>
          <w:u w:val="single"/>
        </w:rPr>
        <w:t>==== S1G Beacon frame with BIP-GMAC-128, no optional header fields, S1G Beacon Compatibility element in body ====</w:t>
      </w:r>
    </w:p>
    <w:p>
      <w:pPr>
        <w:pStyle w:val="TText"/>
        <w:rPr>
          <w:u w:val="single"/>
        </w:rPr>
      </w:pPr>
      <w:r>
        <w:rPr>
          <w:u w:val="single"/>
        </w:rPr>
        <w:t>Unprotected S1G Beacon frame (without FCS): 1c 40 00 00 02 00 00 00 00 00 00 00 00 00 00 d5 08 00 00 00 00 12 34 56 78</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BIP-GMAC-128 AAD|Body(masked): 1c 40 02 00 00 00 00 00 00 d5 08 00 00 00 00 00 00 00 00 4c 18 06 00 04 00 00 00 00 00 00 00 00 00 00 00 00 00 00 00 00 00 00 00 00 00</w:t>
      </w:r>
    </w:p>
    <w:p>
      <w:pPr>
        <w:pStyle w:val="TText"/>
        <w:rPr>
          <w:u w:val="single"/>
        </w:rPr>
      </w:pPr>
      <w:r>
        <w:rPr>
          <w:u w:val="single"/>
        </w:rPr>
        <w:t>S1G BIP-GMAC-128 Nonce: 02 00 00 00 00 00 00 00 00 00 00 04</w:t>
      </w:r>
    </w:p>
    <w:p>
      <w:pPr>
        <w:pStyle w:val="TText"/>
        <w:rPr>
          <w:u w:val="single"/>
        </w:rPr>
      </w:pPr>
      <w:r>
        <w:rPr>
          <w:u w:val="single"/>
        </w:rPr>
        <w:t>S1G BIP-GMAC-128 MIC: a5 b2 42 c1 c1 1e ab 10 c5 a4 e8 b9 53 66 19 38</w:t>
      </w:r>
    </w:p>
    <w:p>
      <w:pPr>
        <w:pStyle w:val="TText"/>
        <w:rPr>
          <w:u w:val="single"/>
        </w:rPr>
      </w:pPr>
      <w:r>
        <w:rPr>
          <w:u w:val="single"/>
        </w:rPr>
        <w:t>Protected MPDU (without FCS): 1c 40 00 00 02 00 00 00 00 00 00 00 00 00 00 d5 08 00 00 00 00 12 34 56 78 4c 18 06 00 04 00 00 00 00 00 a5 b2 42 c1 c1 1e ab 10 c5 a4 e8 b9 53 66 19 38</w:t>
      </w:r>
    </w:p>
    <w:p>
      <w:pPr>
        <w:pStyle w:val="TText"/>
        <w:rPr>
          <w:u w:val="single"/>
        </w:rPr>
      </w:pPr>
      <w:r>
        <w:rPr>
          <w:u w:val="single"/>
        </w:rPr>
      </w:r>
    </w:p>
    <w:p>
      <w:pPr>
        <w:pStyle w:val="TText"/>
        <w:rPr>
          <w:u w:val="single"/>
        </w:rPr>
      </w:pPr>
      <w:r>
        <w:rPr>
          <w:u w:val="single"/>
        </w:rPr>
        <w:t>==== S1G Beacon frame with BIP-GMAC-128, all optional header fields, no body elements ====</w:t>
      </w:r>
    </w:p>
    <w:p>
      <w:pPr>
        <w:pStyle w:val="TText"/>
        <w:rPr>
          <w:u w:val="single"/>
        </w:rPr>
      </w:pPr>
      <w:r>
        <w:rPr>
          <w:u w:val="single"/>
        </w:rPr>
        <w:t>Unprotected S1G Beacon frame (without FCS): 1c 47 00 00 02 00 00 00 00 00 00 00 00 00 00 00 00 00 00 00 00 00 00</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BIP-GMAC-128 AAD|Body(masked): 1c 47 02 00 00 00 00 00 00 00 00 00 00 00 00 00 00 4c 18 07 00 04 00 00 00 00 00 00 00 00 00 00 00 00 00 00 00 00 00 00 00 00 00</w:t>
      </w:r>
    </w:p>
    <w:p>
      <w:pPr>
        <w:pStyle w:val="TText"/>
        <w:rPr>
          <w:u w:val="single"/>
        </w:rPr>
      </w:pPr>
      <w:r>
        <w:rPr>
          <w:u w:val="single"/>
        </w:rPr>
        <w:t>S1G BIP-GMAC-128 Nonce: 02 00 00 00 00 00 00 00 00 00 00 04</w:t>
      </w:r>
    </w:p>
    <w:p>
      <w:pPr>
        <w:pStyle w:val="TText"/>
        <w:rPr>
          <w:u w:val="single"/>
        </w:rPr>
      </w:pPr>
      <w:r>
        <w:rPr>
          <w:u w:val="single"/>
        </w:rPr>
        <w:t>S1G BIP-GMAC-128 MIC: 39 d0 0c c2 ee d7 4c 2a b7 41 cc f8 08 9b 5b 08</w:t>
      </w:r>
    </w:p>
    <w:p>
      <w:pPr>
        <w:pStyle w:val="TText"/>
        <w:rPr>
          <w:u w:val="single"/>
        </w:rPr>
      </w:pPr>
      <w:r>
        <w:rPr>
          <w:u w:val="single"/>
        </w:rPr>
        <w:t>Protected MPDU (without FCS): 1c 47 00 00 02 00 00 00 00 00 00 00 00 00 00 00 00 00 00 00 00 00 00 4c 18 07 00 04 00 00 00 00 00 39 d0 0c c2 ee d7 4c 2a b7 41 cc f8 08 9b 5b 08</w:t>
      </w:r>
    </w:p>
    <w:p>
      <w:pPr>
        <w:pStyle w:val="TText"/>
        <w:rPr>
          <w:u w:val="single"/>
        </w:rPr>
      </w:pPr>
      <w:r>
        <w:rPr>
          <w:u w:val="single"/>
        </w:rPr>
      </w:r>
    </w:p>
    <w:p>
      <w:pPr>
        <w:pStyle w:val="TText"/>
        <w:rPr>
          <w:u w:val="single"/>
        </w:rPr>
      </w:pPr>
      <w:r>
        <w:rPr>
          <w:u w:val="single"/>
        </w:rPr>
        <w:t>==== S1G Beacon frame with BIP-GMAC-128 using BCE, no optional header fields, S1G Beacon Compatibility element in body ====</w:t>
      </w:r>
    </w:p>
    <w:p>
      <w:pPr>
        <w:pStyle w:val="TText"/>
        <w:rPr>
          <w:u w:val="single"/>
        </w:rPr>
      </w:pPr>
      <w:r>
        <w:rPr>
          <w:u w:val="single"/>
        </w:rPr>
        <w:t>Unprotected S1G Beacon frame (without FCS): 1c 40 00 00 02 00 00 00 00 00 00 00 00 00 00 d5 08 00 00 00 00 12 34 56 78</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BIP-GMAC-128 AAD|Body(masked): 1c 40 02 00 00 00 00 00 00 04 00 00 00 00 00 d5 08 00 00 00 00 00 00 00 00 8c 10 00 00 00 00 00 00 00 00 00 00 00 00 00 00 00 00</w:t>
      </w:r>
    </w:p>
    <w:p>
      <w:pPr>
        <w:pStyle w:val="TText"/>
        <w:rPr>
          <w:u w:val="single"/>
        </w:rPr>
      </w:pPr>
      <w:r>
        <w:rPr>
          <w:u w:val="single"/>
        </w:rPr>
        <w:t>S1G BIP-GMAC-128 Nonce: 02 00 00 00 00 00 00 00 00 00 00 04</w:t>
      </w:r>
    </w:p>
    <w:p>
      <w:pPr>
        <w:pStyle w:val="TText"/>
        <w:rPr>
          <w:u w:val="single"/>
        </w:rPr>
      </w:pPr>
      <w:r>
        <w:rPr>
          <w:u w:val="single"/>
        </w:rPr>
        <w:t>S1G BIP-GMAC-128 MIC: a2 5b 7e 67 76 f0 11 57 a4 fb 4a 2d 66 d0 17 66</w:t>
      </w:r>
    </w:p>
    <w:p>
      <w:pPr>
        <w:pStyle w:val="TText"/>
        <w:rPr>
          <w:u w:val="single"/>
        </w:rPr>
      </w:pPr>
      <w:r>
        <w:rPr>
          <w:u w:val="single"/>
        </w:rPr>
        <w:t>Protected MPDU (without FCS): 1c 40 00 00 02 00 00 00 00 00 00 00 00 00 00 d5 08 00 00 00 00 12 34 56 78 8c 10 a2 5b 7e 67 76 f0 11 57 a4 fb 4a 2d 66 d0 17 66</w:t>
      </w:r>
    </w:p>
    <w:p>
      <w:pPr>
        <w:pStyle w:val="TText"/>
        <w:rPr>
          <w:u w:val="single"/>
        </w:rPr>
      </w:pPr>
      <w:r>
        <w:rPr>
          <w:u w:val="single"/>
        </w:rPr>
      </w:r>
    </w:p>
    <w:p>
      <w:pPr>
        <w:pStyle w:val="TText"/>
        <w:rPr>
          <w:u w:val="single"/>
        </w:rPr>
      </w:pPr>
      <w:r>
        <w:rPr>
          <w:u w:val="single"/>
        </w:rPr>
        <w:t>==== S1G Beacon frame with BIP-GMAC-128 using BCE, all optional header fields, no body elements ====</w:t>
      </w:r>
    </w:p>
    <w:p>
      <w:pPr>
        <w:pStyle w:val="TText"/>
        <w:rPr>
          <w:u w:val="single"/>
        </w:rPr>
      </w:pPr>
      <w:r>
        <w:rPr>
          <w:u w:val="single"/>
        </w:rPr>
        <w:t>Unprotected S1G Beacon frame (without FCS): 1c 47 00 00 02 00 00 00 00 00 00 00 00 00 00 00 00 00 00 00 00 00 00</w:t>
      </w:r>
    </w:p>
    <w:p>
      <w:pPr>
        <w:pStyle w:val="TText"/>
        <w:rPr>
          <w:u w:val="single"/>
        </w:rPr>
      </w:pPr>
      <w:r>
        <w:rPr>
          <w:u w:val="single"/>
        </w:rPr>
        <w:t>BIGTK: 4e a9 54 3e 09 cf 2b 1e ca 66 ff c5 8b de cb cf</w:t>
      </w:r>
    </w:p>
    <w:p>
      <w:pPr>
        <w:pStyle w:val="TText"/>
        <w:rPr>
          <w:u w:val="single"/>
        </w:rPr>
      </w:pPr>
      <w:r>
        <w:rPr>
          <w:u w:val="single"/>
        </w:rPr>
        <w:t>BIPN: 04 00 00 00 00 00</w:t>
      </w:r>
    </w:p>
    <w:p>
      <w:pPr>
        <w:pStyle w:val="TText"/>
        <w:rPr>
          <w:u w:val="single"/>
        </w:rPr>
      </w:pPr>
      <w:r>
        <w:rPr>
          <w:u w:val="single"/>
        </w:rPr>
        <w:t>S1G BIP-GMAC-128 AAD|Body(masked): 1c 47 02 00 00 00 00 00 00 00 00 00 00 00 00 00 00 04 00 00 00 00 00 8c 10 00 00 00 00 00 00 00 00 00 00 00 00 00 00 00 00</w:t>
      </w:r>
    </w:p>
    <w:p>
      <w:pPr>
        <w:pStyle w:val="TText"/>
        <w:rPr>
          <w:u w:val="single"/>
        </w:rPr>
      </w:pPr>
      <w:r>
        <w:rPr>
          <w:u w:val="single"/>
        </w:rPr>
        <w:t>S1G BIP-GMAC-128 Nonce: 02 00 00 00 00 00 00 00 00 00 00 04</w:t>
      </w:r>
    </w:p>
    <w:p>
      <w:pPr>
        <w:pStyle w:val="TText"/>
        <w:rPr>
          <w:u w:val="single"/>
        </w:rPr>
      </w:pPr>
      <w:r>
        <w:rPr>
          <w:u w:val="single"/>
        </w:rPr>
        <w:t>S1G BIP-GMAC-128 MIC: 86 dd b6 c0 56 21 30 9d 3e bd 25 96 67 5b dd c3</w:t>
      </w:r>
    </w:p>
    <w:p>
      <w:pPr>
        <w:pStyle w:val="TText"/>
        <w:rPr>
          <w:u w:val="single"/>
        </w:rPr>
      </w:pPr>
      <w:r>
        <w:rPr>
          <w:u w:val="single"/>
        </w:rPr>
        <w:t>Protected MPDU (without FCS): 1c 47 00 00 02 00 00 00 00 00 00 00 00 00 00 00 00 00 00 00 00 00 00 8c 10 86 dd b6 c0 56 21 30 9d 3e bd 25 96 67 5b dd c3</w:t>
      </w:r>
    </w:p>
    <w:p>
      <w:pPr>
        <w:pStyle w:val="TText"/>
        <w:rPr>
          <w:u w:val="single"/>
        </w:rPr>
      </w:pPr>
      <w:r>
        <w:rPr>
          <w:u w:val="single"/>
        </w:rPr>
      </w:r>
    </w:p>
    <w:p>
      <w:pPr>
        <w:pStyle w:val="TText"/>
        <w:rPr>
          <w:u w:val="single"/>
        </w:rPr>
      </w:pPr>
      <w:r>
        <w:rPr>
          <w:u w:val="single"/>
        </w:rPr>
        <w:t>==== S1G Beacon frame with BIP-GMAC-256, no optional header fields, S1G Beacon Compatibility element in body ====</w:t>
      </w:r>
    </w:p>
    <w:p>
      <w:pPr>
        <w:pStyle w:val="TText"/>
        <w:rPr>
          <w:u w:val="single"/>
        </w:rPr>
      </w:pPr>
      <w:r>
        <w:rPr>
          <w:u w:val="single"/>
        </w:rPr>
        <w:t>Unprotected S1G Beacon frame (without FCS): 1c 40 00 00 02 00 00 00 00 00 00 00 00 00 00 d5 08 80 00 00 00 12 34 56 78</w:t>
      </w:r>
    </w:p>
    <w:p>
      <w:pPr>
        <w:pStyle w:val="TText"/>
        <w:rPr>
          <w:u w:val="single"/>
        </w:rPr>
      </w:pPr>
      <w:r>
        <w:rPr>
          <w:u w:val="single"/>
        </w:rPr>
        <w:t>BIGTK: 4e a9 54 3e 09 cf 2b 1e ca 66 ff c5 8b de cb cf 00 01 02 03 04 05 06 07 08 09 0a 0b 0c 0d 0e 0f</w:t>
      </w:r>
    </w:p>
    <w:p>
      <w:pPr>
        <w:pStyle w:val="TText"/>
        <w:rPr>
          <w:u w:val="single"/>
        </w:rPr>
      </w:pPr>
      <w:r>
        <w:rPr>
          <w:u w:val="single"/>
        </w:rPr>
        <w:t>BIPN: 04 00 00 00 00 00</w:t>
      </w:r>
    </w:p>
    <w:p>
      <w:pPr>
        <w:pStyle w:val="TText"/>
        <w:rPr>
          <w:u w:val="single"/>
        </w:rPr>
      </w:pPr>
      <w:r>
        <w:rPr>
          <w:u w:val="single"/>
        </w:rPr>
        <w:t>S1G BIP-GMAC-256 AAD|Body(masked): 1c 40 02 00 00 00 00 00 00 d5 08 80 00 00 00 00 00 00 00 4c 18 07 00 04 00 00 00 00 00 00 00 00 00 00 00 00 00 00 00 00 00 00 00 00 00</w:t>
      </w:r>
    </w:p>
    <w:p>
      <w:pPr>
        <w:pStyle w:val="TText"/>
        <w:rPr>
          <w:u w:val="single"/>
        </w:rPr>
      </w:pPr>
      <w:r>
        <w:rPr>
          <w:u w:val="single"/>
        </w:rPr>
        <w:t>S1G BIP-GMAC-256 Nonce: 02 00 00 00 00 00 00 00 00 00 00 04</w:t>
      </w:r>
    </w:p>
    <w:p>
      <w:pPr>
        <w:pStyle w:val="TText"/>
        <w:rPr>
          <w:u w:val="single"/>
        </w:rPr>
      </w:pPr>
      <w:r>
        <w:rPr>
          <w:u w:val="single"/>
        </w:rPr>
        <w:t>S1G BIP-GMAC-256 MIC: 33 a2 6f c6 7e bf fd a0 ac 9b 29 aa 70 da 3f 51</w:t>
      </w:r>
    </w:p>
    <w:p>
      <w:pPr>
        <w:pStyle w:val="TText"/>
        <w:rPr>
          <w:u w:val="single"/>
        </w:rPr>
      </w:pPr>
      <w:r>
        <w:rPr>
          <w:u w:val="single"/>
        </w:rPr>
        <w:t>Protected MPDU (without FCS): 1c 40 00 00 02 00 00 00 00 00 00 00 00 00 00 d5 08 80 00 00 00 12 34 56 78 4c 18 07 00 04 00 00 00 00 00 33 a2 6f c6 7e bf fd a0 ac 9b 29 aa 70 da 3f 51</w:t>
      </w:r>
    </w:p>
    <w:p>
      <w:pPr>
        <w:pStyle w:val="TText"/>
        <w:rPr>
          <w:u w:val="single"/>
        </w:rPr>
      </w:pPr>
      <w:r>
        <w:rPr>
          <w:u w:val="single"/>
        </w:rPr>
      </w:r>
    </w:p>
    <w:p>
      <w:pPr>
        <w:pStyle w:val="TText"/>
        <w:rPr>
          <w:u w:val="single"/>
        </w:rPr>
      </w:pPr>
      <w:r>
        <w:rPr>
          <w:u w:val="single"/>
        </w:rPr>
        <w:t>==== S1G Beacon frame with BIP-GMAC-256, all optional header fields, no body elements ====</w:t>
      </w:r>
    </w:p>
    <w:p>
      <w:pPr>
        <w:pStyle w:val="TText"/>
        <w:rPr>
          <w:u w:val="single"/>
        </w:rPr>
      </w:pPr>
      <w:r>
        <w:rPr>
          <w:u w:val="single"/>
        </w:rPr>
        <w:t>Unprotected S1G Beacon frame (without FCS): 1c 47 00 00 02 00 00 00 00 00 00 00 00 00 00 00 00 00 00 00 00 00 00</w:t>
      </w:r>
    </w:p>
    <w:p>
      <w:pPr>
        <w:pStyle w:val="TText"/>
        <w:rPr>
          <w:u w:val="single"/>
        </w:rPr>
      </w:pPr>
      <w:r>
        <w:rPr>
          <w:u w:val="single"/>
        </w:rPr>
        <w:t>BIGTK: 4e a9 54 3e 09 cf 2b 1e ca 66 ff c5 8b de cb cf 00 01 02 03 04 05 06 07 08 09 0a 0b 0c 0d 0e 0f</w:t>
      </w:r>
    </w:p>
    <w:p>
      <w:pPr>
        <w:pStyle w:val="TText"/>
        <w:rPr>
          <w:u w:val="single"/>
        </w:rPr>
      </w:pPr>
      <w:r>
        <w:rPr>
          <w:u w:val="single"/>
        </w:rPr>
        <w:t>BIPN: 04 00 00 00 00 00</w:t>
      </w:r>
    </w:p>
    <w:p>
      <w:pPr>
        <w:pStyle w:val="TText"/>
        <w:rPr>
          <w:u w:val="single"/>
        </w:rPr>
      </w:pPr>
      <w:r>
        <w:rPr>
          <w:u w:val="single"/>
        </w:rPr>
        <w:t>S1G BIP-GMAC-256 AAD|Body(masked): 1c 47 02 00 00 00 00 00 00 00 00 00 00 00 00 00 00 4c 18 06 00 04 00 00 00 00 00 00 00 00 00 00 00 00 00 00 00 00 00 00 00 00 00</w:t>
      </w:r>
    </w:p>
    <w:p>
      <w:pPr>
        <w:pStyle w:val="TText"/>
        <w:rPr>
          <w:u w:val="single"/>
        </w:rPr>
      </w:pPr>
      <w:r>
        <w:rPr>
          <w:u w:val="single"/>
        </w:rPr>
        <w:t>S1G BIP-GMAC-256 Nonce: 02 00 00 00 00 00 00 00 00 00 00 04</w:t>
      </w:r>
    </w:p>
    <w:p>
      <w:pPr>
        <w:pStyle w:val="TText"/>
        <w:rPr>
          <w:u w:val="single"/>
        </w:rPr>
      </w:pPr>
      <w:r>
        <w:rPr>
          <w:u w:val="single"/>
        </w:rPr>
        <w:t>S1G BIP-GMAC-256 MIC: 0a 5f a0 f4 71 df 73 9e 61 4d cf 5d bb 36 f9 65</w:t>
      </w:r>
    </w:p>
    <w:p>
      <w:pPr>
        <w:pStyle w:val="TText"/>
        <w:rPr>
          <w:u w:val="single"/>
        </w:rPr>
      </w:pPr>
      <w:r>
        <w:rPr>
          <w:u w:val="single"/>
        </w:rPr>
        <w:t>Protected MPDU (without FCS): 1c 47 00 00 02 00 00 00 00 00 00 00 00 00 00 00 00 00 00 00 00 00 00 4c 18 06 00 04 00 00 00 00 00 0a 5f a0 f4 71 df 73 9e 61 4d cf 5d bb 36 f9 65</w:t>
      </w:r>
    </w:p>
    <w:p>
      <w:pPr>
        <w:pStyle w:val="TText"/>
        <w:rPr>
          <w:u w:val="single"/>
        </w:rPr>
      </w:pPr>
      <w:r>
        <w:rPr>
          <w:u w:val="single"/>
        </w:rPr>
      </w:r>
    </w:p>
    <w:p>
      <w:pPr>
        <w:pStyle w:val="TText"/>
        <w:rPr>
          <w:u w:val="single"/>
        </w:rPr>
      </w:pPr>
      <w:r>
        <w:rPr>
          <w:u w:val="single"/>
        </w:rPr>
        <w:t>==== S1G Beacon frame with BIP-GMAC-256 using BCE, no optional header fields, S1G Beacon Compatibility element in body ====</w:t>
      </w:r>
    </w:p>
    <w:p>
      <w:pPr>
        <w:pStyle w:val="TText"/>
        <w:rPr>
          <w:u w:val="single"/>
        </w:rPr>
      </w:pPr>
      <w:r>
        <w:rPr>
          <w:u w:val="single"/>
        </w:rPr>
        <w:t>Unprotected S1G Beacon frame (without FCS): 1c 40 00 00 02 00 00 00 00 00 00 00 00 00 00 d5 08 80 00 00 00 12 34 56 78</w:t>
      </w:r>
    </w:p>
    <w:p>
      <w:pPr>
        <w:pStyle w:val="TText"/>
        <w:rPr>
          <w:u w:val="single"/>
        </w:rPr>
      </w:pPr>
      <w:r>
        <w:rPr>
          <w:u w:val="single"/>
        </w:rPr>
        <w:t>BIGTK: 4e a9 54 3e 09 cf 2b 1e ca 66 ff c5 8b de cb cf 00 01 02 03 04 05 06 07 08 09 0a 0b 0c 0d 0e 0f</w:t>
      </w:r>
    </w:p>
    <w:p>
      <w:pPr>
        <w:pStyle w:val="TText"/>
        <w:rPr>
          <w:u w:val="single"/>
        </w:rPr>
      </w:pPr>
      <w:r>
        <w:rPr>
          <w:u w:val="single"/>
        </w:rPr>
        <w:t>BIPN: 04 00 00 00 00 00</w:t>
      </w:r>
    </w:p>
    <w:p>
      <w:pPr>
        <w:pStyle w:val="TText"/>
        <w:rPr>
          <w:u w:val="single"/>
        </w:rPr>
      </w:pPr>
      <w:r>
        <w:rPr>
          <w:u w:val="single"/>
        </w:rPr>
        <w:t>S1G BIP-GMAC-256 AAD|Body(masked): 1c 40 02 00 00 00 00 00 00 04 00 00 00 00 00 d5 08 80 00 00 00 00 00 00 00 8c 10 00 00 00 00 00 00 00 00 00 00 00 00 00 00 00 00</w:t>
      </w:r>
    </w:p>
    <w:p>
      <w:pPr>
        <w:pStyle w:val="TText"/>
        <w:rPr>
          <w:u w:val="single"/>
        </w:rPr>
      </w:pPr>
      <w:r>
        <w:rPr>
          <w:u w:val="single"/>
        </w:rPr>
        <w:t>S1G BIP-GMAC-256 Nonce: 02 00 00 00 00 00 00 00 00 00 00 04</w:t>
      </w:r>
    </w:p>
    <w:p>
      <w:pPr>
        <w:pStyle w:val="TText"/>
        <w:rPr>
          <w:u w:val="single"/>
        </w:rPr>
      </w:pPr>
      <w:r>
        <w:rPr>
          <w:u w:val="single"/>
        </w:rPr>
        <w:t>S1G BIP-GMAC-256 MIC: f8 76 22 80 3d 9c 22 8a cb 3c 55 8a 33 2e 94 13</w:t>
      </w:r>
    </w:p>
    <w:p>
      <w:pPr>
        <w:pStyle w:val="TText"/>
        <w:rPr>
          <w:u w:val="single"/>
        </w:rPr>
      </w:pPr>
      <w:r>
        <w:rPr>
          <w:u w:val="single"/>
        </w:rPr>
        <w:t>Protected MPDU (without FCS): 1c 40 00 00 02 00 00 00 00 00 00 00 00 00 00 d5 08 80 00 00 00 12 34 56 78 8c 10 f8 76 22 80 3d 9c 22 8a cb 3c 55 8a 33 2e 94 13</w:t>
      </w:r>
    </w:p>
    <w:p>
      <w:pPr>
        <w:pStyle w:val="TText"/>
        <w:rPr>
          <w:u w:val="single"/>
        </w:rPr>
      </w:pPr>
      <w:r>
        <w:rPr>
          <w:u w:val="single"/>
        </w:rPr>
      </w:r>
    </w:p>
    <w:p>
      <w:pPr>
        <w:pStyle w:val="TText"/>
        <w:rPr>
          <w:u w:val="single"/>
        </w:rPr>
      </w:pPr>
      <w:r>
        <w:rPr>
          <w:u w:val="single"/>
        </w:rPr>
        <w:t>==== S1G Beacon frame with BIP-GMAC-256 using BCE, all optional header fields, no body elements ====</w:t>
      </w:r>
    </w:p>
    <w:p>
      <w:pPr>
        <w:pStyle w:val="TText"/>
        <w:rPr>
          <w:u w:val="single"/>
        </w:rPr>
      </w:pPr>
      <w:r>
        <w:rPr>
          <w:u w:val="single"/>
        </w:rPr>
        <w:t>Unprotected S1G Beacon frame (without FCS): 1c 47 00 00 02 00 00 00 00 00 00 00 00 00 00 00 00 00 00 00 00 00 00</w:t>
      </w:r>
    </w:p>
    <w:p>
      <w:pPr>
        <w:pStyle w:val="TText"/>
        <w:rPr>
          <w:u w:val="single"/>
        </w:rPr>
      </w:pPr>
      <w:r>
        <w:rPr>
          <w:u w:val="single"/>
        </w:rPr>
        <w:t>BIGTK: 4e a9 54 3e 09 cf 2b 1e ca 66 ff c5 8b de cb cf 00 01 02 03 04 05 06 07 08 09 0a 0b 0c 0d 0e 0f</w:t>
      </w:r>
    </w:p>
    <w:p>
      <w:pPr>
        <w:pStyle w:val="TText"/>
        <w:rPr>
          <w:u w:val="single"/>
        </w:rPr>
      </w:pPr>
      <w:r>
        <w:rPr>
          <w:u w:val="single"/>
        </w:rPr>
        <w:t>BIPN: 04 00 00 00 00 00</w:t>
      </w:r>
    </w:p>
    <w:p>
      <w:pPr>
        <w:pStyle w:val="TText"/>
        <w:rPr>
          <w:u w:val="single"/>
        </w:rPr>
      </w:pPr>
      <w:r>
        <w:rPr>
          <w:u w:val="single"/>
        </w:rPr>
        <w:t>S1G BIP-GMAC-256 AAD|Body(masked): 1c 47 02 00 00 00 00 00 00 00 00 00 00 00 00 00 00 04 00 00 00 00 00 8c 10 00 00 00 00 00 00 00 00 00 00 00 00 00 00 00 00</w:t>
      </w:r>
    </w:p>
    <w:p>
      <w:pPr>
        <w:pStyle w:val="TText"/>
        <w:rPr>
          <w:u w:val="single"/>
        </w:rPr>
      </w:pPr>
      <w:r>
        <w:rPr>
          <w:u w:val="single"/>
        </w:rPr>
        <w:t>S1G BIP-GMAC-256 Nonce: 02 00 00 00 00 00 00 00 00 00 00 04</w:t>
      </w:r>
    </w:p>
    <w:p>
      <w:pPr>
        <w:pStyle w:val="TText"/>
        <w:rPr>
          <w:u w:val="single"/>
        </w:rPr>
      </w:pPr>
      <w:r>
        <w:rPr>
          <w:u w:val="single"/>
        </w:rPr>
        <w:t>S1G BIP-GMAC-256 MIC: 3c 80 49 be 8c 23 34 1f 5c 2f 9c d6 03 e3 7a 5b</w:t>
      </w:r>
    </w:p>
    <w:p>
      <w:pPr>
        <w:pStyle w:val="TText"/>
        <w:rPr>
          <w:u w:val="single"/>
        </w:rPr>
      </w:pPr>
      <w:r>
        <w:rPr>
          <w:u w:val="single"/>
        </w:rPr>
        <w:t>Protected MPDU (without FCS): 1c 47 00 00 02 00 00 00 00 00 00 00 00 00 00 00 00 00 00 00 00 00 00 8c 10 3c 80 49 be 8c 23 34 1f 5c 2f 9c d6 03 e3 7a 5b</w:t>
      </w:r>
      <w:r>
        <w:br w:type="page"/>
      </w:r>
    </w:p>
    <w:p>
      <w:pPr>
        <w:pStyle w:val="Normal"/>
        <w:spacing w:before="0" w:after="0"/>
        <w:rPr>
          <w:b/>
          <w:sz w:val="24"/>
        </w:rPr>
      </w:pPr>
      <w:r>
        <w:rPr>
          <w:b/>
          <w:sz w:val="24"/>
        </w:rPr>
        <w:t>References:</w:t>
      </w:r>
    </w:p>
    <w:p>
      <w:pPr>
        <w:pStyle w:val="Normal"/>
        <w:rPr>
          <w:b/>
          <w:sz w:val="24"/>
        </w:rPr>
      </w:pPr>
      <w:r>
        <w:rPr>
          <w:b/>
          <w:sz w:val="24"/>
        </w:rPr>
      </w:r>
    </w:p>
    <w:p>
      <w:pPr>
        <w:pStyle w:val="Normal"/>
        <w:rPr/>
      </w:pPr>
      <w:hyperlink r:id="rId2">
        <w:r>
          <w:rPr>
            <w:rStyle w:val="Hyperlink"/>
            <w:b/>
            <w:sz w:val="24"/>
          </w:rPr>
          <w:t>Draft P80211REVme_D4.1.pdf</w:t>
        </w:r>
      </w:hyperlink>
    </w:p>
    <w:sectPr>
      <w:headerReference w:type="default" r:id="rId3"/>
      <w:footerReference w:type="default" r:id="rId4"/>
      <w:type w:val="nextPage"/>
      <w:pgSz w:w="12240" w:h="15840"/>
      <w:pgMar w:left="1080" w:right="1080" w:gutter="720" w:header="432" w:top="1080" w:footer="432" w:bottom="1212"/>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Arial">
    <w:charset w:val="01" w:characterSet="utf-8"/>
    <w:family w:val="roman"/>
    <w:pitch w:val="variable"/>
  </w:font>
  <w:font w:name="OpenSymbol">
    <w:altName w:val="Arial Unicode MS"/>
    <w:charset w:val="01" w:characterSet="utf-8"/>
    <w:family w:val="roman"/>
    <w:pitch w:val="variable"/>
  </w:font>
  <w:font w:name="Liberation Sans">
    <w:altName w:val="Arial"/>
    <w:charset w:val="01" w:characterSet="utf-8"/>
    <w:family w:val="roman"/>
    <w:pitch w:val="variable"/>
  </w:font>
  <w:font w:name="Courier New">
    <w:charset w:val="01" w:characterSet="utf-8"/>
    <w:family w:val="roman"/>
    <w:pitch w:val="variable"/>
  </w:font>
  <w:font w:name="DejaVu Sans">
    <w:charset w:val="01" w:characterSet="utf-8"/>
    <w:family w:val="roman"/>
    <w:pitch w:val="variable"/>
  </w:font>
  <w:font w:name="Wingdings">
    <w:charset w:val="01" w:characterSet="utf-8"/>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75" w:leader="none"/>
        <w:tab w:val="right" w:pos="9359" w:leader="none"/>
        <w:tab w:val="right" w:pos="12960" w:leader="none"/>
      </w:tabs>
      <w:rPr>
        <w:i w:val="false"/>
        <w:i w:val="false"/>
        <w:iCs w:val="false"/>
        <w:sz w:val="20"/>
        <w:szCs w:val="20"/>
      </w:rPr>
    </w:pPr>
    <w:r>
      <w:rPr>
        <w:i w:val="false"/>
        <w:iCs w:val="false"/>
        <w:sz w:val="20"/>
        <w:szCs w:val="20"/>
      </w:rPr>
      <w:fldChar w:fldCharType="begin"/>
    </w:r>
    <w:r>
      <w:rPr>
        <w:sz w:val="20"/>
        <w:i w:val="false"/>
        <w:szCs w:val="20"/>
        <w:iCs w:val="false"/>
      </w:rPr>
      <w:instrText xml:space="preserve"> SUBJECT </w:instrText>
    </w:r>
    <w:r>
      <w:rPr>
        <w:sz w:val="20"/>
        <w:i w:val="false"/>
        <w:szCs w:val="20"/>
        <w:iCs w:val="false"/>
      </w:rPr>
      <w:fldChar w:fldCharType="separate"/>
    </w:r>
    <w:r>
      <w:rPr>
        <w:sz w:val="20"/>
        <w:i w:val="false"/>
        <w:szCs w:val="20"/>
        <w:iCs w:val="false"/>
      </w:rPr>
      <w:t>Submission</w:t>
    </w:r>
    <w:r>
      <w:rPr>
        <w:sz w:val="20"/>
        <w:i w:val="false"/>
        <w:szCs w:val="20"/>
        <w:iCs w:val="false"/>
      </w:rPr>
      <w:fldChar w:fldCharType="end"/>
    </w:r>
    <w:r>
      <w:rPr>
        <w:i w:val="false"/>
        <w:iCs w:val="false"/>
        <w:sz w:val="20"/>
        <w:szCs w:val="20"/>
      </w:rPr>
      <w:tab/>
      <w:t xml:space="preserve">page </w:t>
    </w:r>
    <w:r>
      <w:rPr>
        <w:i w:val="false"/>
        <w:iCs w:val="false"/>
        <w:sz w:val="20"/>
        <w:szCs w:val="20"/>
      </w:rPr>
      <w:fldChar w:fldCharType="begin"/>
    </w:r>
    <w:r>
      <w:rPr>
        <w:sz w:val="20"/>
        <w:i w:val="false"/>
        <w:szCs w:val="20"/>
        <w:iCs w:val="false"/>
      </w:rPr>
      <w:instrText xml:space="preserve"> PAGE </w:instrText>
    </w:r>
    <w:r>
      <w:rPr>
        <w:sz w:val="20"/>
        <w:i w:val="false"/>
        <w:szCs w:val="20"/>
        <w:iCs w:val="false"/>
      </w:rPr>
      <w:fldChar w:fldCharType="separate"/>
    </w:r>
    <w:r>
      <w:rPr>
        <w:sz w:val="20"/>
        <w:i w:val="false"/>
        <w:szCs w:val="20"/>
        <w:iCs w:val="false"/>
      </w:rPr>
      <w:t>18</w:t>
    </w:r>
    <w:r>
      <w:rPr>
        <w:sz w:val="20"/>
        <w:i w:val="false"/>
        <w:szCs w:val="20"/>
        <w:iCs w:val="false"/>
      </w:rPr>
      <w:fldChar w:fldCharType="end"/>
    </w:r>
    <w:r>
      <w:rPr>
        <w:i w:val="false"/>
        <w:iCs w:val="false"/>
        <w:sz w:val="20"/>
        <w:szCs w:val="20"/>
      </w:rPr>
      <w:tab/>
    </w:r>
    <w:r>
      <w:rPr>
        <w:i w:val="false"/>
        <w:iCs w:val="false"/>
        <w:sz w:val="20"/>
        <w:szCs w:val="20"/>
      </w:rPr>
      <w:fldChar w:fldCharType="begin"/>
    </w:r>
    <w:r>
      <w:rPr>
        <w:sz w:val="20"/>
        <w:i w:val="false"/>
        <w:szCs w:val="20"/>
        <w:iCs w:val="false"/>
      </w:rPr>
      <w:instrText xml:space="preserve"> COMMENTS </w:instrText>
    </w:r>
    <w:r>
      <w:rPr>
        <w:sz w:val="20"/>
        <w:i w:val="false"/>
        <w:szCs w:val="20"/>
        <w:iCs w:val="false"/>
      </w:rPr>
      <w:fldChar w:fldCharType="separate"/>
    </w:r>
    <w:r>
      <w:rPr>
        <w:sz w:val="20"/>
        <w:i w:val="false"/>
        <w:szCs w:val="20"/>
        <w:iCs w:val="false"/>
      </w:rPr>
      <w:t>Henry Ptasinski, Morse Micro</w:t>
    </w:r>
    <w:r>
      <w:rPr>
        <w:sz w:val="20"/>
        <w:i w:val="false"/>
        <w:szCs w:val="20"/>
        <w:iCs w:val="false"/>
      </w:rPr>
      <w:fldChar w:fldCharType="end"/>
    </w:r>
    <w:r>
      <w:rPr>
        <w:i w:val="false"/>
        <w:iCs w:val="false"/>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9360" w:leader="none"/>
        <w:tab w:val="right" w:pos="12960" w:leader="none"/>
      </w:tabs>
      <w:rPr/>
    </w:pPr>
    <w:r>
      <w:rPr>
        <w:i w:val="false"/>
        <w:iCs w:val="false"/>
      </w:rPr>
      <w:fldChar w:fldCharType="begin"/>
    </w:r>
    <w:r>
      <w:rPr>
        <w:i w:val="false"/>
        <w:iCs w:val="false"/>
      </w:rPr>
      <w:instrText xml:space="preserve"> KEYWORDS </w:instrText>
    </w:r>
    <w:r>
      <w:rPr>
        <w:i w:val="false"/>
        <w:iCs w:val="false"/>
      </w:rPr>
      <w:fldChar w:fldCharType="separate"/>
    </w:r>
    <w:r>
      <w:rPr>
        <w:i w:val="false"/>
        <w:iCs w:val="false"/>
      </w:rPr>
      <w:t>November 2023</w:t>
    </w:r>
    <w:r>
      <w:rPr>
        <w:i w:val="false"/>
        <w:iCs w:val="false"/>
      </w:rPr>
      <w:fldChar w:fldCharType="end"/>
    </w:r>
    <w:r>
      <w:rPr/>
      <w:tab/>
      <w:tab/>
    </w:r>
    <w:r>
      <w:rPr>
        <w:i w:val="false"/>
        <w:iCs w:val="false"/>
      </w:rPr>
      <w:fldChar w:fldCharType="begin"/>
    </w:r>
    <w:r>
      <w:rPr>
        <w:i w:val="false"/>
        <w:iCs w:val="false"/>
      </w:rPr>
      <w:instrText xml:space="preserve"> TITLE </w:instrText>
    </w:r>
    <w:r>
      <w:rPr>
        <w:i w:val="false"/>
        <w:iCs w:val="false"/>
      </w:rPr>
      <w:fldChar w:fldCharType="separate"/>
    </w:r>
    <w:r>
      <w:rPr>
        <w:i w:val="false"/>
        <w:iCs w:val="false"/>
      </w:rPr>
      <w:t>doc.: IEEE 802.11-23/1777r2</w:t>
    </w:r>
    <w:r>
      <w:rPr>
        <w:i w:val="false"/>
        <w:iCs w:val="false"/>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abstractNum w:abstractNumId="2">
    <w:lvl w:ilvl="0">
      <w:start w:val="1"/>
      <w:numFmt w:val="lowerLetter"/>
      <w:lvlText w:val="%1)"/>
      <w:lvlJc w:val="start"/>
      <w:pPr>
        <w:tabs>
          <w:tab w:val="num" w:pos="0"/>
        </w:tabs>
        <w:ind w:start="0" w:hanging="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3">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4">
    <w:lvl w:ilvl="0">
      <w:start w:val="1"/>
      <w:numFmt w:val="lowerLetter"/>
      <w:lvlText w:val="%1)"/>
      <w:lvlJc w:val="start"/>
      <w:pPr>
        <w:tabs>
          <w:tab w:val="num" w:pos="920"/>
        </w:tabs>
        <w:ind w:start="920" w:hanging="360"/>
      </w:pPr>
      <w:rPr/>
    </w:lvl>
    <w:lvl w:ilvl="1">
      <w:start w:val="1"/>
      <w:numFmt w:val="decimal"/>
      <w:lvlText w:val="%2)"/>
      <w:lvlJc w:val="start"/>
      <w:pPr>
        <w:tabs>
          <w:tab w:val="num" w:pos="1280"/>
        </w:tabs>
        <w:ind w:start="1280" w:hanging="360"/>
      </w:pPr>
      <w:rPr/>
    </w:lvl>
    <w:lvl w:ilvl="2">
      <w:start w:val="1"/>
      <w:numFmt w:val="decimal"/>
      <w:lvlText w:val="%3."/>
      <w:lvlJc w:val="start"/>
      <w:pPr>
        <w:tabs>
          <w:tab w:val="num" w:pos="1640"/>
        </w:tabs>
        <w:ind w:start="1640" w:hanging="360"/>
      </w:pPr>
      <w:rPr/>
    </w:lvl>
    <w:lvl w:ilvl="3">
      <w:start w:val="1"/>
      <w:numFmt w:val="decimal"/>
      <w:lvlText w:val="%4."/>
      <w:lvlJc w:val="start"/>
      <w:pPr>
        <w:tabs>
          <w:tab w:val="num" w:pos="2000"/>
        </w:tabs>
        <w:ind w:start="2000" w:hanging="360"/>
      </w:pPr>
      <w:rPr/>
    </w:lvl>
    <w:lvl w:ilvl="4">
      <w:start w:val="1"/>
      <w:numFmt w:val="decimal"/>
      <w:lvlText w:val="%5."/>
      <w:lvlJc w:val="start"/>
      <w:pPr>
        <w:tabs>
          <w:tab w:val="num" w:pos="2360"/>
        </w:tabs>
        <w:ind w:start="2360" w:hanging="360"/>
      </w:pPr>
      <w:rPr/>
    </w:lvl>
    <w:lvl w:ilvl="5">
      <w:start w:val="1"/>
      <w:numFmt w:val="decimal"/>
      <w:lvlText w:val="%6."/>
      <w:lvlJc w:val="start"/>
      <w:pPr>
        <w:tabs>
          <w:tab w:val="num" w:pos="2720"/>
        </w:tabs>
        <w:ind w:start="2720" w:hanging="360"/>
      </w:pPr>
      <w:rPr/>
    </w:lvl>
    <w:lvl w:ilvl="6">
      <w:start w:val="1"/>
      <w:numFmt w:val="decimal"/>
      <w:lvlText w:val="%7."/>
      <w:lvlJc w:val="start"/>
      <w:pPr>
        <w:tabs>
          <w:tab w:val="num" w:pos="3080"/>
        </w:tabs>
        <w:ind w:start="3080" w:hanging="360"/>
      </w:pPr>
      <w:rPr/>
    </w:lvl>
    <w:lvl w:ilvl="7">
      <w:start w:val="1"/>
      <w:numFmt w:val="decimal"/>
      <w:lvlText w:val="%8."/>
      <w:lvlJc w:val="start"/>
      <w:pPr>
        <w:tabs>
          <w:tab w:val="num" w:pos="3440"/>
        </w:tabs>
        <w:ind w:start="3440" w:hanging="360"/>
      </w:pPr>
      <w:rPr/>
    </w:lvl>
    <w:lvl w:ilvl="8">
      <w:start w:val="1"/>
      <w:numFmt w:val="decimal"/>
      <w:lvlText w:val="%9."/>
      <w:lvlJc w:val="start"/>
      <w:pPr>
        <w:tabs>
          <w:tab w:val="num" w:pos="3800"/>
        </w:tabs>
        <w:ind w:start="3800" w:hanging="360"/>
      </w:pPr>
      <w:rPr/>
    </w:lvl>
  </w:abstractNum>
  <w:abstractNum w:abstractNumId="5">
    <w:lvl w:ilvl="0">
      <w:start w:val="1"/>
      <w:numFmt w:val="lowerLetter"/>
      <w:lvlText w:val="%1)"/>
      <w:lvlJc w:val="start"/>
      <w:pPr>
        <w:tabs>
          <w:tab w:val="num" w:pos="920"/>
        </w:tabs>
        <w:ind w:start="920" w:hanging="360"/>
      </w:pPr>
      <w:rPr/>
    </w:lvl>
    <w:lvl w:ilvl="1">
      <w:start w:val="1"/>
      <w:numFmt w:val="decimal"/>
      <w:lvlText w:val="%2)"/>
      <w:lvlJc w:val="start"/>
      <w:pPr>
        <w:tabs>
          <w:tab w:val="num" w:pos="1280"/>
        </w:tabs>
        <w:ind w:start="1280" w:hanging="360"/>
      </w:pPr>
      <w:rPr/>
    </w:lvl>
    <w:lvl w:ilvl="2">
      <w:start w:val="1"/>
      <w:numFmt w:val="decimal"/>
      <w:lvlText w:val="%3."/>
      <w:lvlJc w:val="start"/>
      <w:pPr>
        <w:tabs>
          <w:tab w:val="num" w:pos="1640"/>
        </w:tabs>
        <w:ind w:start="1640" w:hanging="360"/>
      </w:pPr>
      <w:rPr/>
    </w:lvl>
    <w:lvl w:ilvl="3">
      <w:start w:val="1"/>
      <w:numFmt w:val="decimal"/>
      <w:lvlText w:val="%4."/>
      <w:lvlJc w:val="start"/>
      <w:pPr>
        <w:tabs>
          <w:tab w:val="num" w:pos="2000"/>
        </w:tabs>
        <w:ind w:start="2000" w:hanging="360"/>
      </w:pPr>
      <w:rPr/>
    </w:lvl>
    <w:lvl w:ilvl="4">
      <w:start w:val="1"/>
      <w:numFmt w:val="decimal"/>
      <w:lvlText w:val="%5."/>
      <w:lvlJc w:val="start"/>
      <w:pPr>
        <w:tabs>
          <w:tab w:val="num" w:pos="2360"/>
        </w:tabs>
        <w:ind w:start="2360" w:hanging="360"/>
      </w:pPr>
      <w:rPr/>
    </w:lvl>
    <w:lvl w:ilvl="5">
      <w:start w:val="1"/>
      <w:numFmt w:val="decimal"/>
      <w:lvlText w:val="%6."/>
      <w:lvlJc w:val="start"/>
      <w:pPr>
        <w:tabs>
          <w:tab w:val="num" w:pos="2720"/>
        </w:tabs>
        <w:ind w:start="2720" w:hanging="360"/>
      </w:pPr>
      <w:rPr/>
    </w:lvl>
    <w:lvl w:ilvl="6">
      <w:start w:val="1"/>
      <w:numFmt w:val="decimal"/>
      <w:lvlText w:val="%7."/>
      <w:lvlJc w:val="start"/>
      <w:pPr>
        <w:tabs>
          <w:tab w:val="num" w:pos="3080"/>
        </w:tabs>
        <w:ind w:start="3080" w:hanging="360"/>
      </w:pPr>
      <w:rPr/>
    </w:lvl>
    <w:lvl w:ilvl="7">
      <w:start w:val="1"/>
      <w:numFmt w:val="decimal"/>
      <w:lvlText w:val="%8."/>
      <w:lvlJc w:val="start"/>
      <w:pPr>
        <w:tabs>
          <w:tab w:val="num" w:pos="3440"/>
        </w:tabs>
        <w:ind w:start="3440" w:hanging="360"/>
      </w:pPr>
      <w:rPr/>
    </w:lvl>
    <w:lvl w:ilvl="8">
      <w:start w:val="1"/>
      <w:numFmt w:val="decimal"/>
      <w:lvlText w:val="%9."/>
      <w:lvlJc w:val="start"/>
      <w:pPr>
        <w:tabs>
          <w:tab w:val="num" w:pos="3800"/>
        </w:tabs>
        <w:ind w:start="3800" w:hanging="360"/>
      </w:pPr>
      <w:rPr/>
    </w:lvl>
  </w:abstractNum>
  <w:abstractNum w:abstractNumId="6">
    <w:lvl w:ilvl="0">
      <w:start w:val="1"/>
      <w:numFmt w:val="lowerLetter"/>
      <w:lvlText w:val="%1)"/>
      <w:lvlJc w:val="start"/>
      <w:pPr>
        <w:tabs>
          <w:tab w:val="num" w:pos="0"/>
        </w:tabs>
        <w:ind w:start="0" w:hanging="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7">
    <w:lvl w:ilvl="0">
      <w:start w:val="1"/>
      <w:numFmt w:val="lowerLetter"/>
      <w:lvlText w:val="%1)"/>
      <w:lvlJc w:val="start"/>
      <w:pPr>
        <w:tabs>
          <w:tab w:val="num" w:pos="0"/>
        </w:tabs>
        <w:ind w:start="0" w:hanging="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8">
    <w:lvl w:ilvl="0">
      <w:start w:val="1"/>
      <w:numFmt w:val="lowerLetter"/>
      <w:lvlText w:val="%1)"/>
      <w:lvlJc w:val="start"/>
      <w:pPr>
        <w:tabs>
          <w:tab w:val="num" w:pos="920"/>
        </w:tabs>
        <w:ind w:start="920" w:hanging="360"/>
      </w:pPr>
      <w:rPr/>
    </w:lvl>
    <w:lvl w:ilvl="1">
      <w:start w:val="1"/>
      <w:numFmt w:val="decimal"/>
      <w:lvlText w:val="%2)"/>
      <w:lvlJc w:val="start"/>
      <w:pPr>
        <w:tabs>
          <w:tab w:val="num" w:pos="1280"/>
        </w:tabs>
        <w:ind w:start="1280" w:hanging="360"/>
      </w:pPr>
      <w:rPr/>
    </w:lvl>
    <w:lvl w:ilvl="2">
      <w:start w:val="1"/>
      <w:numFmt w:val="decimal"/>
      <w:lvlText w:val="%3."/>
      <w:lvlJc w:val="start"/>
      <w:pPr>
        <w:tabs>
          <w:tab w:val="num" w:pos="1640"/>
        </w:tabs>
        <w:ind w:start="1640" w:hanging="360"/>
      </w:pPr>
      <w:rPr/>
    </w:lvl>
    <w:lvl w:ilvl="3">
      <w:start w:val="1"/>
      <w:numFmt w:val="decimal"/>
      <w:lvlText w:val="%4."/>
      <w:lvlJc w:val="start"/>
      <w:pPr>
        <w:tabs>
          <w:tab w:val="num" w:pos="2000"/>
        </w:tabs>
        <w:ind w:start="2000" w:hanging="360"/>
      </w:pPr>
      <w:rPr/>
    </w:lvl>
    <w:lvl w:ilvl="4">
      <w:start w:val="1"/>
      <w:numFmt w:val="decimal"/>
      <w:lvlText w:val="%5."/>
      <w:lvlJc w:val="start"/>
      <w:pPr>
        <w:tabs>
          <w:tab w:val="num" w:pos="2360"/>
        </w:tabs>
        <w:ind w:start="2360" w:hanging="360"/>
      </w:pPr>
      <w:rPr/>
    </w:lvl>
    <w:lvl w:ilvl="5">
      <w:start w:val="1"/>
      <w:numFmt w:val="decimal"/>
      <w:lvlText w:val="%6."/>
      <w:lvlJc w:val="start"/>
      <w:pPr>
        <w:tabs>
          <w:tab w:val="num" w:pos="2720"/>
        </w:tabs>
        <w:ind w:start="2720" w:hanging="360"/>
      </w:pPr>
      <w:rPr/>
    </w:lvl>
    <w:lvl w:ilvl="6">
      <w:start w:val="1"/>
      <w:numFmt w:val="decimal"/>
      <w:lvlText w:val="%7."/>
      <w:lvlJc w:val="start"/>
      <w:pPr>
        <w:tabs>
          <w:tab w:val="num" w:pos="3080"/>
        </w:tabs>
        <w:ind w:start="3080" w:hanging="360"/>
      </w:pPr>
      <w:rPr/>
    </w:lvl>
    <w:lvl w:ilvl="7">
      <w:start w:val="1"/>
      <w:numFmt w:val="decimal"/>
      <w:lvlText w:val="%8."/>
      <w:lvlJc w:val="start"/>
      <w:pPr>
        <w:tabs>
          <w:tab w:val="num" w:pos="3440"/>
        </w:tabs>
        <w:ind w:start="3440" w:hanging="360"/>
      </w:pPr>
      <w:rPr/>
    </w:lvl>
    <w:lvl w:ilvl="8">
      <w:start w:val="1"/>
      <w:numFmt w:val="decimal"/>
      <w:lvlText w:val="%9."/>
      <w:lvlJc w:val="start"/>
      <w:pPr>
        <w:tabs>
          <w:tab w:val="num" w:pos="3800"/>
        </w:tabs>
        <w:ind w:start="3800" w:hanging="360"/>
      </w:pPr>
      <w:rPr/>
    </w:lvl>
  </w:abstractNum>
  <w:abstractNum w:abstractNumId="9">
    <w:lvl w:ilvl="0">
      <w:start w:val="1"/>
      <w:numFmt w:val="lowerLetter"/>
      <w:lvlText w:val="%1)"/>
      <w:lvlJc w:val="start"/>
      <w:pPr>
        <w:tabs>
          <w:tab w:val="num" w:pos="920"/>
        </w:tabs>
        <w:ind w:start="920" w:hanging="360"/>
      </w:pPr>
      <w:rPr/>
    </w:lvl>
    <w:lvl w:ilvl="1">
      <w:start w:val="1"/>
      <w:numFmt w:val="decimal"/>
      <w:lvlText w:val="%2)"/>
      <w:lvlJc w:val="start"/>
      <w:pPr>
        <w:tabs>
          <w:tab w:val="num" w:pos="1280"/>
        </w:tabs>
        <w:ind w:start="1280" w:hanging="360"/>
      </w:pPr>
      <w:rPr/>
    </w:lvl>
    <w:lvl w:ilvl="2">
      <w:start w:val="1"/>
      <w:numFmt w:val="decimal"/>
      <w:lvlText w:val="%3."/>
      <w:lvlJc w:val="start"/>
      <w:pPr>
        <w:tabs>
          <w:tab w:val="num" w:pos="1640"/>
        </w:tabs>
        <w:ind w:start="1640" w:hanging="360"/>
      </w:pPr>
      <w:rPr/>
    </w:lvl>
    <w:lvl w:ilvl="3">
      <w:start w:val="1"/>
      <w:numFmt w:val="decimal"/>
      <w:lvlText w:val="%4."/>
      <w:lvlJc w:val="start"/>
      <w:pPr>
        <w:tabs>
          <w:tab w:val="num" w:pos="2000"/>
        </w:tabs>
        <w:ind w:start="2000" w:hanging="360"/>
      </w:pPr>
      <w:rPr/>
    </w:lvl>
    <w:lvl w:ilvl="4">
      <w:start w:val="1"/>
      <w:numFmt w:val="decimal"/>
      <w:lvlText w:val="%5."/>
      <w:lvlJc w:val="start"/>
      <w:pPr>
        <w:tabs>
          <w:tab w:val="num" w:pos="2360"/>
        </w:tabs>
        <w:ind w:start="2360" w:hanging="360"/>
      </w:pPr>
      <w:rPr/>
    </w:lvl>
    <w:lvl w:ilvl="5">
      <w:start w:val="1"/>
      <w:numFmt w:val="decimal"/>
      <w:lvlText w:val="%6."/>
      <w:lvlJc w:val="start"/>
      <w:pPr>
        <w:tabs>
          <w:tab w:val="num" w:pos="2720"/>
        </w:tabs>
        <w:ind w:start="2720" w:hanging="360"/>
      </w:pPr>
      <w:rPr/>
    </w:lvl>
    <w:lvl w:ilvl="6">
      <w:start w:val="1"/>
      <w:numFmt w:val="decimal"/>
      <w:lvlText w:val="%7."/>
      <w:lvlJc w:val="start"/>
      <w:pPr>
        <w:tabs>
          <w:tab w:val="num" w:pos="3080"/>
        </w:tabs>
        <w:ind w:start="3080" w:hanging="360"/>
      </w:pPr>
      <w:rPr/>
    </w:lvl>
    <w:lvl w:ilvl="7">
      <w:start w:val="1"/>
      <w:numFmt w:val="decimal"/>
      <w:lvlText w:val="%8."/>
      <w:lvlJc w:val="start"/>
      <w:pPr>
        <w:tabs>
          <w:tab w:val="num" w:pos="3440"/>
        </w:tabs>
        <w:ind w:start="3440" w:hanging="360"/>
      </w:pPr>
      <w:rPr/>
    </w:lvl>
    <w:lvl w:ilvl="8">
      <w:start w:val="1"/>
      <w:numFmt w:val="decimal"/>
      <w:lvlText w:val="%9."/>
      <w:lvlJc w:val="start"/>
      <w:pPr>
        <w:tabs>
          <w:tab w:val="num" w:pos="3800"/>
        </w:tabs>
        <w:ind w:start="3800" w:hanging="360"/>
      </w:pPr>
      <w:rPr/>
    </w:lvl>
  </w:abstractNum>
  <w:abstractNum w:abstractNumId="10">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2"/>
    <w:lvlOverride w:ilvl="0">
      <w:startOverride w:val="1"/>
    </w:lvlOverride>
  </w:num>
  <w:num w:numId="12">
    <w:abstractNumId w:val="2"/>
    <w:lvlOverride w:ilvl="0">
      <w:startOverride w:val="1"/>
    </w:lvlOverride>
  </w:num>
  <w:num w:numId="13">
    <w:abstractNumId w:val="4"/>
    <w:lvlOverride w:ilvl="0">
      <w:startOverride w:val="1"/>
    </w:lvlOverride>
  </w:num>
  <w:num w:numId="14">
    <w:abstractNumId w:val="5"/>
    <w:lvlOverride w:ilvl="0">
      <w:startOverride w:val="1"/>
    </w:lvlOverride>
  </w:num>
</w:numbering>
</file>

<file path=word/settings.xml><?xml version="1.0" encoding="utf-8"?>
<w:settings xmlns:w="http://schemas.openxmlformats.org/wordprocessingml/2006/main">
  <w:zoom w:percent="120"/>
  <w:mirrorMargins/>
  <w:defaultTabStop w:val="720"/>
  <w:autoHyphenation w:val="true"/>
  <w:compat>
    <w:doNotBreakWrappedTables/>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start"/>
    </w:pPr>
    <w:rPr>
      <w:rFonts w:ascii="Times New Roman" w:hAnsi="Times New Roman" w:eastAsia="Times New Roman" w:cs="Times New Roman"/>
      <w:i/>
      <w:iCs/>
      <w:color w:val="auto"/>
      <w:kern w:val="0"/>
      <w:sz w:val="22"/>
      <w:szCs w:val="20"/>
      <w:lang w:val="en-GB" w:eastAsia="zh-CN" w:bidi="ar-SA"/>
    </w:rPr>
  </w:style>
  <w:style w:type="paragraph" w:styleId="Heading1">
    <w:name w:val="Heading 1"/>
    <w:basedOn w:val="Normal"/>
    <w:next w:val="Normal"/>
    <w:qFormat/>
    <w:pPr>
      <w:keepNext w:val="true"/>
      <w:keepLines/>
      <w:numPr>
        <w:ilvl w:val="0"/>
        <w:numId w:val="1"/>
      </w:numPr>
      <w:spacing w:before="320" w:after="0"/>
      <w:outlineLvl w:val="0"/>
    </w:pPr>
    <w:rPr>
      <w:rFonts w:ascii="Arial" w:hAnsi="Arial" w:cs="Arial"/>
      <w:b/>
      <w:sz w:val="32"/>
      <w:u w:val="single"/>
    </w:rPr>
  </w:style>
  <w:style w:type="paragraph" w:styleId="Heading2">
    <w:name w:val="Heading 2"/>
    <w:basedOn w:val="Normal"/>
    <w:next w:val="Normal"/>
    <w:qFormat/>
    <w:pPr>
      <w:keepNext w:val="true"/>
      <w:keepLines/>
      <w:numPr>
        <w:ilvl w:val="1"/>
        <w:numId w:val="1"/>
      </w:numPr>
      <w:spacing w:before="280" w:after="0"/>
      <w:outlineLvl w:val="1"/>
    </w:pPr>
    <w:rPr>
      <w:rFonts w:ascii="Arial" w:hAnsi="Arial" w:cs="Arial"/>
      <w:b/>
      <w:sz w:val="28"/>
      <w:u w:val="single"/>
    </w:rPr>
  </w:style>
  <w:style w:type="paragraph" w:styleId="Heading3">
    <w:name w:val="Heading 3"/>
    <w:basedOn w:val="Normal"/>
    <w:next w:val="Normal"/>
    <w:qFormat/>
    <w:pPr>
      <w:keepNext w:val="true"/>
      <w:keepLines/>
      <w:numPr>
        <w:ilvl w:val="2"/>
        <w:numId w:val="1"/>
      </w:numPr>
      <w:spacing w:before="240" w:after="60"/>
      <w:outlineLvl w:val="2"/>
    </w:pPr>
    <w:rPr>
      <w:rFonts w:ascii="Arial" w:hAnsi="Arial" w:cs="Arial"/>
      <w:b/>
      <w:sz w:val="24"/>
    </w:rPr>
  </w:style>
  <w:style w:type="character" w:styleId="DefaultParagraphFont">
    <w:name w:val="Default Paragraph Font"/>
    <w:qFormat/>
    <w:rPr/>
  </w:style>
  <w:style w:type="character" w:styleId="Hyperlink">
    <w:name w:val="Hyperlink"/>
    <w:rPr>
      <w:color w:val="0000FF"/>
      <w:u w:val="single"/>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FootnoteCharacters">
    <w:name w:val="Footnote Characters"/>
    <w:qFormat/>
    <w:rPr>
      <w:vertAlign w:val="superscript"/>
    </w:rPr>
  </w:style>
  <w:style w:type="character" w:styleId="FootnoteReference">
    <w:name w:val="Footnote Reference"/>
    <w:rPr>
      <w:vertAlign w:val="superscript"/>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hanging="0" w:start="720" w:end="720"/>
    </w:pPr>
    <w:rPr/>
  </w:style>
  <w:style w:type="paragraph" w:styleId="T3">
    <w:name w:val="T3"/>
    <w:basedOn w:val="T1"/>
    <w:qFormat/>
    <w:pPr>
      <w:pBdr>
        <w:bottom w:val="single" w:sz="6" w:space="1" w:color="000000"/>
      </w:pBdr>
      <w:tabs>
        <w:tab w:val="clear" w:pos="720"/>
        <w:tab w:val="center" w:pos="4680" w:leader="none"/>
      </w:tabs>
      <w:spacing w:before="0" w:after="240"/>
      <w:jc w:val="start"/>
    </w:pPr>
    <w:rPr>
      <w:b w:val="false"/>
      <w:sz w:val="24"/>
    </w:rPr>
  </w:style>
  <w:style w:type="paragraph" w:styleId="BodyTextIndent">
    <w:name w:val="Body Text Indent"/>
    <w:basedOn w:val="Normal"/>
    <w:pPr>
      <w:ind w:hanging="720" w:start="720" w:end="0"/>
    </w:pPr>
    <w:rPr>
      <w:sz w:val="22"/>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paragraph" w:styleId="TText">
    <w:name w:val="T,Text"/>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overflowPunct w:val="false"/>
      <w:bidi w:val="0"/>
      <w:spacing w:lineRule="atLeast" w:line="240" w:before="240" w:after="0"/>
      <w:jc w:val="both"/>
      <w:textAlignment w:val="auto"/>
    </w:pPr>
    <w:rPr>
      <w:rFonts w:ascii="Times New Roman" w:hAnsi="Times New Roman" w:eastAsia="Marlett" w:cs="Arial"/>
      <w:b w:val="false"/>
      <w:i w:val="false"/>
      <w:strike w:val="false"/>
      <w:dstrike w:val="false"/>
      <w:color w:val="000000"/>
      <w:spacing w:val="0"/>
      <w:w w:val="100"/>
      <w:kern w:val="0"/>
      <w:sz w:val="20"/>
      <w:szCs w:val="24"/>
      <w:u w:val="none"/>
      <w:em w:val="none"/>
      <w:lang w:val="en-US" w:eastAsia="zh-CN" w:bidi="hi-IN"/>
    </w:rPr>
  </w:style>
  <w:style w:type="paragraph" w:styleId="H41111">
    <w:name w:val="H4,1.1.1.1"/>
    <w:qFormat/>
    <w:pPr>
      <w:keepNext w:val="true"/>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false"/>
      <w:overflowPunct w:val="false"/>
      <w:bidi w:val="0"/>
      <w:spacing w:lineRule="atLeast" w:line="240" w:before="240" w:after="240"/>
      <w:jc w:val="start"/>
      <w:textAlignment w:val="auto"/>
    </w:pPr>
    <w:rPr>
      <w:rFonts w:ascii="Arial" w:hAnsi="Arial" w:eastAsia="Marlett" w:cs="Arial"/>
      <w:b/>
      <w:i w:val="false"/>
      <w:strike w:val="false"/>
      <w:dstrike w:val="false"/>
      <w:color w:val="000000"/>
      <w:spacing w:val="0"/>
      <w:w w:val="100"/>
      <w:kern w:val="0"/>
      <w:sz w:val="28"/>
      <w:szCs w:val="28"/>
      <w:u w:val="none"/>
      <w:em w:val="none"/>
      <w:lang w:val="en-US" w:eastAsia="zh-CN" w:bidi="hi-IN"/>
    </w:rPr>
  </w:style>
  <w:style w:type="paragraph" w:styleId="L1LetteredList">
    <w:name w:val="L1,LetteredList"/>
    <w:next w:val="LLetteredList"/>
    <w:qFormat/>
    <w:pPr>
      <w:widowControl/>
      <w:tabs>
        <w:tab w:val="clear" w:pos="720"/>
        <w:tab w:val="left" w:pos="640" w:leader="none"/>
      </w:tabs>
      <w:suppressAutoHyphens w:val="true"/>
      <w:overflowPunct w:val="false"/>
      <w:bidi w:val="0"/>
      <w:spacing w:lineRule="atLeast" w:line="240" w:before="60" w:after="60"/>
      <w:ind w:hanging="440" w:start="640" w:end="0"/>
      <w:jc w:val="both"/>
      <w:textAlignment w:val="auto"/>
    </w:pPr>
    <w:rPr>
      <w:rFonts w:ascii="Times New Roman" w:hAnsi="Times New Roman" w:eastAsia="Marlett" w:cs="Arial"/>
      <w:b w:val="false"/>
      <w:i w:val="false"/>
      <w:strike w:val="false"/>
      <w:dstrike w:val="false"/>
      <w:color w:val="000000"/>
      <w:spacing w:val="0"/>
      <w:w w:val="100"/>
      <w:kern w:val="0"/>
      <w:sz w:val="20"/>
      <w:szCs w:val="24"/>
      <w:u w:val="none"/>
      <w:em w:val="none"/>
      <w:lang w:val="en-US" w:eastAsia="zh-CN" w:bidi="hi-IN"/>
    </w:rPr>
  </w:style>
  <w:style w:type="paragraph" w:styleId="LLetteredList">
    <w:name w:val="L,LetteredList"/>
    <w:qFormat/>
    <w:pPr>
      <w:widowControl/>
      <w:tabs>
        <w:tab w:val="clear" w:pos="720"/>
        <w:tab w:val="left" w:pos="640" w:leader="none"/>
      </w:tabs>
      <w:suppressAutoHyphens w:val="true"/>
      <w:overflowPunct w:val="false"/>
      <w:bidi w:val="0"/>
      <w:spacing w:lineRule="atLeast" w:line="240" w:before="60" w:after="60"/>
      <w:ind w:hanging="440" w:start="640" w:end="0"/>
      <w:jc w:val="both"/>
      <w:textAlignment w:val="auto"/>
    </w:pPr>
    <w:rPr>
      <w:rFonts w:ascii="Times New Roman" w:hAnsi="Times New Roman" w:eastAsia="Marlett" w:cs="Arial"/>
      <w:b w:val="false"/>
      <w:i w:val="false"/>
      <w:strike w:val="false"/>
      <w:dstrike w:val="false"/>
      <w:color w:val="000000"/>
      <w:spacing w:val="0"/>
      <w:w w:val="100"/>
      <w:kern w:val="0"/>
      <w:sz w:val="20"/>
      <w:szCs w:val="24"/>
      <w:u w:val="none"/>
      <w:em w:val="none"/>
      <w:lang w:val="en-US" w:eastAsia="zh-CN" w:bidi="hi-IN"/>
    </w:rPr>
  </w:style>
  <w:style w:type="paragraph" w:styleId="Ll1NumberedList2">
    <w:name w:val="Ll1,NumberedList2"/>
    <w:qFormat/>
    <w:pPr>
      <w:widowControl/>
      <w:tabs>
        <w:tab w:val="clear" w:pos="720"/>
        <w:tab w:val="left" w:pos="1040" w:leader="none"/>
      </w:tabs>
      <w:suppressAutoHyphens w:val="true"/>
      <w:overflowPunct w:val="false"/>
      <w:bidi w:val="0"/>
      <w:spacing w:lineRule="atLeast" w:line="240" w:before="60" w:after="60"/>
      <w:ind w:hanging="400" w:start="1040" w:end="0"/>
      <w:jc w:val="both"/>
      <w:textAlignment w:val="auto"/>
    </w:pPr>
    <w:rPr>
      <w:rFonts w:ascii="Times New Roman" w:hAnsi="Times New Roman" w:eastAsia="Marlett" w:cs="Arial"/>
      <w:b w:val="false"/>
      <w:i w:val="false"/>
      <w:strike w:val="false"/>
      <w:dstrike w:val="false"/>
      <w:color w:val="000000"/>
      <w:spacing w:val="0"/>
      <w:w w:val="100"/>
      <w:kern w:val="0"/>
      <w:sz w:val="20"/>
      <w:szCs w:val="24"/>
      <w:u w:val="none"/>
      <w:em w:val="none"/>
      <w:lang w:val="en-US" w:eastAsia="zh-CN" w:bidi="hi-IN"/>
    </w:rPr>
  </w:style>
  <w:style w:type="paragraph" w:styleId="Figuretext">
    <w:name w:val="figure_text"/>
    <w:qFormat/>
    <w:pPr>
      <w:widowControl w:val="false"/>
      <w:suppressAutoHyphens w:val="false"/>
      <w:overflowPunct w:val="false"/>
      <w:bidi w:val="0"/>
      <w:spacing w:lineRule="atLeast" w:line="160" w:before="0" w:after="0"/>
      <w:jc w:val="center"/>
      <w:textAlignment w:val="auto"/>
    </w:pPr>
    <w:rPr>
      <w:rFonts w:ascii="Arial" w:hAnsi="Arial" w:eastAsia="Marlett" w:cs="Arial"/>
      <w:b w:val="false"/>
      <w:i w:val="false"/>
      <w:strike w:val="false"/>
      <w:dstrike w:val="false"/>
      <w:color w:val="000000"/>
      <w:spacing w:val="0"/>
      <w:w w:val="100"/>
      <w:kern w:val="0"/>
      <w:sz w:val="16"/>
      <w:szCs w:val="24"/>
      <w:u w:val="none"/>
      <w:em w:val="none"/>
      <w:lang w:val="en-US" w:eastAsia="zh-CN" w:bidi="hi-IN"/>
    </w:rPr>
  </w:style>
  <w:style w:type="paragraph" w:styleId="FigTitle">
    <w:name w:val="FigTitle"/>
    <w:qFormat/>
    <w:pPr>
      <w:widowControl w:val="false"/>
      <w:suppressAutoHyphens w:val="true"/>
      <w:overflowPunct w:val="false"/>
      <w:bidi w:val="0"/>
      <w:spacing w:lineRule="atLeast" w:line="240" w:before="240" w:after="0"/>
      <w:jc w:val="center"/>
      <w:textAlignment w:val="auto"/>
    </w:pPr>
    <w:rPr>
      <w:rFonts w:ascii="Arial" w:hAnsi="Arial" w:eastAsia="Marlett" w:cs="Arial"/>
      <w:b/>
      <w:i w:val="false"/>
      <w:strike w:val="false"/>
      <w:dstrike w:val="false"/>
      <w:color w:val="000000"/>
      <w:spacing w:val="0"/>
      <w:w w:val="100"/>
      <w:kern w:val="0"/>
      <w:sz w:val="20"/>
      <w:szCs w:val="24"/>
      <w:u w:val="none"/>
      <w:em w:val="none"/>
      <w:lang w:val="en-US" w:eastAsia="zh-CN" w:bidi="hi-IN"/>
    </w:rPr>
  </w:style>
  <w:style w:type="paragraph" w:styleId="Body">
    <w:name w:val="Body"/>
    <w:qFormat/>
    <w:pPr>
      <w:widowControl w:val="false"/>
      <w:suppressAutoHyphens w:val="false"/>
      <w:overflowPunct w:val="false"/>
      <w:bidi w:val="0"/>
      <w:spacing w:lineRule="atLeast" w:line="240" w:before="480" w:after="0"/>
      <w:jc w:val="both"/>
      <w:textAlignment w:val="auto"/>
    </w:pPr>
    <w:rPr>
      <w:rFonts w:ascii="Times New Roman" w:hAnsi="Times New Roman" w:eastAsia="Marlett" w:cs="Arial"/>
      <w:b w:val="false"/>
      <w:i w:val="false"/>
      <w:strike w:val="false"/>
      <w:dstrike w:val="false"/>
      <w:color w:val="000000"/>
      <w:spacing w:val="0"/>
      <w:w w:val="100"/>
      <w:kern w:val="0"/>
      <w:sz w:val="20"/>
      <w:szCs w:val="24"/>
      <w:u w:val="none"/>
      <w:em w:val="none"/>
      <w:lang w:val="en-US" w:eastAsia="zh-CN" w:bidi="hi-IN"/>
    </w:rPr>
  </w:style>
  <w:style w:type="paragraph" w:styleId="Note">
    <w:name w:val="Note"/>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overflowPunct w:val="false"/>
      <w:bidi w:val="0"/>
      <w:spacing w:lineRule="atLeast" w:line="200" w:before="240" w:after="240"/>
      <w:jc w:val="both"/>
      <w:textAlignment w:val="auto"/>
    </w:pPr>
    <w:rPr>
      <w:rFonts w:ascii="Times New Roman" w:hAnsi="Times New Roman" w:eastAsia="Marlett" w:cs="Arial"/>
      <w:b w:val="false"/>
      <w:i w:val="false"/>
      <w:strike w:val="false"/>
      <w:dstrike w:val="false"/>
      <w:color w:val="000000"/>
      <w:spacing w:val="0"/>
      <w:w w:val="100"/>
      <w:kern w:val="0"/>
      <w:sz w:val="18"/>
      <w:szCs w:val="24"/>
      <w:u w:val="none"/>
      <w:em w:val="none"/>
      <w:lang w:val="en-US" w:eastAsia="zh-CN" w:bidi="hi-IN"/>
    </w:rPr>
  </w:style>
  <w:style w:type="paragraph" w:styleId="LlNumberedList2">
    <w:name w:val="Ll,NumberedList2"/>
    <w:qFormat/>
    <w:pPr>
      <w:widowControl/>
      <w:tabs>
        <w:tab w:val="clear" w:pos="720"/>
        <w:tab w:val="left" w:pos="1040" w:leader="none"/>
      </w:tabs>
      <w:suppressAutoHyphens w:val="true"/>
      <w:overflowPunct w:val="false"/>
      <w:bidi w:val="0"/>
      <w:spacing w:lineRule="atLeast" w:line="240" w:before="60" w:after="60"/>
      <w:ind w:hanging="400" w:start="1040" w:end="0"/>
      <w:jc w:val="both"/>
      <w:textAlignment w:val="auto"/>
    </w:pPr>
    <w:rPr>
      <w:rFonts w:ascii="Times New Roman" w:hAnsi="Times New Roman" w:eastAsia="Marlett" w:cs="Arial"/>
      <w:b w:val="false"/>
      <w:i w:val="false"/>
      <w:strike w:val="false"/>
      <w:dstrike w:val="false"/>
      <w:color w:val="000000"/>
      <w:spacing w:val="0"/>
      <w:w w:val="100"/>
      <w:kern w:val="0"/>
      <w:sz w:val="20"/>
      <w:szCs w:val="24"/>
      <w:u w:val="none"/>
      <w:em w:val="none"/>
      <w:lang w:val="en-US" w:eastAsia="zh-CN" w:bidi="hi-IN"/>
    </w:rPr>
  </w:style>
  <w:style w:type="paragraph" w:styleId="TableTitle">
    <w:name w:val="TableTitle"/>
    <w:next w:val="TableCaption"/>
    <w:qFormat/>
    <w:pPr>
      <w:widowControl w:val="false"/>
      <w:suppressAutoHyphens w:val="false"/>
      <w:overflowPunct w:val="false"/>
      <w:bidi w:val="0"/>
      <w:spacing w:lineRule="atLeast" w:line="240" w:before="0" w:after="0"/>
      <w:jc w:val="center"/>
      <w:textAlignment w:val="auto"/>
    </w:pPr>
    <w:rPr>
      <w:rFonts w:ascii="Arial" w:hAnsi="Arial" w:eastAsia="Marlett" w:cs="Arial"/>
      <w:b/>
      <w:i w:val="false"/>
      <w:strike w:val="false"/>
      <w:dstrike w:val="false"/>
      <w:color w:val="000000"/>
      <w:spacing w:val="0"/>
      <w:w w:val="100"/>
      <w:kern w:val="0"/>
      <w:sz w:val="20"/>
      <w:szCs w:val="24"/>
      <w:u w:val="none"/>
      <w:em w:val="none"/>
      <w:lang w:val="en-US" w:eastAsia="zh-CN" w:bidi="hi-IN"/>
    </w:rPr>
  </w:style>
  <w:style w:type="paragraph" w:styleId="TableCaption">
    <w:name w:val="TableCaption"/>
    <w:qFormat/>
    <w:pPr>
      <w:widowControl w:val="false"/>
      <w:suppressAutoHyphens w:val="false"/>
      <w:overflowPunct w:val="false"/>
      <w:bidi w:val="0"/>
      <w:spacing w:lineRule="atLeast" w:line="240" w:before="0" w:after="0"/>
      <w:jc w:val="center"/>
      <w:textAlignment w:val="auto"/>
    </w:pPr>
    <w:rPr>
      <w:rFonts w:ascii="Times New Roman" w:hAnsi="Times New Roman" w:eastAsia="Marlett" w:cs="Arial"/>
      <w:b/>
      <w:i w:val="false"/>
      <w:strike w:val="false"/>
      <w:dstrike w:val="false"/>
      <w:color w:val="000000"/>
      <w:spacing w:val="0"/>
      <w:w w:val="100"/>
      <w:kern w:val="0"/>
      <w:sz w:val="20"/>
      <w:szCs w:val="24"/>
      <w:u w:val="none"/>
      <w:em w:val="none"/>
      <w:lang w:val="en-US" w:eastAsia="zh-CN" w:bidi="hi-IN"/>
    </w:rPr>
  </w:style>
  <w:style w:type="paragraph" w:styleId="CellHeading">
    <w:name w:val="CellHeading"/>
    <w:qFormat/>
    <w:pPr>
      <w:widowControl w:val="false"/>
      <w:suppressAutoHyphens w:val="true"/>
      <w:overflowPunct w:val="false"/>
      <w:bidi w:val="0"/>
      <w:spacing w:lineRule="atLeast" w:line="200" w:before="0" w:after="0"/>
      <w:jc w:val="center"/>
      <w:textAlignment w:val="auto"/>
    </w:pPr>
    <w:rPr>
      <w:rFonts w:ascii="Times New Roman" w:hAnsi="Times New Roman" w:eastAsia="Marlett" w:cs="Arial"/>
      <w:b/>
      <w:i w:val="false"/>
      <w:strike w:val="false"/>
      <w:dstrike w:val="false"/>
      <w:color w:val="000000"/>
      <w:spacing w:val="0"/>
      <w:w w:val="100"/>
      <w:kern w:val="0"/>
      <w:sz w:val="18"/>
      <w:szCs w:val="24"/>
      <w:u w:val="none"/>
      <w:em w:val="none"/>
      <w:lang w:val="en-US" w:eastAsia="zh-CN" w:bidi="hi-IN"/>
    </w:rPr>
  </w:style>
  <w:style w:type="paragraph" w:styleId="CellBody">
    <w:name w:val="CellBody"/>
    <w:qFormat/>
    <w:pPr>
      <w:widowControl w:val="false"/>
      <w:suppressAutoHyphens w:val="true"/>
      <w:overflowPunct w:val="false"/>
      <w:bidi w:val="0"/>
      <w:spacing w:lineRule="atLeast" w:line="200" w:before="0" w:after="0"/>
      <w:jc w:val="start"/>
      <w:textAlignment w:val="auto"/>
    </w:pPr>
    <w:rPr>
      <w:rFonts w:ascii="Times New Roman" w:hAnsi="Times New Roman" w:eastAsia="Marlett" w:cs="Arial"/>
      <w:b w:val="false"/>
      <w:i w:val="false"/>
      <w:strike w:val="false"/>
      <w:dstrike w:val="false"/>
      <w:color w:val="000000"/>
      <w:spacing w:val="0"/>
      <w:w w:val="100"/>
      <w:kern w:val="0"/>
      <w:sz w:val="18"/>
      <w:szCs w:val="24"/>
      <w:u w:val="none"/>
      <w:em w:val="none"/>
      <w:lang w:val="en-US" w:eastAsia="zh-CN" w:bidi="hi-IN"/>
    </w:rPr>
  </w:style>
  <w:style w:type="paragraph" w:styleId="CellBodyCentered">
    <w:name w:val="CellBodyCentered"/>
    <w:qFormat/>
    <w:pPr>
      <w:widowControl w:val="false"/>
      <w:suppressAutoHyphens w:val="true"/>
      <w:overflowPunct w:val="false"/>
      <w:bidi w:val="0"/>
      <w:spacing w:lineRule="atLeast" w:line="180" w:before="0" w:after="0"/>
      <w:jc w:val="center"/>
      <w:textAlignment w:val="auto"/>
    </w:pPr>
    <w:rPr>
      <w:rFonts w:ascii="Times New Roman" w:hAnsi="Times New Roman" w:eastAsia="Marlett" w:cs="Arial"/>
      <w:b w:val="false"/>
      <w:i w:val="false"/>
      <w:strike w:val="false"/>
      <w:dstrike w:val="false"/>
      <w:color w:val="000000"/>
      <w:spacing w:val="0"/>
      <w:w w:val="100"/>
      <w:kern w:val="0"/>
      <w:sz w:val="18"/>
      <w:szCs w:val="24"/>
      <w:u w:val="none"/>
      <w:em w:val="none"/>
      <w:lang w:val="en-US" w:eastAsia="zh-CN" w:bidi="hi-IN"/>
    </w:rPr>
  </w:style>
  <w:style w:type="paragraph" w:styleId="Code">
    <w:name w:val="Code"/>
    <w:qFormat/>
    <w:pPr>
      <w:widowControl w:val="false"/>
      <w:tabs>
        <w:tab w:val="left" w:pos="360" w:leader="none"/>
        <w:tab w:val="left" w:pos="720" w:leader="none"/>
        <w:tab w:val="left" w:pos="6600" w:leader="none"/>
        <w:tab w:val="left" w:pos="7920" w:leader="none"/>
        <w:tab w:val="left" w:pos="8640" w:leader="none"/>
        <w:tab w:val="left" w:pos="9360" w:leader="none"/>
      </w:tabs>
      <w:suppressAutoHyphens w:val="false"/>
      <w:overflowPunct w:val="false"/>
      <w:bidi w:val="0"/>
      <w:spacing w:lineRule="atLeast" w:line="200" w:before="0" w:after="0"/>
      <w:ind w:hanging="720" w:start="720" w:end="0"/>
      <w:jc w:val="start"/>
      <w:textAlignment w:val="auto"/>
    </w:pPr>
    <w:rPr>
      <w:rFonts w:ascii="Courier New" w:hAnsi="Courier New" w:eastAsia="Marlett" w:cs="Arial"/>
      <w:b w:val="false"/>
      <w:i w:val="false"/>
      <w:strike w:val="false"/>
      <w:dstrike w:val="false"/>
      <w:color w:val="000000"/>
      <w:spacing w:val="0"/>
      <w:w w:val="100"/>
      <w:kern w:val="0"/>
      <w:sz w:val="18"/>
      <w:szCs w:val="24"/>
      <w:u w:val="none"/>
      <w:em w:val="none"/>
      <w:lang w:val="en-US" w:eastAsia="zh-CN" w:bidi="hi-IN"/>
    </w:rPr>
  </w:style>
  <w:style w:type="paragraph" w:styleId="FootnoteText">
    <w:name w:val="Footnote Text"/>
    <w:basedOn w:val="Normal"/>
    <w:pPr>
      <w:suppressLineNumbers/>
      <w:ind w:hanging="340" w:start="340"/>
    </w:pPr>
    <w:rPr>
      <w:sz w:val="20"/>
      <w:szCs w:val="20"/>
    </w:rPr>
  </w:style>
  <w:style w:type="paragraph" w:styleId="T">
    <w:name w:val="T"/>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overflowPunct w:val="false"/>
      <w:bidi w:val="0"/>
      <w:spacing w:lineRule="atLeast" w:line="240" w:before="240" w:after="0"/>
      <w:jc w:val="both"/>
    </w:pPr>
    <w:rPr>
      <w:rFonts w:ascii="Times New Roman" w:hAnsi="Times New Roman" w:eastAsia="Marlett" w:cs="Arial"/>
      <w:color w:val="000000"/>
      <w:kern w:val="0"/>
      <w:sz w:val="20"/>
      <w:szCs w:val="24"/>
      <w:lang w:val="en-US" w:eastAsia="zh-CN" w:bidi="hi-IN"/>
    </w:rPr>
  </w:style>
  <w:style w:type="paragraph" w:styleId="TableText">
    <w:name w:val="TableText"/>
    <w:qFormat/>
    <w:pPr>
      <w:widowControl w:val="false"/>
      <w:suppressAutoHyphens w:val="true"/>
      <w:overflowPunct w:val="false"/>
      <w:bidi w:val="0"/>
      <w:spacing w:lineRule="atLeast" w:line="200" w:before="0" w:after="0"/>
      <w:jc w:val="start"/>
    </w:pPr>
    <w:rPr>
      <w:rFonts w:ascii="Times New Roman" w:hAnsi="Times New Roman" w:eastAsia="DejaVu Sans" w:cs="Times New Roman"/>
      <w:color w:val="000000"/>
      <w:w w:val="100"/>
      <w:kern w:val="0"/>
      <w:sz w:val="18"/>
      <w:szCs w:val="18"/>
      <w:lang w:val="en-US" w:eastAsia="en-AU"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rouper.ieee.org/groups/802/11/private/Draft_Standards/11me/Draft P802.11REVme_D4.0.pdf"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584</TotalTime>
  <Application>LibreOffice/7.6.2.1$Linux_X86_64 LibreOffice_project/56f7684011345957bbf33a7ee678afaf4d2ba333</Application>
  <AppVersion>15.0000</AppVersion>
  <Pages>18</Pages>
  <Words>7123</Words>
  <Characters>31172</Characters>
  <CharactersWithSpaces>37891</CharactersWithSpaces>
  <Paragraphs>403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2023-10-16T14:35:10Z</dcterms:created>
  <dc:creator>Henry Ptasinski</dc:creator>
  <dc:description>Henry Ptasinski, Morse Micro</dc:description>
  <cp:keywords>November 2023</cp:keywords>
  <dc:language>en-US</dc:language>
  <cp:lastModifiedBy>Henry Ptasinski</cp:lastModifiedBy>
  <cp:lastPrinted>2023-11-28T14:37:24Z</cp:lastPrinted>
  <dcterms:modified xsi:type="dcterms:W3CDTF">2023-11-28T14:39:33Z</dcterms:modified>
  <cp:revision>15</cp:revision>
  <dc:subject>Submission</dc:subject>
  <dc:title>doc.: IEEE 802.11-23/1777r2</dc:title>
</cp:coreProperties>
</file>

<file path=docProps/custom.xml><?xml version="1.0" encoding="utf-8"?>
<Properties xmlns="http://schemas.openxmlformats.org/officeDocument/2006/custom-properties" xmlns:vt="http://schemas.openxmlformats.org/officeDocument/2006/docPropsVTypes"/>
</file>