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start w:w="108" w:type="dxa"/>
          <w:bottom w:w="0" w:type="dxa"/>
          <w:end w:w="108" w:type="dxa"/>
        </w:tblCellMar>
      </w:tblPr>
      <w:tblGrid>
        <w:gridCol w:w="1825"/>
        <w:gridCol w:w="2250"/>
        <w:gridCol w:w="1713"/>
        <w:gridCol w:w="1350"/>
        <w:gridCol w:w="2438"/>
      </w:tblGrid>
      <w:tr>
        <w:trPr>
          <w:trHeight w:val="485"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i w:val="false"/>
                <w:i w:val="false"/>
                <w:iCs w:val="false"/>
              </w:rPr>
            </w:pPr>
            <w:r>
              <w:rPr>
                <w:i w:val="false"/>
                <w:iCs w:val="false"/>
              </w:rPr>
              <w:t xml:space="preserve">S1G Beacon Protection </w:t>
            </w:r>
            <w:r>
              <w:rPr>
                <w:i w:val="false"/>
                <w:iCs w:val="false"/>
              </w:rPr>
              <w:t>Text</w:t>
            </w:r>
          </w:p>
        </w:tc>
      </w:tr>
      <w:tr>
        <w:trPr>
          <w:trHeight w:val="359"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hanging="0" w:start="0" w:end="720"/>
              <w:rPr>
                <w:i w:val="false"/>
                <w:i w:val="false"/>
                <w:iCs w:val="false"/>
              </w:rPr>
            </w:pPr>
            <w:r>
              <w:rPr>
                <w:i w:val="false"/>
                <w:iCs w:val="false"/>
                <w:sz w:val="20"/>
              </w:rPr>
              <w:t>Date:</w:t>
            </w:r>
            <w:r>
              <w:rPr>
                <w:b w:val="false"/>
                <w:i w:val="false"/>
                <w:iCs w:val="false"/>
                <w:sz w:val="20"/>
              </w:rPr>
              <w:t xml:space="preserve">  </w:t>
            </w:r>
            <w:r>
              <w:rPr>
                <w:b w:val="false"/>
                <w:i w:val="false"/>
                <w:iCs w:val="false"/>
                <w:sz w:val="20"/>
              </w:rPr>
              <w:t>2023-1</w:t>
            </w:r>
            <w:r>
              <w:rPr>
                <w:b w:val="false"/>
                <w:i w:val="false"/>
                <w:iCs w:val="false"/>
                <w:sz w:val="20"/>
              </w:rPr>
              <w:t>1-14</w:t>
            </w:r>
          </w:p>
        </w:tc>
      </w:tr>
      <w:tr>
        <w:trPr>
          <w:cantSplit w:val="true"/>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Author(s):</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Name</w:t>
            </w:r>
          </w:p>
        </w:tc>
        <w:tc>
          <w:tcPr>
            <w:tcW w:w="22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sz w:val="20"/>
              </w:rPr>
            </w:pPr>
            <w:r>
              <w:rPr>
                <w:i w:val="false"/>
                <w:iCs w:val="false"/>
                <w:sz w:val="20"/>
              </w:rPr>
              <w:t>Affiliation</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Address</w:t>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Phone</w:t>
            </w:r>
          </w:p>
        </w:tc>
        <w:tc>
          <w:tcPr>
            <w:tcW w:w="243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email</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 Ptasinski</w:t>
            </w:r>
          </w:p>
        </w:tc>
        <w:tc>
          <w:tcPr>
            <w:tcW w:w="22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Goodall</w:t>
            </w:r>
          </w:p>
        </w:tc>
        <w:tc>
          <w:tcPr>
            <w:tcW w:w="22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dave@morsemicro.com</w:t>
            </w:r>
          </w:p>
        </w:tc>
      </w:tr>
      <w:tr>
        <w:trPr/>
        <w:tc>
          <w:tcPr>
            <w:tcW w:w="1825"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225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8"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w:r>
      <w:r>
        <w:br w:type="page"/>
      </w:r>
      <w:r>
        <mc:AlternateContent>
          <mc:Choice Requires="wps">
            <w:drawing>
              <wp:anchor behindDoc="0" distT="0" distB="0" distL="114935" distR="114935"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txBox="1"/>
                      <wps:spPr>
                        <a:xfrm>
                          <a:off x="0" y="0"/>
                          <a:ext cx="5943600" cy="2844800"/>
                        </a:xfrm>
                        <a:prstGeom prst="rect"/>
                        <a:solidFill>
                          <a:srgbClr val="FFFFFF"/>
                        </a:solidFill>
                      </wps:spPr>
                      <wps:txbx>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w:t>
                            </w:r>
                          </w:p>
                        </w:txbxContent>
                      </wps:txbx>
                      <wps:bodyPr anchor="t" lIns="92075" tIns="46355" rIns="92075" bIns="46355">
                        <a:noAutofit/>
                      </wps:bodyPr>
                    </wps:wsp>
                  </a:graphicData>
                </a:graphic>
              </wp:anchor>
            </w:drawing>
          </mc:Choice>
          <mc:Fallback>
            <w:pict>
              <v:rect fillcolor="#FFFFFF" style="position:absolute;rotation:-0;width:468pt;height:224pt;mso-wrap-distance-left:9.05pt;mso-wrap-distance-right:9.05pt;mso-wrap-distance-top:0pt;mso-wrap-distance-bottom:0pt;margin-top:16.2pt;mso-position-vertical-relative:text;margin-left:-4.95pt;mso-position-horizontal-relative:text">
                <v:textbox inset="0.100694444444444in,0.0506944444444444in,0.100694444444444in,0.0506944444444444in">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w:t>
                      </w:r>
                    </w:p>
                  </w:txbxContent>
                </v:textbox>
                <w10:wrap type="none"/>
              </v:rect>
            </w:pict>
          </mc:Fallback>
        </mc:AlternateContent>
      </w:r>
    </w:p>
    <w:p>
      <w:pPr>
        <w:pStyle w:val="H41111"/>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 xml:space="preserve">Add </w:t>
      </w:r>
      <w:r>
        <w:rPr>
          <w:b/>
          <w:bCs/>
          <w:i/>
          <w:iCs/>
          <w:color w:val="000000"/>
        </w:rPr>
        <w:t>the following acrynym in alphabetical order:</w:t>
      </w:r>
    </w:p>
    <w:p>
      <w:pPr>
        <w:pStyle w:val="TText"/>
        <w:rPr>
          <w:color w:val="000000"/>
        </w:rPr>
      </w:pPr>
      <w:r>
        <w:rPr>
          <w:color w:val="000000"/>
        </w:rPr>
        <w:t>BCE</w:t>
      </w:r>
      <w:r>
        <w:rPr>
          <w:color w:val="000000"/>
        </w:rPr>
        <w:tab/>
        <w:t xml:space="preserve">broadcast/multicast integrity protocol </w:t>
      </w:r>
      <w:r>
        <w:rPr>
          <w:color w:val="000000"/>
        </w:rPr>
        <w:t>(BIP)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start"/>
        <w:tblInd w:w="0" w:type="dxa"/>
        <w:tblLayout w:type="fixed"/>
        <w:tblCellMar>
          <w:top w:w="0" w:type="dxa"/>
          <w:start w:w="0" w:type="dxa"/>
          <w:bottom w:w="0" w:type="dxa"/>
          <w:end w:w="0" w:type="dxa"/>
        </w:tblCellMar>
      </w:tblPr>
      <w:tblGrid>
        <w:gridCol w:w="2339"/>
        <w:gridCol w:w="2340"/>
        <w:gridCol w:w="2340"/>
        <w:gridCol w:w="2341"/>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1"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1" w:type="dxa"/>
            <w:tcBorders/>
          </w:tcPr>
          <w:p>
            <w:pPr>
              <w:pStyle w:val="TableContents"/>
              <w:jc w:val="start"/>
              <w:rPr>
                <w:b w:val="false"/>
                <w:bCs w:val="false"/>
                <w:i w:val="false"/>
                <w:i w:val="false"/>
                <w:iCs w:val="false"/>
              </w:rPr>
            </w:pPr>
            <w:r>
              <w:rPr>
                <w:b w:val="false"/>
                <w:bCs w:val="false"/>
                <w:i w:val="false"/>
                <w:iCs w:val="false"/>
              </w:rPr>
              <w:t xml:space="preserve">This parameter is valid only when the Key Type value is </w:t>
            </w:r>
            <w:r>
              <w:rPr>
                <w:b w:val="false"/>
                <w:bCs w:val="false"/>
                <w:i w:val="false"/>
                <w:iCs w:val="false"/>
              </w:rPr>
              <w:t>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w:t>
      </w:r>
      <w:r>
        <w:rPr>
          <w:u w:val="single"/>
        </w:rPr>
        <w:t>or</w:t>
      </w:r>
      <w:r>
        <w:rPr>
          <w:u w:val="single"/>
        </w:rPr>
        <w:t xml:space="preserve">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w:t>
      </w:r>
      <w:r>
        <w:rPr>
          <w:u w:val="single"/>
        </w:rPr>
        <w:t>Key Type parameter</w:t>
      </w:r>
      <w:r>
        <w:rPr>
          <w:u w:val="single"/>
        </w:rPr>
        <w:t xml:space="preserve"> is BIGTK,</w:t>
      </w:r>
      <w:r>
        <w:rPr>
          <w:u w:val="single"/>
        </w:rPr>
        <w:t xml:space="preserve"> and the Key </w:t>
      </w:r>
      <w:r>
        <w:rPr>
          <w:u w:val="single"/>
        </w:rPr>
        <w:t>and</w:t>
      </w:r>
      <w:r>
        <w:rPr>
          <w:u w:val="single"/>
        </w:rPr>
        <w:t xml:space="preserve"> Key ID parameters identify a new key to be set, the MAC shall initialize, depending on the direction of the traffic, the transmitter </w:t>
      </w:r>
      <w:r>
        <w:rPr>
          <w:u w:val="single"/>
        </w:rPr>
        <w:t>BIPN</w:t>
      </w:r>
      <w:r>
        <w:rPr>
          <w:u w:val="single"/>
        </w:rPr>
        <w:t xml:space="preserve"> counter </w:t>
      </w:r>
      <w:r>
        <w:rPr>
          <w:u w:val="single"/>
        </w:rPr>
        <w:t>as specified in 12.5.3.4 (BIP replay counters and packet numbers)</w:t>
      </w:r>
      <w:r>
        <w:rPr>
          <w:u w:val="single"/>
        </w:rPr>
        <w:t xml:space="preserve">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w:t>
      </w:r>
      <w:r>
        <w:rPr>
          <w:b/>
          <w:bCs/>
          <w:i/>
          <w:iCs/>
        </w:rPr>
        <w:t>80</w:t>
      </w:r>
      <w:r>
        <w:rPr>
          <w:b/>
          <w:bCs/>
          <w:i/>
          <w:iCs/>
        </w:rPr>
        <w:t>—Minimum and full set of optional elements, and add a new last entry as shown:</w:t>
      </w:r>
    </w:p>
    <w:p>
      <w:pPr>
        <w:pStyle w:val="TText"/>
        <w:rPr/>
      </w:pPr>
      <w:r>
        <w:rPr/>
      </w:r>
    </w:p>
    <w:tbl>
      <w:tblPr>
        <w:tblW w:w="8600" w:type="dxa"/>
        <w:jc w:val="center"/>
        <w:tblInd w:w="0" w:type="dxa"/>
        <w:tblLayout w:type="fixed"/>
        <w:tblCellMar>
          <w:top w:w="120" w:type="dxa"/>
          <w:start w:w="120" w:type="dxa"/>
          <w:bottom w:w="60" w:type="dxa"/>
          <w:end w:w="120" w:type="dxa"/>
        </w:tblCellMar>
      </w:tblPr>
      <w:tblGrid>
        <w:gridCol w:w="1000"/>
        <w:gridCol w:w="1340"/>
        <w:gridCol w:w="3992"/>
        <w:gridCol w:w="988"/>
        <w:gridCol w:w="1280"/>
      </w:tblGrid>
      <w:tr>
        <w:trPr>
          <w:trHeight w:val="9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elements can appear in this frame.</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before="0" w:after="0"/>
              <w:ind w:hanging="0" w:start="0" w:end="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start="0" w:end="0"/>
              <w:rPr/>
            </w:pPr>
            <w:r>
              <w:rPr>
                <w:caps w:val="false"/>
                <w:smallCaps w:val="false"/>
                <w:w w:val="100"/>
              </w:rPr>
              <w:t>Table 9-60 (Beacon frame body)</w:t>
            </w:r>
            <w:r>
              <w:rPr>
                <w:caps w:val="false"/>
                <w:smallCaps w:val="false"/>
                <w:w w:val="100"/>
              </w:rPr>
              <w:t>).</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w w:val="100"/>
                <w:u w:val="single"/>
              </w:rPr>
              <w:t>-</w:t>
            </w:r>
            <w:r>
              <w:rPr>
                <w:caps w:val="false"/>
                <w:smallCaps w:val="false"/>
                <w:w w:val="100"/>
                <w:u w:val="single"/>
              </w:rPr>
              <w:t>1</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Vendor Specific</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start w:val="single" w:sz="10"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Last</w:t>
            </w:r>
          </w:p>
        </w:tc>
        <w:tc>
          <w:tcPr>
            <w:tcW w:w="1340"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 xml:space="preserve">MME or MIC </w:t>
            </w:r>
            <w:r>
              <w:rPr>
                <w:u w:val="single"/>
              </w:rPr>
              <w:t>element</w:t>
            </w:r>
          </w:p>
        </w:tc>
        <w:tc>
          <w:tcPr>
            <w:tcW w:w="3992"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The MIC element is present if dot11BIPCompactEncapsulation is true.</w:t>
            </w:r>
          </w:p>
          <w:p>
            <w:pPr>
              <w:pStyle w:val="CellBody"/>
              <w:widowControl w:val="false"/>
              <w:tabs>
                <w:tab w:val="clear" w:pos="720"/>
              </w:tabs>
              <w:spacing w:lineRule="atLeast" w:line="200"/>
              <w:ind w:hanging="0" w:start="0" w:end="0"/>
              <w:rPr>
                <w:u w:val="single"/>
              </w:rPr>
            </w:pPr>
            <w:r>
              <w:rPr>
                <w:u w:val="single"/>
              </w:rPr>
              <w:t>The MME is present if dot11BIPCompactEncapsulation is false and dot11RSNAProtectedManagementFramesActivated is true.</w:t>
            </w:r>
          </w:p>
          <w:p>
            <w:pPr>
              <w:pStyle w:val="CellBody"/>
              <w:widowControl w:val="false"/>
              <w:tabs>
                <w:tab w:val="clear" w:pos="720"/>
              </w:tabs>
              <w:spacing w:lineRule="atLeast" w:line="200"/>
              <w:ind w:hanging="0" w:start="0" w:end="0"/>
              <w:rPr>
                <w:u w:val="single"/>
              </w:rPr>
            </w:pPr>
            <w:r>
              <w:rPr>
                <w:u w:val="single"/>
              </w:rPr>
              <w:t xml:space="preserve">Otherwise neither is present. </w:t>
            </w:r>
          </w:p>
        </w:tc>
        <w:tc>
          <w:tcPr>
            <w:tcW w:w="988" w:type="dxa"/>
            <w:tcBorders>
              <w:start w:val="single" w:sz="2"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Yes</w:t>
            </w:r>
          </w:p>
        </w:tc>
        <w:tc>
          <w:tcPr>
            <w:tcW w:w="1280" w:type="dxa"/>
            <w:tcBorders>
              <w:start w:val="single" w:sz="2" w:space="0" w:color="000000"/>
              <w:bottom w:val="single" w:sz="10" w:space="0" w:color="000000"/>
              <w:end w:val="single" w:sz="10" w:space="0" w:color="000000"/>
            </w:tcBorders>
          </w:tcPr>
          <w:p>
            <w:pPr>
              <w:pStyle w:val="CellBodyCentered"/>
              <w:widowControl w:val="false"/>
              <w:tabs>
                <w:tab w:val="clear" w:pos="720"/>
              </w:tabs>
              <w:spacing w:lineRule="atLeast" w:line="200"/>
              <w:ind w:hanging="0" w:start="0" w:end="0"/>
              <w:rPr>
                <w:u w:val="single"/>
              </w:rPr>
            </w:pPr>
            <w:r>
              <w:rPr>
                <w:u w:val="single"/>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w:t>
      </w:r>
      <w:r>
        <w:rPr>
          <w:b/>
          <w:bCs/>
          <w:i/>
          <w:iCs/>
        </w:rPr>
        <w:t>2</w:t>
      </w:r>
      <w:r>
        <w:rPr>
          <w:b/>
          <w:bCs/>
          <w:i/>
          <w:iCs/>
        </w:rPr>
        <w:t xml:space="preserve">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Bit 1</w:t>
      </w:r>
      <w:r>
        <w:rPr/>
        <w:t>2</w:t>
      </w:r>
      <w:r>
        <w:rPr/>
        <w:t xml:space="preserve">: </w:t>
      </w:r>
      <w:r>
        <w:rPr>
          <w:strike w:val="false"/>
          <w:dstrike w:val="false"/>
          <w:u w:val="single"/>
        </w:rPr>
        <w:t>BIP Compact Encapsulation/</w:t>
      </w:r>
      <w:r>
        <w:rPr>
          <w:strike w:val="false"/>
          <w:dstrike w:val="false"/>
        </w:rPr>
        <w:t>Reserved</w:t>
      </w:r>
      <w:r>
        <w:rPr/>
        <w:t>.</w:t>
      </w:r>
      <w:r>
        <w:rPr>
          <w:u w:val="single"/>
        </w:rPr>
        <w:t xml:space="preserve"> </w:t>
      </w:r>
      <w:r>
        <w:rPr>
          <w:u w:val="single"/>
        </w:rPr>
        <w:t xml:space="preserve">An S1G AP sets this bit to 1 to indicate that it supports transmission of S1G Beacon frames protected using BIP Compact Encapsulation </w:t>
      </w:r>
      <w:r>
        <w:rPr>
          <w:u w:val="single"/>
        </w:rPr>
        <w:t xml:space="preserve">(BCE) </w:t>
      </w:r>
      <w:r>
        <w:rPr>
          <w:u w:val="single"/>
        </w:rPr>
        <w:t xml:space="preserve">and, if bit 7 (MFPC) is set to 1, that S1G Beacons will be protected using </w:t>
      </w:r>
      <w:r>
        <w:rPr>
          <w:u w:val="single"/>
        </w:rPr>
        <w:t>BCE</w:t>
      </w:r>
      <w:r>
        <w:rPr>
          <w:u w:val="single"/>
        </w:rPr>
        <w:t>.  A</w:t>
      </w:r>
      <w:r>
        <w:rPr>
          <w:u w:val="single"/>
        </w:rPr>
        <w:t>n</w:t>
      </w:r>
      <w:r>
        <w:rPr>
          <w:u w:val="single"/>
        </w:rPr>
        <w:t xml:space="preserve"> S1G non-AP STA sets this bit to 1 to indicate that it supports reception of S1G Beacon frames protected using </w:t>
      </w:r>
      <w:r>
        <w:rPr>
          <w:u w:val="single"/>
        </w:rPr>
        <w:t>BCE</w:t>
      </w:r>
      <w:r>
        <w:rPr>
          <w:u w:val="single"/>
        </w:rPr>
        <w:t>.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w:t>
      </w:r>
      <w:r>
        <w:rPr>
          <w:color w:val="auto"/>
          <w:u w:val="single"/>
        </w:rPr>
        <w:t>BCE</w:t>
      </w:r>
      <w:r>
        <w:rPr>
          <w:color w:val="auto"/>
          <w:u w:val="single"/>
        </w:rPr>
        <w:t xml:space="preserve"> </w:t>
      </w:r>
      <w:r>
        <w:rPr>
          <w:color w:val="auto"/>
        </w:rPr>
        <w:t>from forgery and replay. Figure 9-4</w:t>
      </w:r>
      <w:r>
        <w:rPr>
          <w:color w:val="auto"/>
        </w:rPr>
        <w:t>43</w:t>
      </w:r>
      <w:r>
        <w:rPr>
          <w:color w:val="auto"/>
        </w:rPr>
        <w:t xml:space="preserve">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 xml:space="preserve">Change the third paragraph as shown </w:t>
      </w:r>
      <w:r>
        <w:rPr>
          <w:b/>
          <w:bCs/>
        </w:rPr>
        <w:t>and add the NOTE</w:t>
      </w:r>
      <w:r>
        <w:rPr>
          <w:b/>
          <w:bCs/>
        </w:rPr>
        <w:t>:</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w:t>
      </w:r>
      <w:r>
        <w:rPr>
          <w:u w:val="single"/>
        </w:rPr>
        <w:t>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w:t>
      </w:r>
      <w:r>
        <w:rPr>
          <w:u w:val="single"/>
        </w:rPr>
        <w:t xml:space="preserve">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 xml:space="preserve">BIGTK Key ID Index = key ID </w:t>
      </w:r>
      <w:r>
        <w:rPr>
          <w:i/>
          <w:iCs/>
          <w:u w:val="single"/>
        </w:rPr>
        <w:t>+</w:t>
      </w:r>
      <w:r>
        <w:rPr>
          <w:i/>
          <w:iCs/>
          <w:u w:val="single"/>
        </w:rPr>
        <w:t xml:space="preserve"> 6.</w:t>
      </w:r>
    </w:p>
    <w:p>
      <w:pPr>
        <w:pStyle w:val="Note"/>
        <w:rPr>
          <w:u w:val="single"/>
        </w:rPr>
      </w:pPr>
      <w:r>
        <w:rPr>
          <w:u w:val="single"/>
        </w:rPr>
        <w:t xml:space="preserve">Note 1: Valid values for the BIGTK Key ID are 6 or 7 </w:t>
      </w:r>
      <w:r>
        <w:rPr>
          <w:u w:val="single"/>
        </w:rPr>
        <w:t>(</w:t>
      </w:r>
      <w:r>
        <w:rPr>
          <w:u w:val="single"/>
        </w:rPr>
        <w:t xml:space="preserve">see 6.5.14.1 </w:t>
      </w:r>
      <w:r>
        <w:rPr>
          <w:u w:val="single"/>
        </w:rPr>
        <w:t>(MLME-SETKEYS.request)).</w:t>
      </w:r>
    </w:p>
    <w:p>
      <w:pPr>
        <w:pStyle w:val="TText"/>
        <w:rPr/>
      </w:pPr>
      <w:r>
        <w:rPr/>
      </w:r>
    </w:p>
    <w:p>
      <w:pPr>
        <w:pStyle w:val="H41111"/>
        <w:rPr/>
      </w:pPr>
      <w:r>
        <w:rPr/>
        <w:t>12.5.3.1 BIP overview</w:t>
      </w:r>
    </w:p>
    <w:p>
      <w:pPr>
        <w:pStyle w:val="Normal"/>
        <w:rPr>
          <w:b/>
          <w:bCs/>
          <w:i/>
          <w:i/>
          <w:iCs/>
        </w:rPr>
      </w:pPr>
      <w:r>
        <w:rPr>
          <w:b/>
          <w:bCs/>
          <w:i/>
          <w:iCs/>
        </w:rPr>
        <w:t xml:space="preserve">Change the </w:t>
      </w:r>
      <w:r>
        <w:rPr>
          <w:b/>
          <w:bCs/>
          <w:i/>
          <w:iCs/>
        </w:rPr>
        <w:t>first paragraph</w:t>
      </w:r>
      <w:r>
        <w:rPr>
          <w:b/>
          <w:bCs/>
          <w:i/>
          <w:iCs/>
        </w:rPr>
        <w:t xml:space="preserve"> as shown:</w:t>
      </w:r>
    </w:p>
    <w:p>
      <w:pPr>
        <w:pStyle w:val="TText"/>
        <w:widowControl w:val="false"/>
        <w:suppressAutoHyphens w:val="false"/>
        <w:spacing w:lineRule="atLeast" w:line="240"/>
        <w:ind w:hanging="0" w:start="0" w:end="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w:t>
      </w:r>
      <w:r>
        <w:rPr>
          <w:caps w:val="false"/>
          <w:smallCaps w:val="false"/>
          <w:strike w:val="false"/>
          <w:dstrike w:val="false"/>
          <w:color w:val="auto"/>
          <w:spacing w:val="-2"/>
          <w:w w:val="100"/>
          <w:u w:val="single"/>
        </w:rPr>
        <w:t>s</w:t>
      </w:r>
      <w:r>
        <w:rPr>
          <w:caps w:val="false"/>
          <w:smallCaps w:val="false"/>
          <w:strike w:val="false"/>
          <w:dstrike w:val="false"/>
          <w:color w:val="auto"/>
          <w:spacing w:val="-2"/>
          <w:w w:val="100"/>
          <w:u w:val="single"/>
        </w:rPr>
        <w:t xml:space="preserve">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w:t>
      </w:r>
      <w:r>
        <w:rPr>
          <w:caps w:val="false"/>
          <w:smallCaps w:val="false"/>
          <w:strike w:val="false"/>
          <w:dstrike w:val="false"/>
          <w:color w:val="auto"/>
          <w:spacing w:val="-2"/>
          <w:w w:val="100"/>
          <w:u w:val="single"/>
        </w:rPr>
        <w:t>s</w:t>
      </w:r>
      <w:r>
        <w:rPr>
          <w:caps w:val="false"/>
          <w:smallCaps w:val="false"/>
          <w:strike w:val="false"/>
          <w:dstrike w:val="false"/>
          <w:color w:val="auto"/>
          <w:spacing w:val="-2"/>
          <w:w w:val="100"/>
          <w:u w:val="single"/>
        </w:rPr>
        <w:t xml:space="preserve">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start="0" w:end="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 xml:space="preserve">Change the </w:t>
      </w:r>
      <w:r>
        <w:rPr>
          <w:b/>
          <w:bCs/>
          <w:i/>
          <w:iCs/>
        </w:rPr>
        <w:t>last</w:t>
      </w:r>
      <w:r>
        <w:rPr>
          <w:b/>
          <w:bCs/>
          <w:i/>
          <w:iCs/>
        </w:rPr>
        <w:t xml:space="preserve"> paragraph</w:t>
      </w:r>
      <w:r>
        <w:rPr>
          <w:b/>
          <w:bCs/>
          <w:i/>
          <w:iCs/>
        </w:rPr>
        <w:t xml:space="preserve">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xml:space="preserve">, </w:t>
      </w:r>
      <w:r>
        <w:rPr>
          <w:color w:val="auto"/>
          <w:u w:val="single"/>
        </w:rPr>
        <w:t>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w:t>
      </w:r>
      <w:r>
        <w:rPr/>
        <w:t>)</w:t>
      </w:r>
      <w:r>
        <w:rPr/>
        <w:t>, Figure 9-1231 (Miscellaneous subfield format), 9.4.2.295 (WUR PN Update element) and 9.4.2.46 (FTE)</w:t>
      </w:r>
      <w:r>
        <w:rPr/>
        <w:t>)</w:t>
        <w:tab/>
        <w:tab/>
      </w:r>
      <w:r>
        <w:rPr/>
        <w:t>.</w:t>
      </w:r>
    </w:p>
    <w:p>
      <w:pPr>
        <w:pStyle w:val="TText"/>
        <w:widowControl w:val="false"/>
        <w:suppressAutoHyphens w:val="false"/>
        <w:spacing w:lineRule="atLeast" w:line="240"/>
        <w:ind w:hanging="0" w:start="0" w:end="0"/>
        <w:rPr>
          <w:caps w:val="false"/>
          <w:smallCaps w:val="false"/>
          <w:color w:val="auto"/>
          <w:spacing w:val="-2"/>
          <w:w w:val="100"/>
          <w:sz w:val="20"/>
          <w:szCs w:val="20"/>
          <w:u w:val="single"/>
        </w:rPr>
      </w:pPr>
      <w:r>
        <w:rPr>
          <w:caps w:val="false"/>
          <w:smallCaps w:val="false"/>
          <w:color w:val="auto"/>
          <w:spacing w:val="-2"/>
          <w:w w:val="100"/>
          <w:sz w:val="20"/>
          <w:szCs w:val="20"/>
          <w:u w:val="single"/>
        </w:rPr>
      </w:r>
    </w:p>
    <w:p>
      <w:pPr>
        <w:pStyle w:val="H41111"/>
        <w:rPr/>
      </w:pPr>
      <w:r>
        <w:rPr/>
        <w:t>12.5.3.2 BIP MMPDU format</w:t>
      </w:r>
    </w:p>
    <w:p>
      <w:pPr>
        <w:pStyle w:val="Normal"/>
        <w:rPr>
          <w:b/>
          <w:bCs/>
          <w:i/>
          <w:i/>
          <w:iCs/>
        </w:rPr>
      </w:pPr>
      <w:r>
        <w:rPr>
          <w:b/>
          <w:bCs/>
          <w:i/>
          <w:iCs/>
        </w:rPr>
        <w:t xml:space="preserve">Change the </w:t>
      </w:r>
      <w:r>
        <w:rPr>
          <w:b/>
          <w:bCs/>
          <w:i/>
          <w:iCs/>
        </w:rPr>
        <w:t>first paragraph</w:t>
      </w:r>
      <w:r>
        <w:rPr>
          <w:b/>
          <w:bCs/>
          <w:i/>
          <w:iCs/>
        </w:rPr>
        <w:t xml:space="preserve"> as shown:</w:t>
      </w:r>
    </w:p>
    <w:p>
      <w:pPr>
        <w:pStyle w:val="TText"/>
        <w:rPr/>
      </w:pPr>
      <w:r>
        <w:rPr>
          <w:u w:val="single"/>
        </w:rPr>
        <w:t xml:space="preserve">For protected </w:t>
      </w:r>
      <w:r>
        <w:rPr>
          <w:u w:val="single"/>
        </w:rPr>
        <w:t>management</w:t>
      </w:r>
      <w:r>
        <w:rPr>
          <w:u w:val="single"/>
        </w:rPr>
        <w:t xml:space="preserve"> frames </w:t>
      </w:r>
      <w:r>
        <w:rPr>
          <w:u w:val="single"/>
        </w:rPr>
        <w:t xml:space="preserve">that are not S1G Beacon frames </w:t>
      </w:r>
      <w:r>
        <w:rPr>
          <w:u w:val="single"/>
        </w:rPr>
        <w:t xml:space="preserve">using BCE, </w:t>
      </w:r>
      <w:r>
        <w:rPr>
          <w:strike w:val="false"/>
          <w:dstrike w:val="false"/>
          <w:u w:val="single"/>
        </w:rPr>
        <w:t>t</w:t>
      </w:r>
      <w:r>
        <w:rPr>
          <w:strike/>
          <w:u w:val="single"/>
        </w:rPr>
        <w:t>T</w:t>
      </w:r>
      <w:r>
        <w:rPr>
          <w:strike w:val="false"/>
          <w:dstrike w:val="false"/>
          <w:u w:val="none"/>
        </w:rPr>
        <w:t>he</w:t>
      </w:r>
      <w:r>
        <w:rPr/>
        <w:t xml:space="preserve"> MME shall follow all of the other elements in the management frame body but precede the FCS. See 9.4.2.53 (MME) for the format of the MME. Figure 12-23 (BIP encapsulation) shows the BIP MMPDU.</w:t>
      </w:r>
    </w:p>
    <w:p>
      <w:pPr>
        <w:pStyle w:val="TText"/>
        <w:rPr/>
      </w:pPr>
      <w:r>
        <w:rPr/>
      </w:r>
    </w:p>
    <w:p>
      <w:pPr>
        <w:pStyle w:val="Normal"/>
        <w:rPr>
          <w:b/>
          <w:bCs/>
          <w:i/>
          <w:i/>
          <w:iCs/>
        </w:rPr>
      </w:pPr>
      <w:r>
        <w:rPr>
          <w:b/>
          <w:bCs/>
          <w:i/>
          <w:iCs/>
        </w:rPr>
        <w:t>Add the following text at the end of the clause:</w:t>
      </w:r>
    </w:p>
    <w:p>
      <w:pPr>
        <w:pStyle w:val="TText"/>
        <w:rPr>
          <w:u w:val="single"/>
        </w:rPr>
      </w:pPr>
      <w:r>
        <w:rPr>
          <w:u w:val="single"/>
        </w:rPr>
        <w:t xml:space="preserve">For protected </w:t>
      </w:r>
      <w:r>
        <w:rPr>
          <w:u w:val="single"/>
        </w:rPr>
        <w:t xml:space="preserve">S1G </w:t>
      </w:r>
      <w:r>
        <w:rPr>
          <w:u w:val="single"/>
        </w:rPr>
        <w:t xml:space="preserve">Beacon frames using BCE, </w:t>
      </w:r>
      <w:r>
        <w:rPr>
          <w:strike w:val="false"/>
          <w:dstrike w:val="false"/>
          <w:u w:val="single"/>
        </w:rPr>
        <w:t>t</w:t>
      </w:r>
      <w:r>
        <w:rPr>
          <w:strike w:val="false"/>
          <w:dstrike w:val="false"/>
          <w:u w:val="single"/>
        </w:rPr>
        <w:t>he</w:t>
      </w:r>
      <w:r>
        <w:rPr>
          <w:u w:val="single"/>
        </w:rPr>
        <w:t xml:space="preserve"> </w:t>
      </w:r>
      <w:r>
        <w:rPr>
          <w:u w:val="single"/>
        </w:rPr>
        <w:t>MIC element</w:t>
      </w:r>
      <w:r>
        <w:rPr>
          <w:u w:val="single"/>
        </w:rPr>
        <w:t xml:space="preserve"> shall follow all of the other elements in the frame body but precede the FCS. See 9.4.2.117 </w:t>
      </w:r>
      <w:r>
        <w:rPr>
          <w:u w:val="single"/>
        </w:rPr>
        <w:t>(</w:t>
      </w:r>
      <w:r>
        <w:rPr>
          <w:u w:val="single"/>
        </w:rPr>
        <w:t>MIC element</w:t>
      </w:r>
      <w:r>
        <w:rPr>
          <w:u w:val="single"/>
        </w:rPr>
        <w:t>)</w:t>
      </w:r>
      <w:r>
        <w:rPr>
          <w:u w:val="single"/>
        </w:rPr>
        <w:t xml:space="preserve"> for the format of the </w:t>
      </w:r>
      <w:r>
        <w:rPr>
          <w:u w:val="single"/>
        </w:rPr>
        <w:t>MIC element</w:t>
      </w:r>
      <w:r>
        <w:rPr>
          <w:u w:val="single"/>
        </w:rPr>
        <w:t>. Figure 12-23</w:t>
      </w:r>
      <w:r>
        <w:rPr>
          <w:u w:val="single"/>
        </w:rPr>
        <w:t>a</w:t>
      </w:r>
      <w:r>
        <w:rPr>
          <w:u w:val="single"/>
        </w:rPr>
        <w:t xml:space="preserve"> (BIP encapsulation </w:t>
      </w:r>
      <w:r>
        <w:rPr>
          <w:u w:val="single"/>
        </w:rPr>
        <w:t>with BCE</w:t>
      </w:r>
      <w:r>
        <w:rPr>
          <w:u w:val="single"/>
        </w:rPr>
        <w:t xml:space="preserve">) shows the BIP MMPDU </w:t>
      </w:r>
      <w:r>
        <w:rPr>
          <w:u w:val="single"/>
        </w:rPr>
        <w:t>using BCE</w:t>
      </w:r>
      <w:r>
        <w:rPr>
          <w:u w:val="single"/>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r>
    </w:p>
    <w:tbl>
      <w:tblPr>
        <w:tblW w:w="7050" w:type="dxa"/>
        <w:jc w:val="center"/>
        <w:tblInd w:w="0" w:type="dxa"/>
        <w:tblLayout w:type="fixed"/>
        <w:tblCellMar>
          <w:top w:w="120" w:type="dxa"/>
          <w:start w:w="120" w:type="dxa"/>
          <w:bottom w:w="60" w:type="dxa"/>
          <w:end w:w="120" w:type="dxa"/>
        </w:tblCellMar>
      </w:tblPr>
      <w:tblGrid>
        <w:gridCol w:w="1799"/>
        <w:gridCol w:w="4083"/>
        <w:gridCol w:w="1168"/>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IEEE 802.11 Header</w:t>
            </w:r>
          </w:p>
        </w:tc>
        <w:tc>
          <w:tcPr>
            <w:tcW w:w="4083"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caps w:val="false"/>
                <w:smallCaps w:val="false"/>
                <w:w w:val="100"/>
                <w:u w:val="single"/>
              </w:rPr>
              <w:t xml:space="preserve">Management Frame Body including </w:t>
            </w:r>
            <w:r>
              <w:rPr>
                <w:caps w:val="false"/>
                <w:smallCaps w:val="false"/>
                <w:w w:val="100"/>
                <w:u w:val="single"/>
              </w:rPr>
              <w:t>MIC Element</w:t>
            </w:r>
          </w:p>
        </w:tc>
        <w:tc>
          <w:tcPr>
            <w:tcW w:w="11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single"/>
              </w:rPr>
            </w:pPr>
            <w:r>
              <w:rPr>
                <w:caps w:val="false"/>
                <w:smallCaps w:val="false"/>
                <w:w w:val="100"/>
                <w:u w:val="single"/>
              </w:rPr>
              <w:t>Figure 12-23a</w:t>
            </w:r>
            <w:r>
              <w:rPr>
                <w:caps w:val="false"/>
                <w:smallCaps w:val="false"/>
                <w:w w:val="100"/>
                <w:u w:val="single"/>
              </w:rPr>
              <w:t>—</w:t>
            </w:r>
            <w:bookmarkStart w:id="0" w:name="RTF33353734383a204669675469"/>
            <w:r>
              <w:rPr>
                <w:caps w:val="false"/>
                <w:smallCaps w:val="false"/>
                <w:w w:val="100"/>
                <w:u w:val="single"/>
              </w:rPr>
              <w:t>BIP</w:t>
            </w:r>
            <w:bookmarkEnd w:id="0"/>
            <w:r>
              <w:rPr>
                <w:caps w:val="false"/>
                <w:smallCaps w:val="false"/>
                <w:w w:val="100"/>
                <w:u w:val="single"/>
              </w:rPr>
              <w:t xml:space="preserve"> </w:t>
            </w:r>
            <w:r>
              <w:rPr>
                <w:caps w:val="false"/>
                <w:smallCaps w:val="false"/>
                <w:w w:val="100"/>
                <w:u w:val="single"/>
              </w:rPr>
              <w:t>Compact Encapsulation</w:t>
            </w:r>
          </w:p>
        </w:tc>
      </w:tr>
    </w:tbl>
    <w:p>
      <w:pPr>
        <w:pStyle w:val="TText"/>
        <w:widowControl w:val="false"/>
        <w:spacing w:lineRule="atLeast" w:line="240"/>
        <w:ind w:hanging="0" w:start="0" w:end="0"/>
        <w:rPr>
          <w:caps w:val="false"/>
          <w:smallCaps w:val="false"/>
          <w:spacing w:val="-2"/>
          <w:w w:val="100"/>
        </w:rPr>
      </w:pPr>
      <w:r>
        <w:rPr/>
      </w:r>
    </w:p>
    <w:p>
      <w:pPr>
        <w:pStyle w:val="H41111"/>
        <w:spacing w:lineRule="atLeast" w:line="240"/>
        <w:ind w:hanging="0" w:start="0" w:end="0"/>
        <w:rPr>
          <w:caps w:val="false"/>
          <w:smallCaps w:val="false"/>
          <w:w w:val="100"/>
        </w:rPr>
      </w:pPr>
      <w:r>
        <w:rPr>
          <w:caps w:val="false"/>
          <w:smallCaps w:val="false"/>
          <w:w w:val="100"/>
          <w:sz w:val="28"/>
          <w:szCs w:val="28"/>
        </w:rPr>
        <w:t xml:space="preserve">12.5.3.3 </w:t>
      </w:r>
      <w:bookmarkStart w:id="1" w:name="RTF36313737343a2048342c312e"/>
      <w:r>
        <w:rPr>
          <w:caps w:val="false"/>
          <w:smallCaps w:val="false"/>
          <w:w w:val="100"/>
          <w:sz w:val="28"/>
          <w:szCs w:val="28"/>
        </w:rPr>
        <w:t>BIP AAD construction</w:t>
      </w:r>
      <w:bookmarkEnd w:id="1"/>
    </w:p>
    <w:p>
      <w:pPr>
        <w:pStyle w:val="Normal"/>
        <w:rPr>
          <w:b/>
          <w:bCs/>
          <w:i/>
          <w:i/>
          <w:iCs/>
        </w:rPr>
      </w:pPr>
      <w:r>
        <w:rPr>
          <w:b/>
          <w:bCs/>
          <w:i/>
          <w:iCs/>
        </w:rPr>
        <w:t>Change the text as shown:</w:t>
      </w:r>
    </w:p>
    <w:p>
      <w:pPr>
        <w:pStyle w:val="TText"/>
        <w:spacing w:lineRule="atLeast" w:line="240"/>
        <w:ind w:hanging="0" w:start="0" w:end="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start="640" w:end="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A3—MPDU Address 3 field.</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start="0" w:end="0"/>
        <w:rPr>
          <w:caps w:val="false"/>
          <w:smallCaps w:val="false"/>
          <w:spacing w:val="-2"/>
          <w:w w:val="100"/>
        </w:rPr>
      </w:pPr>
      <w:r>
        <w:rPr/>
      </w:r>
    </w:p>
    <w:tbl>
      <w:tblPr>
        <w:tblW w:w="3774" w:type="dxa"/>
        <w:jc w:val="center"/>
        <w:tblInd w:w="0" w:type="dxa"/>
        <w:tblLayout w:type="fixed"/>
        <w:tblCellMar>
          <w:top w:w="120" w:type="dxa"/>
          <w:start w:w="120" w:type="dxa"/>
          <w:bottom w:w="60" w:type="dxa"/>
          <w:end w:w="120" w:type="dxa"/>
        </w:tblCellMar>
      </w:tblPr>
      <w:tblGrid>
        <w:gridCol w:w="1163"/>
        <w:gridCol w:w="650"/>
        <w:gridCol w:w="787"/>
        <w:gridCol w:w="600"/>
        <w:gridCol w:w="574"/>
      </w:tblGrid>
      <w:tr>
        <w:trPr>
          <w:trHeight w:val="320" w:hRule="atLeast"/>
        </w:trPr>
        <w:tc>
          <w:tcPr>
            <w:tcW w:w="1163" w:type="dxa"/>
            <w:tcBorders/>
          </w:tcPr>
          <w:p>
            <w:pPr>
              <w:pStyle w:val="Figuretext"/>
              <w:widowControl w:val="false"/>
              <w:tabs>
                <w:tab w:val="clear" w:pos="720"/>
              </w:tabs>
              <w:spacing w:lineRule="atLeast" w:line="160" w:before="0" w:after="0"/>
              <w:ind w:hanging="0" w:start="0" w:end="0"/>
              <w:rPr/>
            </w:pPr>
            <w:r>
              <w:rPr/>
            </w:r>
          </w:p>
        </w:tc>
        <w:tc>
          <w:tcPr>
            <w:tcW w:w="65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FC</w:t>
            </w:r>
          </w:p>
        </w:tc>
        <w:tc>
          <w:tcPr>
            <w:tcW w:w="78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A1</w:t>
            </w:r>
          </w:p>
        </w:tc>
        <w:tc>
          <w:tcPr>
            <w:tcW w:w="60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A2</w:t>
            </w:r>
          </w:p>
        </w:tc>
        <w:tc>
          <w:tcPr>
            <w:tcW w:w="574"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2</w:t>
            </w:r>
          </w:p>
        </w:tc>
        <w:tc>
          <w:tcPr>
            <w:tcW w:w="787"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60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74"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start="0" w:end="0"/>
              <w:rPr/>
            </w:pPr>
            <w:r>
              <w:rPr>
                <w:caps w:val="false"/>
                <w:smallCaps w:val="false"/>
                <w:w w:val="100"/>
              </w:rPr>
              <w:t>Figure 12-24—</w:t>
            </w:r>
            <w:bookmarkStart w:id="2" w:name="RTF33373935323a204669675469"/>
            <w:r>
              <w:rPr>
                <w:caps w:val="false"/>
                <w:smallCaps w:val="false"/>
                <w:w w:val="100"/>
              </w:rPr>
              <w:t>BIP AAD construction</w:t>
            </w:r>
            <w:bookmarkEnd w:id="2"/>
          </w:p>
        </w:tc>
      </w:tr>
    </w:tbl>
    <w:p>
      <w:pPr>
        <w:pStyle w:val="TText"/>
        <w:spacing w:lineRule="atLeast" w:line="240"/>
        <w:ind w:hanging="0" w:start="0" w:end="0"/>
        <w:rPr>
          <w:u w:val="single"/>
        </w:rPr>
      </w:pPr>
      <w:r>
        <w:rPr>
          <w:caps w:val="false"/>
          <w:smallCaps w:val="false"/>
          <w:spacing w:val="-2"/>
          <w:w w:val="100"/>
          <w:u w:val="single"/>
        </w:rPr>
        <w:t xml:space="preserve">For S1G Beacon frames </w:t>
      </w:r>
      <w:r>
        <w:rPr>
          <w:caps w:val="false"/>
          <w:smallCaps w:val="false"/>
          <w:spacing w:val="-2"/>
          <w:w w:val="100"/>
          <w:u w:val="single"/>
        </w:rPr>
        <w:t xml:space="preserve">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6"/>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w:t>
      </w:r>
      <w:r>
        <w:rPr>
          <w:caps w:val="false"/>
          <w:smallCaps w:val="false"/>
          <w:w w:val="100"/>
          <w:u w:val="single"/>
        </w:rPr>
        <w:t>—address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r>
        <w:rPr>
          <w:caps w:val="false"/>
          <w:smallCaps w:val="false"/>
          <w:w w:val="100"/>
          <w:u w:val="single"/>
        </w:rPr>
        <w: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N</w:t>
      </w:r>
      <w:r>
        <w:rPr>
          <w:u w:val="single"/>
        </w:rPr>
        <w:t xml:space="preserve">OTE 1: </w:t>
        <w:tab/>
        <w:t xml:space="preserve">S1G APs with dot11APPMActivated equal to true may enter Power Save mode. To prevent disruption of BSS traffic by an attacker setting the </w:t>
      </w:r>
      <w:r>
        <w:rPr>
          <w:u w:val="single"/>
        </w:rPr>
        <w:t xml:space="preserve">AP </w:t>
      </w:r>
      <w:r>
        <w:rPr>
          <w:u w:val="single"/>
        </w:rPr>
        <w:t xml:space="preserve">PM </w:t>
      </w:r>
      <w:r>
        <w:rPr>
          <w:u w:val="single"/>
        </w:rPr>
        <w:t>subfield (bit 15)</w:t>
      </w:r>
      <w:r>
        <w:rPr>
          <w:u w:val="single"/>
        </w:rPr>
        <w:t xml:space="preserve"> in modified beacons, the </w:t>
      </w:r>
      <w:r>
        <w:rPr>
          <w:u w:val="single"/>
        </w:rPr>
        <w:t xml:space="preserve">AP </w:t>
      </w:r>
      <w:r>
        <w:rPr>
          <w:u w:val="single"/>
        </w:rPr>
        <w:t xml:space="preserve">PM </w:t>
      </w:r>
      <w:r>
        <w:rPr>
          <w:u w:val="single"/>
        </w:rPr>
        <w:t>subfield</w:t>
      </w:r>
      <w:r>
        <w:rPr>
          <w:u w:val="single"/>
        </w:rPr>
        <w:t xml:space="preserve">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start="0" w:end="0"/>
        <w:rPr>
          <w:u w:val="single"/>
        </w:rPr>
      </w:pPr>
      <w:r>
        <w:rPr>
          <w:caps w:val="false"/>
          <w:smallCaps w:val="false"/>
          <w:spacing w:val="-2"/>
          <w:w w:val="100"/>
          <w:u w:val="single"/>
        </w:rPr>
        <w:t>Figure 12-24</w:t>
      </w:r>
      <w:r>
        <w:rPr>
          <w:caps w:val="false"/>
          <w:smallCaps w:val="false"/>
          <w:spacing w:val="-2"/>
          <w:w w:val="100"/>
          <w:u w:val="single"/>
        </w:rPr>
        <w:t>a</w:t>
      </w:r>
      <w:r>
        <w:rPr>
          <w:caps w:val="false"/>
          <w:smallCaps w:val="false"/>
          <w:spacing w:val="-2"/>
          <w:w w:val="100"/>
          <w:u w:val="single"/>
        </w:rPr>
        <w:t xml:space="preserve"> (BIP AAD construction</w:t>
      </w:r>
      <w:r>
        <w:rPr>
          <w:caps w:val="false"/>
          <w:smallCaps w:val="false"/>
          <w:spacing w:val="-2"/>
          <w:w w:val="100"/>
          <w:u w:val="single"/>
        </w:rPr>
        <w:t xml:space="preserve"> for S1G Beacon frames </w:t>
      </w:r>
      <w:r>
        <w:rPr>
          <w:caps w:val="false"/>
          <w:smallCaps w:val="false"/>
          <w:spacing w:val="-2"/>
          <w:w w:val="100"/>
          <w:u w:val="single"/>
        </w:rPr>
        <w:t>without BCE</w:t>
      </w:r>
      <w:r>
        <w:rPr>
          <w:caps w:val="false"/>
          <w:smallCaps w:val="false"/>
          <w:spacing w:val="-2"/>
          <w:w w:val="100"/>
          <w:u w:val="single"/>
        </w:rPr>
        <w:t xml:space="preserve">) depicts the format of the AAD. The length of the AAD is </w:t>
      </w:r>
      <w:r>
        <w:rPr>
          <w:caps w:val="false"/>
          <w:smallCaps w:val="false"/>
          <w:spacing w:val="-2"/>
          <w:w w:val="100"/>
          <w:u w:val="single"/>
        </w:rPr>
        <w:t xml:space="preserve">9-17 </w:t>
      </w:r>
      <w:r>
        <w:rPr>
          <w:caps w:val="false"/>
          <w:smallCaps w:val="false"/>
          <w:spacing w:val="-2"/>
          <w:w w:val="100"/>
          <w:u w:val="single"/>
        </w:rPr>
        <w:t>octets.</w:t>
      </w:r>
    </w:p>
    <w:p>
      <w:pPr>
        <w:pStyle w:val="TText"/>
        <w:suppressAutoHyphens w:val="false"/>
        <w:spacing w:lineRule="atLeast" w:line="240"/>
        <w:ind w:hanging="0" w:start="0" w:end="0"/>
        <w:rPr>
          <w:u w:val="single"/>
        </w:rPr>
      </w:pPr>
      <w:r>
        <w:rPr>
          <w:u w:val="single"/>
        </w:rPr>
      </w:r>
    </w:p>
    <w:tbl>
      <w:tblPr>
        <w:tblW w:w="7404" w:type="dxa"/>
        <w:jc w:val="center"/>
        <w:tblInd w:w="0" w:type="dxa"/>
        <w:tblLayout w:type="fixed"/>
        <w:tblCellMar>
          <w:top w:w="120" w:type="dxa"/>
          <w:start w:w="120" w:type="dxa"/>
          <w:bottom w:w="60" w:type="dxa"/>
          <w:end w:w="120" w:type="dxa"/>
        </w:tblCellMar>
      </w:tblPr>
      <w:tblGrid>
        <w:gridCol w:w="932"/>
        <w:gridCol w:w="568"/>
        <w:gridCol w:w="536"/>
        <w:gridCol w:w="1082"/>
        <w:gridCol w:w="1125"/>
        <w:gridCol w:w="1543"/>
        <w:gridCol w:w="1618"/>
      </w:tblGrid>
      <w:tr>
        <w:trPr>
          <w:trHeight w:val="320" w:hRule="atLeast"/>
        </w:trPr>
        <w:tc>
          <w:tcPr>
            <w:tcW w:w="932"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1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25"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543"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61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108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25"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start="0" w:end="0"/>
              <w:rPr>
                <w:u w:val="single"/>
              </w:rPr>
            </w:pPr>
            <w:r>
              <w:rPr>
                <w:u w:val="single"/>
              </w:rPr>
              <w:t>0 or 4</w:t>
            </w:r>
          </w:p>
        </w:tc>
        <w:tc>
          <w:tcPr>
            <w:tcW w:w="1618" w:type="dxa"/>
            <w:tcBorders/>
          </w:tcPr>
          <w:p>
            <w:pPr>
              <w:pStyle w:val="Figuretext"/>
              <w:widowControl w:val="false"/>
              <w:tabs>
                <w:tab w:val="clear" w:pos="720"/>
              </w:tabs>
              <w:spacing w:lineRule="atLeast" w:line="160"/>
              <w:ind w:hanging="0" w:start="0" w:end="0"/>
              <w:rPr>
                <w:u w:val="single"/>
              </w:rPr>
            </w:pPr>
            <w:r>
              <w:rPr>
                <w:u w:val="single"/>
              </w:rPr>
              <w:t>0 or 1</w:t>
            </w:r>
          </w:p>
        </w:tc>
      </w:tr>
      <w:tr>
        <w:trPr/>
        <w:tc>
          <w:tcPr>
            <w:tcW w:w="7404" w:type="dxa"/>
            <w:gridSpan w:val="7"/>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w:t>
            </w:r>
            <w:r>
              <w:rPr>
                <w:caps w:val="false"/>
                <w:smallCaps w:val="false"/>
                <w:w w:val="100"/>
                <w:u w:val="single"/>
              </w:rPr>
              <w:t>2</w:t>
            </w:r>
            <w:r>
              <w:rPr>
                <w:caps w:val="false"/>
                <w:smallCaps w:val="false"/>
                <w:w w:val="100"/>
                <w:u w:val="single"/>
              </w:rPr>
              <w:t>4a—</w:t>
            </w:r>
            <w:bookmarkStart w:id="3" w:name="RTF33373935323a204669675469_Copy_1"/>
            <w:r>
              <w:rPr>
                <w:caps w:val="false"/>
                <w:smallCaps w:val="false"/>
                <w:w w:val="100"/>
                <w:u w:val="single"/>
              </w:rPr>
              <w:t>BIP AAD construction</w:t>
            </w:r>
            <w:bookmarkEnd w:id="3"/>
            <w:r>
              <w:rPr>
                <w:caps w:val="false"/>
                <w:smallCaps w:val="false"/>
                <w:w w:val="100"/>
                <w:u w:val="single"/>
              </w:rPr>
              <w:t xml:space="preserve"> </w:t>
            </w:r>
            <w:r>
              <w:rPr>
                <w:caps w:val="false"/>
                <w:smallCaps w:val="false"/>
                <w:w w:val="100"/>
                <w:u w:val="single"/>
              </w:rPr>
              <w:t xml:space="preserve">for S1G Beacon frames </w:t>
            </w:r>
            <w:r>
              <w:rPr>
                <w:caps w:val="false"/>
                <w:smallCaps w:val="false"/>
                <w:w w:val="100"/>
                <w:u w:val="single"/>
              </w:rPr>
              <w:t>without BCE</w:t>
            </w:r>
          </w:p>
        </w:tc>
      </w:tr>
    </w:tbl>
    <w:p>
      <w:pPr>
        <w:pStyle w:val="TText"/>
        <w:spacing w:lineRule="atLeast" w:line="240"/>
        <w:ind w:hanging="0" w:start="0" w:end="0"/>
        <w:rPr>
          <w:u w:val="single"/>
        </w:rPr>
      </w:pPr>
      <w:r>
        <w:rPr>
          <w:caps w:val="false"/>
          <w:smallCaps w:val="false"/>
          <w:spacing w:val="-2"/>
          <w:w w:val="100"/>
          <w:u w:val="single"/>
        </w:rPr>
        <w:t xml:space="preserve">For S1G Beacon frames </w:t>
      </w:r>
      <w:r>
        <w:rPr>
          <w:caps w:val="false"/>
          <w:smallCaps w:val="false"/>
          <w:spacing w:val="-2"/>
          <w:w w:val="100"/>
          <w:u w:val="single"/>
        </w:rPr>
        <w:t xml:space="preserve">when BCE is in use, </w:t>
      </w:r>
      <w:r>
        <w:rPr>
          <w:caps w:val="false"/>
          <w:smallCaps w:val="false"/>
          <w:strike w:val="false"/>
          <w:dstrike w:val="false"/>
          <w:spacing w:val="-2"/>
          <w:w w:val="100"/>
          <w:u w:val="single"/>
        </w:rPr>
        <w:t>t</w:t>
      </w:r>
      <w:r>
        <w:rPr>
          <w:caps w:val="false"/>
          <w:smallCaps w:val="false"/>
          <w:spacing w:val="-2"/>
          <w:w w:val="100"/>
          <w:u w:val="single"/>
        </w:rPr>
        <w:t xml:space="preserve">he BIP Additional Authentication Data (AAD) is constructed from the MPDU header </w:t>
      </w:r>
      <w:r>
        <w:rPr>
          <w:caps w:val="false"/>
          <w:smallCaps w:val="false"/>
          <w:spacing w:val="-2"/>
          <w:w w:val="100"/>
          <w:u w:val="single"/>
        </w:rPr>
        <w:t>and the BIPN</w:t>
      </w:r>
      <w:r>
        <w:rPr>
          <w:caps w:val="false"/>
          <w:smallCaps w:val="false"/>
          <w:spacing w:val="-2"/>
          <w:w w:val="100"/>
          <w:u w:val="single"/>
        </w:rPr>
        <w:t>. AAD construction is performed as follows:</w:t>
      </w:r>
    </w:p>
    <w:p>
      <w:pPr>
        <w:pStyle w:val="L1LetteredList"/>
        <w:numPr>
          <w:ilvl w:val="0"/>
          <w:numId w:val="7"/>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w:t>
      </w:r>
      <w:r>
        <w:rPr>
          <w:caps w:val="false"/>
          <w:smallCaps w:val="false"/>
          <w:w w:val="100"/>
          <w:u w:val="single"/>
        </w:rPr>
        <w:t>—address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r>
        <w:rPr>
          <w:caps w:val="false"/>
          <w:smallCaps w:val="false"/>
          <w:w w:val="100"/>
          <w:u w:val="single"/>
        </w:rPr>
        <w: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BIPN.</w:t>
      </w:r>
    </w:p>
    <w:p>
      <w:pPr>
        <w:pStyle w:val="TText"/>
        <w:suppressAutoHyphens w:val="false"/>
        <w:spacing w:lineRule="atLeast" w:line="240"/>
        <w:ind w:hanging="0" w:start="0" w:end="0"/>
        <w:rPr>
          <w:u w:val="single"/>
        </w:rPr>
      </w:pPr>
      <w:r>
        <w:rPr>
          <w:caps w:val="false"/>
          <w:smallCaps w:val="false"/>
          <w:spacing w:val="-2"/>
          <w:w w:val="100"/>
          <w:u w:val="single"/>
        </w:rPr>
        <w:t>Figure 12-24</w:t>
      </w:r>
      <w:r>
        <w:rPr>
          <w:caps w:val="false"/>
          <w:smallCaps w:val="false"/>
          <w:spacing w:val="-2"/>
          <w:w w:val="100"/>
          <w:u w:val="single"/>
        </w:rPr>
        <w:t>b</w:t>
      </w:r>
      <w:r>
        <w:rPr>
          <w:caps w:val="false"/>
          <w:smallCaps w:val="false"/>
          <w:spacing w:val="-2"/>
          <w:w w:val="100"/>
          <w:u w:val="single"/>
        </w:rPr>
        <w:t xml:space="preserve"> (BIP AAD construction</w:t>
      </w:r>
      <w:r>
        <w:rPr>
          <w:caps w:val="false"/>
          <w:smallCaps w:val="false"/>
          <w:spacing w:val="-2"/>
          <w:w w:val="100"/>
          <w:u w:val="single"/>
        </w:rPr>
        <w:t xml:space="preserve"> for S1G Beacon frames </w:t>
      </w:r>
      <w:r>
        <w:rPr>
          <w:caps w:val="false"/>
          <w:smallCaps w:val="false"/>
          <w:spacing w:val="-2"/>
          <w:w w:val="100"/>
          <w:u w:val="single"/>
        </w:rPr>
        <w:t>with BCE</w:t>
      </w:r>
      <w:r>
        <w:rPr>
          <w:caps w:val="false"/>
          <w:smallCaps w:val="false"/>
          <w:spacing w:val="-2"/>
          <w:w w:val="100"/>
          <w:u w:val="single"/>
        </w:rPr>
        <w:t xml:space="preserve">) depicts the format of the AAD. The length of the AAD is </w:t>
      </w:r>
      <w:r>
        <w:rPr>
          <w:caps w:val="false"/>
          <w:smallCaps w:val="false"/>
          <w:spacing w:val="-2"/>
          <w:w w:val="100"/>
          <w:u w:val="single"/>
        </w:rPr>
        <w:t>15</w:t>
      </w:r>
      <w:r>
        <w:rPr>
          <w:caps w:val="false"/>
          <w:smallCaps w:val="false"/>
          <w:spacing w:val="-2"/>
          <w:w w:val="100"/>
          <w:u w:val="single"/>
        </w:rPr>
        <w:t>-</w:t>
      </w:r>
      <w:r>
        <w:rPr>
          <w:caps w:val="false"/>
          <w:smallCaps w:val="false"/>
          <w:spacing w:val="-2"/>
          <w:w w:val="100"/>
          <w:u w:val="single"/>
        </w:rPr>
        <w:t>23</w:t>
      </w:r>
      <w:r>
        <w:rPr>
          <w:caps w:val="false"/>
          <w:smallCaps w:val="false"/>
          <w:spacing w:val="-2"/>
          <w:w w:val="100"/>
          <w:u w:val="single"/>
        </w:rPr>
        <w:t xml:space="preserve"> </w:t>
      </w:r>
      <w:r>
        <w:rPr>
          <w:caps w:val="false"/>
          <w:smallCaps w:val="false"/>
          <w:spacing w:val="-2"/>
          <w:w w:val="100"/>
          <w:u w:val="single"/>
        </w:rPr>
        <w:t>octets.</w:t>
      </w:r>
    </w:p>
    <w:p>
      <w:pPr>
        <w:pStyle w:val="TText"/>
        <w:suppressAutoHyphens w:val="false"/>
        <w:spacing w:lineRule="atLeast" w:line="240"/>
        <w:ind w:hanging="0" w:start="0" w:end="0"/>
        <w:rPr>
          <w:u w:val="single"/>
        </w:rPr>
      </w:pPr>
      <w:r>
        <w:rPr>
          <w:u w:val="single"/>
        </w:rPr>
      </w:r>
    </w:p>
    <w:tbl>
      <w:tblPr>
        <w:tblW w:w="7500" w:type="dxa"/>
        <w:jc w:val="center"/>
        <w:tblInd w:w="0" w:type="dxa"/>
        <w:tblLayout w:type="fixed"/>
        <w:tblCellMar>
          <w:top w:w="120" w:type="dxa"/>
          <w:start w:w="120" w:type="dxa"/>
          <w:bottom w:w="60" w:type="dxa"/>
          <w:end w:w="120" w:type="dxa"/>
        </w:tblCellMar>
      </w:tblPr>
      <w:tblGrid>
        <w:gridCol w:w="750"/>
        <w:gridCol w:w="536"/>
        <w:gridCol w:w="546"/>
        <w:gridCol w:w="986"/>
        <w:gridCol w:w="1168"/>
        <w:gridCol w:w="1350"/>
        <w:gridCol w:w="1446"/>
        <w:gridCol w:w="718"/>
      </w:tblGrid>
      <w:tr>
        <w:trPr>
          <w:trHeight w:val="320" w:hRule="atLeast"/>
        </w:trPr>
        <w:tc>
          <w:tcPr>
            <w:tcW w:w="750"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4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98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68"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350"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44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c>
          <w:tcPr>
            <w:tcW w:w="71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98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350" w:type="dxa"/>
            <w:tcBorders/>
          </w:tcPr>
          <w:p>
            <w:pPr>
              <w:pStyle w:val="Figuretext"/>
              <w:widowControl w:val="false"/>
              <w:tabs>
                <w:tab w:val="clear" w:pos="720"/>
              </w:tabs>
              <w:spacing w:lineRule="atLeast" w:line="160"/>
              <w:ind w:hanging="0" w:start="0" w:end="0"/>
              <w:rPr>
                <w:u w:val="single"/>
              </w:rPr>
            </w:pPr>
            <w:r>
              <w:rPr>
                <w:u w:val="single"/>
              </w:rPr>
              <w:t>0 or 4</w:t>
            </w:r>
          </w:p>
        </w:tc>
        <w:tc>
          <w:tcPr>
            <w:tcW w:w="1446" w:type="dxa"/>
            <w:tcBorders/>
          </w:tcPr>
          <w:p>
            <w:pPr>
              <w:pStyle w:val="Figuretext"/>
              <w:widowControl w:val="false"/>
              <w:tabs>
                <w:tab w:val="clear" w:pos="720"/>
              </w:tabs>
              <w:spacing w:lineRule="atLeast" w:line="160"/>
              <w:ind w:hanging="0" w:start="0" w:end="0"/>
              <w:rPr>
                <w:u w:val="single"/>
              </w:rPr>
            </w:pPr>
            <w:r>
              <w:rPr>
                <w:u w:val="single"/>
              </w:rPr>
              <w:t>0 or 1</w:t>
            </w:r>
          </w:p>
        </w:tc>
        <w:tc>
          <w:tcPr>
            <w:tcW w:w="71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r>
      <w:tr>
        <w:trPr/>
        <w:tc>
          <w:tcPr>
            <w:tcW w:w="7500" w:type="dxa"/>
            <w:gridSpan w:val="8"/>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w:t>
            </w:r>
            <w:r>
              <w:rPr>
                <w:caps w:val="false"/>
                <w:smallCaps w:val="false"/>
                <w:w w:val="100"/>
                <w:u w:val="single"/>
              </w:rPr>
              <w:t>2</w:t>
            </w:r>
            <w:r>
              <w:rPr>
                <w:caps w:val="false"/>
                <w:smallCaps w:val="false"/>
                <w:w w:val="100"/>
                <w:u w:val="single"/>
              </w:rPr>
              <w:t>4</w:t>
            </w:r>
            <w:r>
              <w:rPr>
                <w:caps w:val="false"/>
                <w:smallCaps w:val="false"/>
                <w:w w:val="100"/>
                <w:u w:val="single"/>
              </w:rPr>
              <w:t>b</w:t>
            </w:r>
            <w:r>
              <w:rPr>
                <w:caps w:val="false"/>
                <w:smallCaps w:val="false"/>
                <w:w w:val="100"/>
                <w:u w:val="single"/>
              </w:rPr>
              <w:t>—</w:t>
            </w:r>
            <w:bookmarkStart w:id="4" w:name="RTF33373935323a204669675469_Copy_1_Copy_"/>
            <w:r>
              <w:rPr>
                <w:caps w:val="false"/>
                <w:smallCaps w:val="false"/>
                <w:w w:val="100"/>
                <w:u w:val="single"/>
              </w:rPr>
              <w:t>BIP AAD construction</w:t>
            </w:r>
            <w:bookmarkEnd w:id="4"/>
            <w:r>
              <w:rPr>
                <w:caps w:val="false"/>
                <w:smallCaps w:val="false"/>
                <w:w w:val="100"/>
                <w:u w:val="single"/>
              </w:rPr>
              <w:t xml:space="preserve"> </w:t>
            </w:r>
            <w:r>
              <w:rPr>
                <w:caps w:val="false"/>
                <w:smallCaps w:val="false"/>
                <w:w w:val="100"/>
                <w:u w:val="single"/>
              </w:rPr>
              <w:t xml:space="preserve">for S1G Beacon frames </w:t>
            </w:r>
            <w:r>
              <w:rPr>
                <w:caps w:val="false"/>
                <w:smallCaps w:val="false"/>
                <w:w w:val="100"/>
                <w:u w:val="single"/>
              </w:rPr>
              <w:t>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 xml:space="preserve">Change the </w:t>
      </w:r>
      <w:r>
        <w:rPr>
          <w:b/>
          <w:bCs/>
          <w:i/>
          <w:iCs/>
        </w:rPr>
        <w:t>second</w:t>
      </w:r>
      <w:r>
        <w:rPr>
          <w:b/>
          <w:bCs/>
          <w:i/>
          <w:iCs/>
        </w:rPr>
        <w:t xml:space="preserve"> paragraph as shown:</w:t>
      </w:r>
    </w:p>
    <w:p>
      <w:pPr>
        <w:pStyle w:val="TText"/>
        <w:spacing w:lineRule="atLeast" w:line="240"/>
        <w:ind w:hanging="0" w:start="0" w:end="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w:t>
      </w:r>
      <w:r>
        <w:rPr>
          <w:caps w:val="false"/>
          <w:smallCaps w:val="false"/>
          <w:color w:val="auto"/>
          <w:spacing w:val="-2"/>
          <w:w w:val="100"/>
        </w:rPr>
        <w:t>T</w:t>
      </w:r>
      <w:r>
        <w:rPr>
          <w:caps w:val="false"/>
          <w:smallCaps w:val="false"/>
          <w:color w:val="auto"/>
          <w:spacing w:val="-2"/>
          <w:w w:val="100"/>
        </w:rPr>
        <w:t xml:space="preserve">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w:t>
      </w:r>
      <w:r>
        <w:rPr>
          <w:caps w:val="false"/>
          <w:smallCaps w:val="false"/>
          <w:strike w:val="false"/>
          <w:dstrike w:val="false"/>
          <w:color w:val="auto"/>
          <w:spacing w:val="-2"/>
          <w:w w:val="100"/>
          <w:u w:val="single"/>
        </w:rPr>
        <w:t xml:space="preserve">or TBTTs </w:t>
      </w:r>
      <w:r>
        <w:rPr>
          <w:caps w:val="false"/>
          <w:smallCaps w:val="false"/>
          <w:strike w:val="false"/>
          <w:dstrike w:val="false"/>
          <w:color w:val="auto"/>
          <w:spacing w:val="-2"/>
          <w:w w:val="100"/>
          <w:u w:val="single"/>
        </w:rPr>
        <w:t xml:space="preserve">since TSF time 0. </w:t>
      </w:r>
      <w:r>
        <w:rPr>
          <w:strike w:val="false"/>
          <w:dstrike w:val="false"/>
          <w:u w:val="single"/>
        </w:rPr>
        <w:t>I</w:t>
      </w:r>
      <w:r>
        <w:rPr>
          <w:strike w:val="false"/>
          <w:dstrike w:val="false"/>
          <w:position w:val="0"/>
          <w:sz w:val="20"/>
          <w:u w:val="single"/>
          <w:vertAlign w:val="baseline"/>
        </w:rPr>
        <w:t xml:space="preserve">f dot11ShortBeaconInterval is true, </w:t>
      </w:r>
      <w:r>
        <w:rPr>
          <w:strike w:val="false"/>
          <w:dstrike w:val="false"/>
          <w:position w:val="0"/>
          <w:sz w:val="20"/>
          <w:u w:val="single"/>
          <w:vertAlign w:val="baseline"/>
        </w:rPr>
        <w:t xml:space="preserve">the BIPN shall be </w:t>
      </w:r>
      <w:r>
        <w:rPr>
          <w:strike w:val="false"/>
          <w:dstrike w:val="false"/>
          <w:position w:val="0"/>
          <w:sz w:val="20"/>
          <w:u w:val="single"/>
          <w:vertAlign w:val="baseline"/>
        </w:rPr>
        <w:t>initialized</w:t>
      </w:r>
      <w:r>
        <w:rPr>
          <w:strike w:val="false"/>
          <w:dstrike w:val="false"/>
          <w:position w:val="0"/>
          <w:sz w:val="20"/>
          <w:u w:val="single"/>
          <w:vertAlign w:val="baseline"/>
        </w:rPr>
        <w:t xml:space="preserve"> </w:t>
      </w:r>
      <w:r>
        <w:rPr>
          <w:strike w:val="false"/>
          <w:dstrike w:val="false"/>
          <w:u w:val="single"/>
        </w:rPr>
        <w:t>using Equation (12-0</w:t>
      </w:r>
      <w:r>
        <w:rPr>
          <w:strike w:val="false"/>
          <w:dstrike w:val="false"/>
          <w:u w:val="single"/>
        </w:rPr>
        <w:t>a</w:t>
      </w:r>
      <w:r>
        <w:rPr>
          <w:strike w:val="false"/>
          <w:dstrike w:val="false"/>
          <w:u w:val="single"/>
        </w:rPr>
        <w:t>)</w:t>
      </w:r>
      <w:r>
        <w:rPr>
          <w:strike w:val="false"/>
          <w:dstrike w:val="false"/>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dot11ShortBeaconPeriod</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a</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position w:val="0"/>
          <w:sz w:val="20"/>
          <w:u w:val="single"/>
          <w:vertAlign w:val="baseline"/>
        </w:rPr>
        <w:t xml:space="preserve">the BIPN shall be </w:t>
      </w:r>
      <w:r>
        <w:rPr>
          <w:caps w:val="false"/>
          <w:smallCaps w:val="false"/>
          <w:strike w:val="false"/>
          <w:dstrike w:val="false"/>
          <w:color w:val="auto"/>
          <w:spacing w:val="-2"/>
          <w:w w:val="100"/>
          <w:position w:val="0"/>
          <w:sz w:val="20"/>
          <w:u w:val="single"/>
          <w:vertAlign w:val="baseline"/>
        </w:rPr>
        <w:t>initialized</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u w:val="single"/>
        </w:rPr>
        <w:t>using Equation (12-0</w:t>
      </w:r>
      <w:r>
        <w:rPr>
          <w:caps w:val="false"/>
          <w:smallCaps w:val="false"/>
          <w:strike w:val="false"/>
          <w:dstrike w:val="false"/>
          <w:color w:val="auto"/>
          <w:spacing w:val="-2"/>
          <w:w w:val="100"/>
          <w:u w:val="single"/>
        </w:rPr>
        <w:t>b</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dot11BeaconPeriod</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ab/>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b</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u w:val="single"/>
          <w:vertAlign w:val="baseline"/>
        </w:rPr>
        <w:t>When adding protection to, or checking protection on, an S1G Beacon frame, i</w:t>
      </w:r>
      <w:r>
        <w:rPr>
          <w:caps w:val="false"/>
          <w:smallCaps w:val="false"/>
          <w:strike w:val="false"/>
          <w:dstrike w:val="false"/>
          <w:color w:val="auto"/>
          <w:spacing w:val="-2"/>
          <w:w w:val="100"/>
          <w:position w:val="0"/>
          <w:sz w:val="20"/>
          <w:u w:val="single"/>
          <w:vertAlign w:val="baseline"/>
        </w:rPr>
        <w:t xml:space="preserve">f dot11ShortBeaconInterval is true, </w:t>
      </w:r>
      <w:r>
        <w:rPr>
          <w:caps w:val="false"/>
          <w:smallCaps w:val="false"/>
          <w:strike w:val="false"/>
          <w:dstrike w:val="false"/>
          <w:color w:val="auto"/>
          <w:spacing w:val="-2"/>
          <w:w w:val="100"/>
          <w:position w:val="0"/>
          <w:sz w:val="20"/>
          <w:u w:val="single"/>
          <w:vertAlign w:val="baseline"/>
        </w:rPr>
        <w:t>the BIPN shall be calculated</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u w:val="single"/>
        </w:rPr>
        <w:t>using Equation (12-0</w:t>
      </w:r>
      <w:r>
        <w:rPr>
          <w:caps w:val="false"/>
          <w:smallCaps w:val="false"/>
          <w:strike w:val="false"/>
          <w:dstrike w:val="false"/>
          <w:color w:val="auto"/>
          <w:spacing w:val="-2"/>
          <w:w w:val="100"/>
          <w:u w:val="single"/>
        </w:rPr>
        <w:t>c</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dot11ShortBeaconPeriod</w:t>
      </w:r>
      <w:r>
        <w:rPr>
          <w:caps w:val="false"/>
          <w:smallCaps w:val="false"/>
          <w:strike w:val="false"/>
          <w:dstrike w:val="false"/>
          <w:color w:val="auto"/>
          <w:spacing w:val="-2"/>
          <w:w w:val="100"/>
          <w:u w:val="single"/>
        </w:rPr>
        <w:t>)</w:t>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c</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 xml:space="preserve">is the </w:t>
      </w:r>
      <w:r>
        <w:rPr>
          <w:caps w:val="false"/>
          <w:smallCaps w:val="false"/>
          <w:strike w:val="false"/>
          <w:dstrike w:val="false"/>
          <w:color w:val="auto"/>
          <w:spacing w:val="-2"/>
          <w:w w:val="100"/>
          <w:u w:val="single"/>
        </w:rPr>
        <w:t>TSBTT of the S1G Beacon frame that is being protected</w:t>
      </w:r>
      <w:r>
        <w:rPr>
          <w:caps w:val="false"/>
          <w:smallCaps w:val="false"/>
          <w:strike w:val="false"/>
          <w:dstrike w:val="false"/>
          <w:color w:val="auto"/>
          <w:spacing w:val="-2"/>
          <w:w w:val="100"/>
          <w:u w:val="single"/>
        </w:rPr>
        <w:t>, in µs.</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u w:val="single"/>
          <w:vertAlign w:val="baseline"/>
        </w:rPr>
        <w:t>When adding protection to, or checking protection on, an S1G Beacon frame, 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position w:val="0"/>
          <w:sz w:val="20"/>
          <w:u w:val="single"/>
          <w:vertAlign w:val="baseline"/>
        </w:rPr>
        <w:t>the BIPN shall be calculated</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u w:val="single"/>
        </w:rPr>
        <w:t>using Equation (12-0</w:t>
      </w:r>
      <w:r>
        <w:rPr>
          <w:caps w:val="false"/>
          <w:smallCaps w:val="false"/>
          <w:strike w:val="false"/>
          <w:dstrike w:val="false"/>
          <w:color w:val="auto"/>
          <w:spacing w:val="-2"/>
          <w:w w:val="100"/>
          <w:u w:val="single"/>
        </w:rPr>
        <w:t>d</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dot11BeaconPeriod</w:t>
      </w:r>
      <w:r>
        <w:rPr>
          <w:caps w:val="false"/>
          <w:smallCaps w:val="false"/>
          <w:strike w:val="false"/>
          <w:dstrike w:val="false"/>
          <w:color w:val="auto"/>
          <w:spacing w:val="-2"/>
          <w:w w:val="100"/>
          <w:u w:val="single"/>
        </w:rPr>
        <w:t>)</w:t>
        <w:tab/>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d</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 xml:space="preserve">is the </w:t>
      </w:r>
      <w:r>
        <w:rPr>
          <w:caps w:val="false"/>
          <w:smallCaps w:val="false"/>
          <w:strike w:val="false"/>
          <w:dstrike w:val="false"/>
          <w:color w:val="auto"/>
          <w:spacing w:val="-2"/>
          <w:w w:val="100"/>
          <w:u w:val="single"/>
        </w:rPr>
        <w:t>TBTT of the S1G Beacon frame that is being protected</w:t>
      </w:r>
      <w:r>
        <w:rPr>
          <w:caps w:val="false"/>
          <w:smallCaps w:val="false"/>
          <w:strike w:val="false"/>
          <w:dstrike w:val="false"/>
          <w:color w:val="auto"/>
          <w:spacing w:val="-2"/>
          <w:w w:val="100"/>
          <w:u w:val="single"/>
        </w:rPr>
        <w:t>, in µs.</w:t>
      </w:r>
    </w:p>
    <w:p>
      <w:pPr>
        <w:pStyle w:val="Note"/>
        <w:rPr/>
      </w:pPr>
      <w:r>
        <w:rPr/>
        <w:t>NOTE 1: Calculation of CurrentTBTT or CurrentTSBTT is implementation dependent. One possible implementation is the transmitter could use Ceil(TSF/(1024 x dot11</w:t>
      </w:r>
      <w:r>
        <w:rPr/>
        <w:t>Short</w:t>
      </w:r>
      <w:r>
        <w:rPr/>
        <w:t xml:space="preserve">BeaconPeriod)) </w:t>
      </w:r>
      <w:r>
        <w:rPr/>
        <w:t xml:space="preserve">and </w:t>
      </w:r>
      <w:r>
        <w:rPr/>
        <w:t>Ceil(TSF/(1024 x dot11BeaconPeriod)), and the receiver could use Floor(TSF/(1024 x dot11</w:t>
      </w:r>
      <w:r>
        <w:rPr/>
        <w:t>Short</w:t>
      </w:r>
      <w:r>
        <w:rPr/>
        <w:t xml:space="preserve">BeaconPeriod)) </w:t>
      </w:r>
      <w:r>
        <w:rPr/>
        <w:t>and</w:t>
      </w:r>
      <w:r>
        <w:rPr/>
        <w:t xml:space="preserve"> Floor(TSF/(1024 x dot11BeaconPeriod)).</w:t>
      </w:r>
    </w:p>
    <w:p>
      <w:pPr>
        <w:pStyle w:val="TText"/>
        <w:spacing w:lineRule="atLeast" w:line="240"/>
        <w:ind w:hanging="0" w:start="0" w:end="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start="0" w:end="0"/>
        <w:rPr>
          <w:b/>
          <w:bCs/>
        </w:rPr>
      </w:pPr>
      <w:r>
        <w:rPr>
          <w:b/>
          <w:bCs/>
        </w:rPr>
      </w:r>
    </w:p>
    <w:p>
      <w:pPr>
        <w:pStyle w:val="Normal"/>
        <w:rPr>
          <w:b/>
          <w:bCs/>
          <w:i/>
          <w:i/>
          <w:iCs/>
        </w:rPr>
      </w:pPr>
      <w:r>
        <w:rPr>
          <w:b/>
          <w:bCs/>
          <w:i/>
          <w:iCs/>
        </w:rPr>
        <w:t xml:space="preserve">Change </w:t>
      </w:r>
      <w:r>
        <w:rPr>
          <w:b/>
          <w:bCs/>
          <w:i/>
          <w:iCs/>
        </w:rPr>
        <w:t>NOTE 1</w:t>
      </w:r>
      <w:r>
        <w:rPr>
          <w:b/>
          <w:bCs/>
          <w:i/>
          <w:iCs/>
        </w:rPr>
        <w:t xml:space="preserve"> as shown </w:t>
      </w:r>
      <w:r>
        <w:rPr>
          <w:b/>
          <w:bCs/>
          <w:i/>
          <w:iCs/>
        </w:rPr>
        <w:t>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w:t>
      </w:r>
      <w:r>
        <w:rPr>
          <w:strike w:val="false"/>
          <w:dstrike w:val="false"/>
          <w:u w:val="single"/>
        </w:rPr>
        <w:t>and BCE is not in use</w:t>
      </w:r>
      <w:r>
        <w:rPr>
          <w:strike w:val="false"/>
          <w:dstrike w:val="false"/>
          <w:u w:val="single"/>
        </w:rPr>
        <w:t xml:space="preserve">, </w:t>
      </w:r>
      <w:r>
        <w:rPr>
          <w:u w:val="single"/>
        </w:rPr>
        <w:t>the choices available to an implementation are to replace the corresponding key or to end communications.  When the</w:t>
      </w:r>
      <w:r>
        <w:rPr>
          <w:strike w:val="false"/>
          <w:dstrike w:val="false"/>
          <w:u w:val="single"/>
        </w:rPr>
        <w:t xml:space="preserve"> BIPN space is exhausted </w:t>
      </w:r>
      <w:r>
        <w:rPr>
          <w:strike w:val="false"/>
          <w:dstrike w:val="false"/>
          <w:u w:val="single"/>
        </w:rPr>
        <w:t>and BCE is in use</w:t>
      </w:r>
      <w:r>
        <w:rPr>
          <w:strike w:val="false"/>
          <w:dstrike w:val="false"/>
          <w:u w:val="single"/>
        </w:rPr>
        <w:t xml:space="preserve">, </w:t>
      </w:r>
      <w:r>
        <w:rPr>
          <w:u w:val="single"/>
        </w:rPr>
        <w:t xml:space="preserve">the choices available to an implementation are to replace the corresponding key </w:t>
      </w:r>
      <w:r>
        <w:rPr>
          <w:u w:val="single"/>
        </w:rPr>
        <w:t xml:space="preserve">and reset the TSF to 0 </w:t>
      </w:r>
      <w:r>
        <w:rPr>
          <w:u w:val="single"/>
        </w:rPr>
        <w:t xml:space="preserve">or to end communications </w:t>
      </w:r>
      <w:r>
        <w:rPr>
          <w:u w:val="single"/>
        </w:rPr>
        <w:t>(and the AP may restart the BSS)</w:t>
      </w:r>
      <w:r>
        <w:rPr>
          <w:u w:val="single"/>
        </w:rPr>
        <w:t>.</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start="0" w:end="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w:t>
      </w:r>
      <w:r>
        <w:rPr>
          <w:caps w:val="false"/>
          <w:smallCaps w:val="false"/>
          <w:spacing w:val="-2"/>
          <w:w w:val="100"/>
          <w:u w:val="single"/>
        </w:rPr>
        <w:t>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rPr>
          <w:caps w:val="false"/>
          <w:smallCaps w:val="false"/>
          <w:w w:val="100"/>
        </w:rPr>
      </w:pPr>
      <w:r>
        <w:rPr>
          <w:caps w:val="false"/>
          <w:smallCaps w:val="false"/>
          <w:w w:val="100"/>
        </w:rPr>
        <w:t xml:space="preserve">Select the IGTK or BIGTK currently active for transmission of frames to the intended group of </w:t>
      </w:r>
      <w:r>
        <w:rPr>
          <w:caps w:val="false"/>
          <w:smallCaps w:val="false"/>
          <w:w w:val="100"/>
        </w:rPr>
        <w:t>receivers</w:t>
      </w:r>
      <w:r>
        <w:rPr>
          <w:caps w:val="false"/>
          <w:smallCaps w:val="false"/>
          <w:w w:val="100"/>
        </w:rPr>
        <w:t xml:space="preserve">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start="1280"/>
        <w:rPr/>
      </w:pPr>
      <w:r>
        <w:rPr/>
        <w:t>NOTE 1—QMF is not supported for PV1 Management frames (see 11.24.1.1 (Overview)).</w:t>
      </w:r>
    </w:p>
    <w:p>
      <w:pPr>
        <w:pStyle w:val="LLetteredList"/>
        <w:numPr>
          <w:ilvl w:val="0"/>
          <w:numId w:val="4"/>
        </w:numPr>
        <w:spacing w:lineRule="atLeast" w:line="240"/>
        <w:rPr/>
      </w:pPr>
      <w:r>
        <w:rPr/>
        <w:t>Compute AAD as specified in 12.5.3.3 (BIP AAD construction).</w:t>
      </w:r>
    </w:p>
    <w:p>
      <w:pPr>
        <w:pStyle w:val="LLetteredList"/>
        <w:numPr>
          <w:ilvl w:val="0"/>
          <w:numId w:val="4"/>
        </w:numPr>
        <w:spacing w:lineRule="atLeast" w:line="24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start="92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rPr/>
      </w:pPr>
      <w:r>
        <w:rPr/>
        <w:t>Compose the frame as the IEEE 802.11 header, management frame body, including MME, and FCS. The MME shall appear last in the frame body.</w:t>
      </w:r>
    </w:p>
    <w:p>
      <w:pPr>
        <w:pStyle w:val="LLetteredList"/>
        <w:numPr>
          <w:ilvl w:val="0"/>
          <w:numId w:val="4"/>
        </w:numPr>
        <w:spacing w:lineRule="atLeast" w:line="240"/>
        <w:rPr/>
      </w:pPr>
      <w:r>
        <w:rPr/>
        <w:t>Transmit the frame.</w:t>
      </w:r>
    </w:p>
    <w:p>
      <w:pPr>
        <w:pStyle w:val="TText"/>
        <w:spacing w:lineRule="atLeast" w:line="240"/>
        <w:ind w:hanging="0" w:start="0" w:end="0"/>
        <w:rPr>
          <w:u w:val="single"/>
        </w:rPr>
      </w:pPr>
      <w:r>
        <w:rPr>
          <w:caps w:val="false"/>
          <w:smallCaps w:val="false"/>
          <w:spacing w:val="-2"/>
          <w:w w:val="100"/>
          <w:u w:val="single"/>
        </w:rPr>
        <w:t>When a</w:t>
      </w:r>
      <w:r>
        <w:rPr>
          <w:caps w:val="false"/>
          <w:smallCaps w:val="false"/>
          <w:spacing w:val="-2"/>
          <w:w w:val="100"/>
          <w:u w:val="single"/>
        </w:rPr>
        <w:t>n S1G</w:t>
      </w:r>
      <w:r>
        <w:rPr>
          <w:caps w:val="false"/>
          <w:smallCaps w:val="false"/>
          <w:spacing w:val="-2"/>
          <w:w w:val="100"/>
          <w:u w:val="single"/>
        </w:rPr>
        <w:t xml:space="preserve"> STA transmits a protected </w:t>
      </w:r>
      <w:r>
        <w:rPr>
          <w:caps w:val="false"/>
          <w:smallCaps w:val="false"/>
          <w:spacing w:val="-2"/>
          <w:w w:val="100"/>
          <w:u w:val="single"/>
        </w:rPr>
        <w:t>S1G Beacon frame using BCE</w:t>
      </w:r>
      <w:r>
        <w:rPr>
          <w:caps w:val="false"/>
          <w:smallCaps w:val="false"/>
          <w:spacing w:val="-2"/>
          <w:w w:val="100"/>
          <w:u w:val="single"/>
        </w:rPr>
        <w:t>, it shall:</w:t>
      </w:r>
    </w:p>
    <w:p>
      <w:pPr>
        <w:pStyle w:val="L1LetteredList"/>
        <w:numPr>
          <w:ilvl w:val="0"/>
          <w:numId w:val="8"/>
        </w:numPr>
        <w:spacing w:lineRule="atLeast" w:line="240"/>
        <w:rPr>
          <w:u w:val="single"/>
        </w:rPr>
      </w:pPr>
      <w:r>
        <w:rPr>
          <w:caps w:val="false"/>
          <w:smallCaps w:val="false"/>
          <w:w w:val="100"/>
          <w:u w:val="single"/>
        </w:rPr>
        <w:t xml:space="preserve">Select the BIGTK currently active for transmission of frames to the intended group of </w:t>
      </w:r>
      <w:r>
        <w:rPr>
          <w:caps w:val="false"/>
          <w:smallCaps w:val="false"/>
          <w:w w:val="100"/>
          <w:u w:val="single"/>
        </w:rPr>
        <w:t>receivers.</w:t>
      </w:r>
    </w:p>
    <w:p>
      <w:pPr>
        <w:pStyle w:val="L1LetteredList"/>
        <w:numPr>
          <w:ilvl w:val="0"/>
          <w:numId w:val="4"/>
        </w:numPr>
        <w:spacing w:lineRule="atLeast" w:line="240"/>
        <w:rPr>
          <w:color w:val="auto"/>
          <w:u w:val="single"/>
        </w:rPr>
      </w:pPr>
      <w:r>
        <w:rPr>
          <w:caps w:val="false"/>
          <w:smallCaps w:val="false"/>
          <w:color w:val="auto"/>
          <w:w w:val="100"/>
          <w:u w:val="single"/>
        </w:rPr>
        <w:t xml:space="preserve">Set the </w:t>
      </w:r>
      <w:r>
        <w:rPr>
          <w:caps w:val="false"/>
          <w:smallCaps w:val="false"/>
          <w:color w:val="auto"/>
          <w:w w:val="100"/>
          <w:u w:val="single"/>
        </w:rPr>
        <w:t xml:space="preserve">BIGTK Key ID Index subfield </w:t>
      </w:r>
      <w:r>
        <w:rPr>
          <w:caps w:val="false"/>
          <w:smallCaps w:val="false"/>
          <w:color w:val="auto"/>
          <w:w w:val="100"/>
          <w:u w:val="single"/>
        </w:rPr>
        <w:t>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rPr>
          <w:color w:val="auto"/>
          <w:u w:val="single"/>
        </w:rPr>
      </w:pPr>
      <w:r>
        <w:rPr>
          <w:caps w:val="false"/>
          <w:smallCaps w:val="false"/>
          <w:color w:val="auto"/>
          <w:w w:val="100"/>
          <w:u w:val="single"/>
        </w:rPr>
        <w:t>C</w:t>
      </w:r>
      <w:r>
        <w:rPr>
          <w:caps w:val="false"/>
          <w:smallCaps w:val="false"/>
          <w:color w:val="auto"/>
          <w:w w:val="100"/>
          <w:u w:val="single"/>
        </w:rPr>
        <w:t xml:space="preserve">onstruct the </w:t>
      </w:r>
      <w:r>
        <w:rPr>
          <w:caps w:val="false"/>
          <w:smallCaps w:val="false"/>
          <w:color w:val="auto"/>
          <w:w w:val="100"/>
          <w:u w:val="single"/>
        </w:rPr>
        <w:t>MIC element</w:t>
      </w:r>
      <w:r>
        <w:rPr>
          <w:caps w:val="false"/>
          <w:smallCaps w:val="false"/>
          <w:color w:val="auto"/>
          <w:w w:val="100"/>
          <w:u w:val="single"/>
        </w:rPr>
        <w:t xml:space="preserve"> (see 9.4.2.</w:t>
      </w:r>
      <w:r>
        <w:rPr>
          <w:caps w:val="false"/>
          <w:smallCaps w:val="false"/>
          <w:color w:val="auto"/>
          <w:w w:val="100"/>
          <w:u w:val="single"/>
        </w:rPr>
        <w:t>117</w:t>
      </w:r>
      <w:r>
        <w:rPr>
          <w:caps w:val="false"/>
          <w:smallCaps w:val="false"/>
          <w:color w:val="auto"/>
          <w:w w:val="100"/>
          <w:u w:val="single"/>
        </w:rPr>
        <w:t xml:space="preserve"> (</w:t>
      </w:r>
      <w:r>
        <w:rPr>
          <w:caps w:val="false"/>
          <w:smallCaps w:val="false"/>
          <w:color w:val="auto"/>
          <w:w w:val="100"/>
          <w:u w:val="single"/>
        </w:rPr>
        <w:t>MIC element</w:t>
      </w:r>
      <w:r>
        <w:rPr>
          <w:caps w:val="false"/>
          <w:smallCaps w:val="false"/>
          <w:color w:val="auto"/>
          <w:w w:val="100"/>
          <w:u w:val="single"/>
        </w:rPr>
        <w:t>)) with the MIC field masked out.</w:t>
      </w:r>
    </w:p>
    <w:p>
      <w:pPr>
        <w:pStyle w:val="L1LetteredList"/>
        <w:numPr>
          <w:ilvl w:val="0"/>
          <w:numId w:val="4"/>
        </w:numPr>
        <w:spacing w:lineRule="atLeast" w:line="240"/>
        <w:rPr>
          <w:color w:val="auto"/>
          <w:u w:val="single"/>
        </w:rPr>
      </w:pPr>
      <w:r>
        <w:rPr>
          <w:caps w:val="false"/>
          <w:smallCaps w:val="false"/>
          <w:color w:val="auto"/>
          <w:w w:val="100"/>
          <w:u w:val="single"/>
        </w:rPr>
        <w:t>Derive the BIPN using Equation (12-0</w:t>
      </w:r>
      <w:r>
        <w:rPr>
          <w:caps w:val="false"/>
          <w:smallCaps w:val="false"/>
          <w:color w:val="auto"/>
          <w:w w:val="100"/>
          <w:u w:val="single"/>
        </w:rPr>
        <w:t>c</w:t>
      </w:r>
      <w:r>
        <w:rPr>
          <w:caps w:val="false"/>
          <w:smallCaps w:val="false"/>
          <w:color w:val="auto"/>
          <w:w w:val="100"/>
          <w:u w:val="single"/>
        </w:rPr>
        <w:t xml:space="preserve">)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u w:val="single"/>
          <w:vertAlign w:val="baseline"/>
        </w:rPr>
        <w:t xml:space="preserve">f dot11ShortBeaconInterval is true, </w:t>
      </w:r>
      <w:r>
        <w:rPr>
          <w:caps w:val="false"/>
          <w:smallCaps w:val="false"/>
          <w:color w:val="auto"/>
          <w:w w:val="100"/>
          <w:u w:val="single"/>
        </w:rPr>
        <w:t>or Equation (12-0</w:t>
      </w:r>
      <w:r>
        <w:rPr>
          <w:caps w:val="false"/>
          <w:smallCaps w:val="false"/>
          <w:color w:val="auto"/>
          <w:w w:val="100"/>
          <w:u w:val="single"/>
        </w:rPr>
        <w:t>d</w:t>
      </w:r>
      <w:r>
        <w:rPr>
          <w:caps w:val="false"/>
          <w:smallCaps w:val="false"/>
          <w:color w:val="auto"/>
          <w:w w:val="100"/>
          <w:u w:val="single"/>
        </w:rPr>
        <w:t>) 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color w:val="auto"/>
          <w:w w:val="100"/>
          <w:u w:val="single"/>
        </w:rPr>
        <w:t>.</w:t>
      </w:r>
      <w:r>
        <w:rPr>
          <w:caps w:val="false"/>
          <w:smallCaps w:val="false"/>
          <w:color w:val="auto"/>
          <w:w w:val="100"/>
          <w:u w:val="single"/>
        </w:rPr>
        <w:t xml:space="preserve"> For BIP-GMAC-128 and BIP-GMAC-256, the initialization vector passed to GMAC shall be</w:t>
      </w:r>
      <w:r>
        <w:rPr>
          <w:caps w:val="false"/>
          <w:smallCaps w:val="false"/>
          <w:strike w:val="false"/>
          <w:dstrike w:val="false"/>
          <w:color w:val="auto"/>
          <w:w w:val="100"/>
          <w:u w:val="single"/>
        </w:rPr>
        <w:t xml:space="preserve"> </w:t>
      </w:r>
      <w:r>
        <w:rPr>
          <w:caps w:val="false"/>
          <w:smallCaps w:val="false"/>
          <w:strike w:val="false"/>
          <w:dstrike w:val="false"/>
          <w:color w:val="auto"/>
          <w:w w:val="100"/>
          <w:u w:val="single"/>
        </w:rPr>
        <w:t xml:space="preserve">a concatenation of the SA field from the MAC header of the MPDU and the </w:t>
      </w:r>
      <w:r>
        <w:rPr>
          <w:caps w:val="false"/>
          <w:smallCaps w:val="false"/>
          <w:strike w:val="false"/>
          <w:dstrike w:val="false"/>
          <w:color w:val="auto"/>
          <w:w w:val="100"/>
          <w:u w:val="single"/>
        </w:rPr>
        <w:t>BIPN</w:t>
      </w:r>
      <w:r>
        <w:rPr>
          <w:caps w:val="false"/>
          <w:smallCaps w:val="false"/>
          <w:strike w:val="false"/>
          <w:dstrike w:val="false"/>
          <w:color w:val="auto"/>
          <w:w w:val="100"/>
          <w:u w:val="single"/>
        </w:rPr>
        <w:t>.</w:t>
      </w:r>
    </w:p>
    <w:p>
      <w:pPr>
        <w:pStyle w:val="LLetteredList"/>
        <w:numPr>
          <w:ilvl w:val="0"/>
          <w:numId w:val="4"/>
        </w:numPr>
        <w:spacing w:lineRule="atLeast" w:line="240"/>
        <w:rPr>
          <w:color w:val="auto"/>
          <w:u w:val="single"/>
        </w:rPr>
      </w:pPr>
      <w:r>
        <w:rPr>
          <w:color w:val="auto"/>
          <w:u w:val="single"/>
        </w:rPr>
        <w:t>Compute AAD as specified in 12.5.3.3 (BIP AAD construction).</w:t>
      </w:r>
    </w:p>
    <w:p>
      <w:pPr>
        <w:pStyle w:val="LLetteredList"/>
        <w:numPr>
          <w:ilvl w:val="0"/>
          <w:numId w:val="4"/>
        </w:numPr>
        <w:spacing w:lineRule="atLeast" w:line="240"/>
        <w:rPr>
          <w:u w:val="single"/>
        </w:rPr>
      </w:pPr>
      <w:r>
        <w:rPr>
          <w:u w:val="single"/>
        </w:rPr>
        <w:t xml:space="preserve">Compute an integrity value over the concatenation of AAD and the management frame body including </w:t>
      </w:r>
      <w:r>
        <w:rPr>
          <w:u w:val="single"/>
        </w:rPr>
        <w:t xml:space="preserve">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rPr>
          <w:u w:val="single"/>
        </w:rPr>
      </w:pPr>
      <w:r>
        <w:rPr>
          <w:strike w:val="false"/>
          <w:dstrike w:val="false"/>
          <w:u w:val="single"/>
        </w:rPr>
        <w:t>Insert</w:t>
      </w:r>
      <w:r>
        <w:rPr>
          <w:u w:val="single"/>
        </w:rPr>
        <w:t xml:space="preserve"> the output into the MIC </w:t>
      </w:r>
      <w:r>
        <w:rPr>
          <w:u w:val="single"/>
        </w:rPr>
        <w:t>field of the MIC element</w:t>
      </w:r>
      <w:r>
        <w:rPr>
          <w:u w:val="single"/>
        </w:rPr>
        <w: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rPr>
          <w:u w:val="single"/>
        </w:rPr>
      </w:pPr>
      <w:r>
        <w:rPr>
          <w:u w:val="single"/>
        </w:rPr>
        <w:t xml:space="preserve">Compose the frame as the IEEE 802.11 header, management frame body, including </w:t>
      </w:r>
      <w:r>
        <w:rPr>
          <w:u w:val="single"/>
        </w:rPr>
        <w:t>MIC element</w:t>
      </w:r>
      <w:r>
        <w:rPr>
          <w:u w:val="single"/>
        </w:rPr>
        <w:t xml:space="preserve">, and FCS. The </w:t>
      </w:r>
      <w:r>
        <w:rPr>
          <w:u w:val="single"/>
        </w:rPr>
        <w:t>MIC element</w:t>
      </w:r>
      <w:r>
        <w:rPr>
          <w:u w:val="single"/>
        </w:rPr>
        <w:t xml:space="preserve"> shall appear last in the frame body.</w:t>
      </w:r>
    </w:p>
    <w:p>
      <w:pPr>
        <w:pStyle w:val="LLetteredList"/>
        <w:numPr>
          <w:ilvl w:val="0"/>
          <w:numId w:val="4"/>
        </w:numPr>
        <w:spacing w:lineRule="atLeast" w:line="24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start="0" w:end="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 xml:space="preserve">using the previous BIGTK. Once a STA transmits a protected group addressed robust Management frame using a new IGTK, the STA </w:t>
      </w:r>
      <w:r>
        <w:rPr>
          <w:caps w:val="false"/>
          <w:smallCaps w:val="false"/>
          <w:spacing w:val="-2"/>
          <w:w w:val="100"/>
        </w:rPr>
        <w:t>shall</w:t>
      </w:r>
      <w:r>
        <w:rPr>
          <w:caps w:val="false"/>
          <w:smallCaps w:val="false"/>
          <w:spacing w:val="-2"/>
          <w:w w:val="100"/>
        </w:rPr>
        <w:t xml:space="preserve"> not transmit protected group addressed robust Management frames using the previously used IGTK.</w:t>
      </w:r>
    </w:p>
    <w:p>
      <w:pPr>
        <w:pStyle w:val="TText"/>
        <w:spacing w:lineRule="atLeast" w:line="240"/>
        <w:ind w:hanging="0" w:start="0" w:end="0"/>
        <w:rPr>
          <w:caps w:val="false"/>
          <w:smallCaps w:val="false"/>
          <w:spacing w:val="-2"/>
          <w:w w:val="100"/>
        </w:rPr>
      </w:pPr>
      <w:r>
        <w:rPr/>
      </w:r>
    </w:p>
    <w:p>
      <w:pPr>
        <w:pStyle w:val="H41111"/>
        <w:rPr>
          <w:sz w:val="28"/>
          <w:szCs w:val="28"/>
        </w:rPr>
      </w:pPr>
      <w:r>
        <w:rPr>
          <w:sz w:val="28"/>
          <w:szCs w:val="28"/>
        </w:rPr>
        <w:t>12.5.3.6 BIP reception</w:t>
      </w:r>
    </w:p>
    <w:p>
      <w:pPr>
        <w:pStyle w:val="Normal"/>
        <w:rPr>
          <w:b/>
          <w:bCs/>
          <w:i/>
          <w:i/>
          <w:iCs/>
        </w:rPr>
      </w:pPr>
      <w:r>
        <w:rPr>
          <w:b/>
          <w:bCs/>
          <w:i/>
          <w:iCs/>
        </w:rPr>
        <w:t xml:space="preserve">Change the </w:t>
      </w:r>
      <w:r>
        <w:rPr>
          <w:b/>
          <w:bCs/>
          <w:i/>
          <w:iCs/>
        </w:rPr>
        <w:t>text</w:t>
      </w:r>
      <w:r>
        <w:rPr>
          <w:b/>
          <w:bCs/>
          <w:i/>
          <w:iCs/>
        </w:rPr>
        <w:t xml:space="preserve"> as shown:</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w:t>
      </w:r>
      <w:r>
        <w:rPr>
          <w:caps w:val="false"/>
          <w:smallCaps w:val="false"/>
          <w:strike w:val="false"/>
          <w:dstrike w:val="false"/>
          <w:spacing w:val="-2"/>
          <w:w w:val="100"/>
          <w:u w:val="single"/>
        </w:rPr>
        <w:t xml:space="preserve">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 xml:space="preserve">or a protected S1G Beacon frame </w:t>
      </w:r>
      <w:r>
        <w:rPr>
          <w:caps w:val="false"/>
          <w:smallCaps w:val="false"/>
          <w:spacing w:val="-2"/>
          <w:w w:val="100"/>
          <w:u w:val="single"/>
        </w:rPr>
        <w:t xml:space="preserve">that is not </w:t>
      </w:r>
      <w:r>
        <w:rPr>
          <w:caps w:val="false"/>
          <w:smallCaps w:val="false"/>
          <w:spacing w:val="-2"/>
          <w:w w:val="100"/>
          <w:u w:val="single"/>
        </w:rPr>
        <w:t>using</w:t>
      </w:r>
      <w:r>
        <w:rPr>
          <w:caps w:val="false"/>
          <w:smallCaps w:val="false"/>
          <w:spacing w:val="-2"/>
          <w:w w:val="100"/>
          <w:u w:val="single"/>
        </w:rPr>
        <w:t xml:space="preserve">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w:t>
      </w:r>
      <w:r>
        <w:rPr>
          <w:caps w:val="false"/>
          <w:smallCaps w:val="false"/>
          <w:w w:val="100"/>
          <w:u w:val="single"/>
        </w:rPr>
        <w:t xml:space="preserve">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rPr>
          <w:caps w:val="false"/>
          <w:smallCaps w:val="false"/>
          <w:w w:val="100"/>
        </w:rPr>
      </w:pPr>
      <w:r>
        <w:rPr>
          <w:caps w:val="false"/>
          <w:smallCaps w:val="false"/>
          <w:w w:val="100"/>
        </w:rPr>
        <w:t>If the frame is a robust Management frame but not a GQMF, the receiver shall compare this MME IPN/</w:t>
      </w:r>
      <w:r>
        <w:rPr>
          <w:caps w:val="false"/>
          <w:smallCaps w:val="false"/>
          <w:w w:val="100"/>
        </w:rPr>
        <w:t>BIPN</w:t>
      </w:r>
      <w:r>
        <w:rPr>
          <w:caps w:val="false"/>
          <w:smallCaps w:val="false"/>
          <w:w w:val="100"/>
        </w:rPr>
        <w:t xml:space="preserve">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start="0" w:end="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rPr>
          <w:caps w:val="false"/>
          <w:smallCaps w:val="false"/>
          <w:w w:val="100"/>
        </w:rPr>
      </w:pPr>
      <w:r>
        <w:rPr>
          <w:caps w:val="false"/>
          <w:smallCaps w:val="false"/>
          <w:w w:val="100"/>
        </w:rPr>
        <w:t>If the frame is a robust Management frame and also a GQMF, the receiver shall compare this MME IPN/</w:t>
      </w:r>
      <w:r>
        <w:rPr>
          <w:caps w:val="false"/>
          <w:smallCaps w:val="false"/>
          <w:w w:val="100"/>
        </w:rPr>
        <w:t>BIPN</w:t>
      </w:r>
      <w:r>
        <w:rPr>
          <w:caps w:val="false"/>
          <w:smallCaps w:val="false"/>
          <w:w w:val="100"/>
        </w:rPr>
        <w:t xml:space="preserve">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rPr>
          <w:caps w:val="false"/>
          <w:smallCaps w:val="false"/>
          <w:w w:val="100"/>
        </w:rPr>
      </w:pPr>
      <w:r>
        <w:rPr>
          <w:caps w:val="false"/>
          <w:smallCaps w:val="false"/>
          <w:w w:val="100"/>
        </w:rPr>
        <w:t>If the frame is a protected Beacon frame</w:t>
      </w:r>
      <w:r>
        <w:rPr>
          <w:caps w:val="false"/>
          <w:smallCaps w:val="false"/>
          <w:w w:val="100"/>
          <w:u w:val="single"/>
        </w:rPr>
        <w:t xml:space="preserve"> </w:t>
      </w:r>
      <w:r>
        <w:rPr>
          <w:caps w:val="false"/>
          <w:smallCaps w:val="false"/>
          <w:w w:val="100"/>
          <w:u w:val="single"/>
        </w:rPr>
        <w:t>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start="92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rPr>
          <w:caps w:val="false"/>
          <w:smallCaps w:val="false"/>
          <w:w w:val="100"/>
        </w:rPr>
      </w:pPr>
      <w:r>
        <w:rPr>
          <w:caps w:val="false"/>
          <w:smallCaps w:val="false"/>
          <w:w w:val="100"/>
        </w:rPr>
        <w:t>If the frame is a protected Beacon frame</w:t>
      </w:r>
      <w:r>
        <w:rPr>
          <w:caps w:val="false"/>
          <w:smallCaps w:val="false"/>
          <w:w w:val="100"/>
          <w:u w:val="single"/>
        </w:rPr>
        <w:t xml:space="preserve"> </w:t>
      </w:r>
      <w:r>
        <w:rPr>
          <w:caps w:val="false"/>
          <w:smallCaps w:val="false"/>
          <w:w w:val="100"/>
          <w:u w:val="single"/>
        </w:rPr>
        <w:t>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start="0" w:end="0"/>
        <w:rPr>
          <w:u w:val="single"/>
        </w:rPr>
      </w:pPr>
      <w:r>
        <w:rPr>
          <w:caps w:val="false"/>
          <w:smallCaps w:val="false"/>
          <w:spacing w:val="-2"/>
          <w:w w:val="100"/>
          <w:u w:val="single"/>
        </w:rPr>
        <w:t>When a</w:t>
      </w:r>
      <w:r>
        <w:rPr>
          <w:caps w:val="false"/>
          <w:smallCaps w:val="false"/>
          <w:spacing w:val="-2"/>
          <w:w w:val="100"/>
          <w:u w:val="single"/>
        </w:rPr>
        <w:t>n S1G</w:t>
      </w:r>
      <w:r>
        <w:rPr>
          <w:caps w:val="false"/>
          <w:smallCaps w:val="false"/>
          <w:spacing w:val="-2"/>
          <w:w w:val="100"/>
          <w:u w:val="single"/>
        </w:rPr>
        <w:t xml:space="preserve"> </w:t>
      </w:r>
      <w:r>
        <w:rPr>
          <w:caps w:val="false"/>
          <w:smallCaps w:val="false"/>
          <w:spacing w:val="-2"/>
          <w:w w:val="100"/>
          <w:u w:val="single"/>
        </w:rPr>
        <w:t xml:space="preserve">STA with management frame protection negotiated receives </w:t>
      </w:r>
      <w:r>
        <w:rPr>
          <w:caps w:val="false"/>
          <w:smallCaps w:val="false"/>
          <w:spacing w:val="-2"/>
          <w:w w:val="100"/>
          <w:u w:val="single"/>
        </w:rPr>
        <w:t xml:space="preserve">a protected S1G Beacon frame </w:t>
      </w:r>
      <w:r>
        <w:rPr>
          <w:caps w:val="false"/>
          <w:smallCaps w:val="false"/>
          <w:spacing w:val="-2"/>
          <w:w w:val="100"/>
          <w:u w:val="single"/>
        </w:rPr>
        <w:t xml:space="preserve">that is </w:t>
      </w:r>
      <w:r>
        <w:rPr>
          <w:caps w:val="false"/>
          <w:smallCaps w:val="false"/>
          <w:spacing w:val="-2"/>
          <w:w w:val="100"/>
          <w:u w:val="single"/>
        </w:rPr>
        <w:t>using</w:t>
      </w:r>
      <w:r>
        <w:rPr>
          <w:caps w:val="false"/>
          <w:smallCaps w:val="false"/>
          <w:spacing w:val="-2"/>
          <w:w w:val="100"/>
          <w:u w:val="single"/>
        </w:rPr>
        <w:t xml:space="preserve"> BCE</w:t>
      </w:r>
      <w:r>
        <w:rPr>
          <w:caps w:val="false"/>
          <w:smallCaps w:val="false"/>
          <w:spacing w:val="-2"/>
          <w:w w:val="100"/>
          <w:u w:val="single"/>
        </w:rPr>
        <w:t>, it shall</w:t>
      </w:r>
    </w:p>
    <w:p>
      <w:pPr>
        <w:pStyle w:val="LLetteredList"/>
        <w:numPr>
          <w:ilvl w:val="0"/>
          <w:numId w:val="9"/>
        </w:numPr>
        <w:suppressAutoHyphens w:val="false"/>
        <w:spacing w:lineRule="atLeast" w:line="240" w:before="40" w:after="4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 xml:space="preserve">the </w:t>
      </w:r>
      <w:r>
        <w:rPr>
          <w:caps w:val="false"/>
          <w:smallCaps w:val="false"/>
          <w:color w:val="auto"/>
          <w:w w:val="100"/>
          <w:u w:val="single"/>
        </w:rPr>
        <w:t xml:space="preserve">BIGTK Key ID Index subfield </w:t>
      </w:r>
      <w:r>
        <w:rPr>
          <w:caps w:val="false"/>
          <w:smallCaps w:val="false"/>
          <w:color w:val="auto"/>
          <w:w w:val="100"/>
          <w:u w:val="single"/>
        </w:rPr>
        <w:t xml:space="preserve">in the S1G Beacon Compatibility element, if present (see 9.4.2.195 (S1G Beacon Compatibility element)). If the S1G Beacon Compatibility element is not present, the BIGTK used to </w:t>
      </w:r>
      <w:r>
        <w:rPr>
          <w:caps w:val="false"/>
          <w:smallCaps w:val="false"/>
          <w:color w:val="auto"/>
          <w:w w:val="100"/>
          <w:u w:val="single"/>
        </w:rPr>
        <w:t>check</w:t>
      </w:r>
      <w:r>
        <w:rPr>
          <w:caps w:val="false"/>
          <w:smallCaps w:val="false"/>
          <w:color w:val="auto"/>
          <w:w w:val="100"/>
          <w:u w:val="single"/>
        </w:rPr>
        <w:t xml:space="preserve"> the frame shall be the same BIGTK used in the most recently </w:t>
      </w:r>
      <w:r>
        <w:rPr>
          <w:caps w:val="false"/>
          <w:smallCaps w:val="false"/>
          <w:color w:val="auto"/>
          <w:w w:val="100"/>
          <w:u w:val="single"/>
        </w:rPr>
        <w:t>received</w:t>
      </w:r>
      <w:r>
        <w:rPr>
          <w:caps w:val="false"/>
          <w:smallCaps w:val="false"/>
          <w:color w:val="auto"/>
          <w:w w:val="100"/>
          <w:u w:val="single"/>
        </w:rPr>
        <w:t xml:space="preserve"> protected S1G Beacon frame that contained an S1G Beacon Compatibility element. </w:t>
      </w:r>
      <w:r>
        <w:rPr>
          <w:caps w:val="false"/>
          <w:smallCaps w:val="false"/>
          <w:color w:val="auto"/>
          <w:w w:val="100"/>
          <w:u w:val="single"/>
        </w:rPr>
        <w:t>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rPr>
          <w:u w:val="single"/>
        </w:rPr>
      </w:pPr>
      <w:r>
        <w:rPr>
          <w:caps w:val="false"/>
          <w:smallCaps w:val="false"/>
          <w:color w:val="auto"/>
          <w:w w:val="100"/>
          <w:u w:val="single"/>
        </w:rPr>
        <w:t>Derive the BIPN using Equation (12-0</w:t>
      </w:r>
      <w:r>
        <w:rPr>
          <w:caps w:val="false"/>
          <w:smallCaps w:val="false"/>
          <w:color w:val="auto"/>
          <w:w w:val="100"/>
          <w:u w:val="single"/>
        </w:rPr>
        <w:t>c</w:t>
      </w:r>
      <w:r>
        <w:rPr>
          <w:caps w:val="false"/>
          <w:smallCaps w:val="false"/>
          <w:color w:val="auto"/>
          <w:w w:val="100"/>
          <w:u w:val="single"/>
        </w:rPr>
        <w:t xml:space="preserve">)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u w:val="single"/>
          <w:vertAlign w:val="baseline"/>
        </w:rPr>
        <w:t xml:space="preserve">f dot11ShortBeaconInterval is true, </w:t>
      </w:r>
      <w:r>
        <w:rPr>
          <w:caps w:val="false"/>
          <w:smallCaps w:val="false"/>
          <w:color w:val="auto"/>
          <w:w w:val="100"/>
          <w:u w:val="single"/>
        </w:rPr>
        <w:t>or Equation (12-0</w:t>
      </w:r>
      <w:r>
        <w:rPr>
          <w:caps w:val="false"/>
          <w:smallCaps w:val="false"/>
          <w:color w:val="auto"/>
          <w:w w:val="100"/>
          <w:u w:val="single"/>
        </w:rPr>
        <w:t>d</w:t>
      </w:r>
      <w:r>
        <w:rPr>
          <w:caps w:val="false"/>
          <w:smallCaps w:val="false"/>
          <w:color w:val="auto"/>
          <w:w w:val="100"/>
          <w:u w:val="single"/>
        </w:rPr>
        <w:t>) 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color w:val="auto"/>
          <w:w w:val="100"/>
          <w:u w:val="single"/>
        </w:rPr>
        <w:t xml:space="preserve">. </w:t>
      </w:r>
      <w:r>
        <w:rPr>
          <w:caps w:val="false"/>
          <w:smallCaps w:val="false"/>
          <w:color w:val="auto"/>
          <w:w w:val="100"/>
          <w:u w:val="single"/>
        </w:rPr>
        <w:t>For BIP-GMAC-128 and BIP-GMAC-256, the initialization vector passed to GMAC shall be</w:t>
      </w:r>
      <w:r>
        <w:rPr>
          <w:caps w:val="false"/>
          <w:smallCaps w:val="false"/>
          <w:strike w:val="false"/>
          <w:dstrike w:val="false"/>
          <w:color w:val="auto"/>
          <w:w w:val="100"/>
          <w:u w:val="single"/>
        </w:rPr>
        <w:t xml:space="preserve"> </w:t>
      </w:r>
      <w:r>
        <w:rPr>
          <w:caps w:val="false"/>
          <w:smallCaps w:val="false"/>
          <w:strike w:val="false"/>
          <w:dstrike w:val="false"/>
          <w:color w:val="auto"/>
          <w:w w:val="100"/>
          <w:u w:val="single"/>
        </w:rPr>
        <w:t xml:space="preserve">a concatenation of the SA field from the MAC header of the MPDU and the </w:t>
      </w:r>
      <w:r>
        <w:rPr>
          <w:caps w:val="false"/>
          <w:smallCaps w:val="false"/>
          <w:strike w:val="false"/>
          <w:dstrike w:val="false"/>
          <w:color w:val="auto"/>
          <w:w w:val="100"/>
          <w:u w:val="single"/>
        </w:rPr>
        <w:t>BIPN</w:t>
      </w:r>
      <w:r>
        <w:rPr>
          <w:caps w:val="false"/>
          <w:smallCaps w:val="false"/>
          <w:strike w:val="false"/>
          <w:dstrike w:val="false"/>
          <w:color w:val="auto"/>
          <w:w w:val="100"/>
          <w:u w:val="single"/>
        </w:rPr>
        <w:t>.</w:t>
      </w:r>
    </w:p>
    <w:p>
      <w:pPr>
        <w:pStyle w:val="LLetteredList"/>
        <w:numPr>
          <w:ilvl w:val="0"/>
          <w:numId w:val="5"/>
        </w:numPr>
        <w:spacing w:lineRule="atLeast" w:line="240"/>
        <w:rPr>
          <w:u w:val="single"/>
        </w:rPr>
      </w:pPr>
      <w:r>
        <w:rPr>
          <w:caps w:val="false"/>
          <w:smallCaps w:val="false"/>
          <w:strike w:val="false"/>
          <w:dstrike w:val="false"/>
          <w:color w:val="auto"/>
          <w:w w:val="100"/>
          <w:u w:val="single"/>
        </w:rPr>
        <w:t>P</w:t>
      </w:r>
      <w:r>
        <w:rPr>
          <w:caps w:val="false"/>
          <w:smallCaps w:val="false"/>
          <w:strike w:val="false"/>
          <w:dstrike w:val="false"/>
          <w:color w:val="auto"/>
          <w:w w:val="100"/>
          <w:u w:val="single"/>
        </w:rPr>
        <w:t xml:space="preserve">erform replay protection on the received frame. The receiver shall compare </w:t>
      </w:r>
      <w:r>
        <w:rPr>
          <w:caps w:val="false"/>
          <w:smallCaps w:val="false"/>
          <w:strike w:val="false"/>
          <w:dstrike w:val="false"/>
          <w:color w:val="auto"/>
          <w:w w:val="100"/>
          <w:u w:val="single"/>
        </w:rPr>
        <w:t>the derived</w:t>
      </w:r>
      <w:r>
        <w:rPr>
          <w:caps w:val="false"/>
          <w:smallCaps w:val="false"/>
          <w:strike w:val="false"/>
          <w:dstrike w:val="false"/>
          <w:color w:val="auto"/>
          <w:w w:val="100"/>
          <w:u w:val="single"/>
        </w:rPr>
        <w:t xml:space="preserve">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start="920"/>
        <w:rPr>
          <w:u w:val="single"/>
        </w:rPr>
      </w:pPr>
      <w:r>
        <w:rPr>
          <w:caps w:val="false"/>
          <w:smallCaps w:val="false"/>
          <w:strike w:val="false"/>
          <w:dstrike w:val="false"/>
          <w:color w:val="auto"/>
          <w:w w:val="100"/>
          <w:u w:val="single"/>
        </w:rPr>
        <w:t xml:space="preserve">NOTE 2: </w:t>
      </w:r>
      <w:r>
        <w:rPr>
          <w:caps w:val="false"/>
          <w:smallCaps w:val="false"/>
          <w:strike w:val="false"/>
          <w:dstrike w:val="false"/>
          <w:color w:val="auto"/>
          <w:w w:val="100"/>
          <w:u w:val="single"/>
        </w:rPr>
        <w:t xml:space="preserve">A STA should synchronize to the TSF prior to processing the first </w:t>
      </w:r>
      <w:r>
        <w:rPr>
          <w:caps w:val="false"/>
          <w:smallCaps w:val="false"/>
          <w:strike w:val="false"/>
          <w:dstrike w:val="false"/>
          <w:color w:val="auto"/>
          <w:w w:val="100"/>
          <w:u w:val="single"/>
        </w:rPr>
        <w:t>protected S1G Beacon frame</w:t>
      </w:r>
      <w:r>
        <w:rPr>
          <w:caps w:val="false"/>
          <w:smallCaps w:val="false"/>
          <w:strike w:val="false"/>
          <w:dstrike w:val="false"/>
          <w:color w:val="auto"/>
          <w:w w:val="100"/>
          <w:u w:val="single"/>
        </w:rPr>
        <w:t xml:space="preserve"> </w:t>
      </w:r>
      <w:r>
        <w:rPr>
          <w:caps w:val="false"/>
          <w:smallCaps w:val="false"/>
          <w:strike w:val="false"/>
          <w:dstrike w:val="false"/>
          <w:color w:val="auto"/>
          <w:w w:val="100"/>
          <w:u w:val="single"/>
        </w:rPr>
        <w:t>using BCE</w:t>
      </w:r>
      <w:r>
        <w:rPr>
          <w:caps w:val="false"/>
          <w:smallCaps w:val="false"/>
          <w:strike w:val="false"/>
          <w:dstrike w:val="false"/>
          <w:color w:val="auto"/>
          <w:w w:val="100"/>
          <w:u w:val="single"/>
        </w:rPr>
        <w:t>.</w:t>
      </w:r>
    </w:p>
    <w:p>
      <w:pPr>
        <w:pStyle w:val="LLetteredList"/>
        <w:numPr>
          <w:ilvl w:val="0"/>
          <w:numId w:val="5"/>
        </w:numPr>
        <w:suppressAutoHyphens w:val="false"/>
        <w:spacing w:lineRule="atLeast" w:line="240" w:before="40" w:after="4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w:t>
      </w:r>
      <w:r>
        <w:rPr>
          <w:caps w:val="false"/>
          <w:smallCaps w:val="false"/>
          <w:strike w:val="false"/>
          <w:dstrike w:val="false"/>
          <w:w w:val="100"/>
          <w:u w:val="single"/>
        </w:rPr>
        <w:t xml:space="preserve">the TSF Completion field of the S1G Beacon Compatibility element masked out if the element is present, </w:t>
      </w:r>
      <w:r>
        <w:rPr>
          <w:caps w:val="false"/>
          <w:smallCaps w:val="false"/>
          <w:w w:val="100"/>
          <w:u w:val="single"/>
        </w:rPr>
        <w:t xml:space="preserve">and </w:t>
      </w:r>
      <w:r>
        <w:rPr>
          <w:caps w:val="false"/>
          <w:smallCaps w:val="false"/>
          <w:w w:val="100"/>
          <w:u w:val="single"/>
        </w:rPr>
        <w:t>MIC element</w:t>
      </w:r>
      <w:r>
        <w:rPr>
          <w:caps w:val="false"/>
          <w:smallCaps w:val="false"/>
          <w:w w:val="100"/>
          <w:u w:val="single"/>
        </w:rPr>
        <w:t xml:space="preserve">, with the MIC field masked out in the </w:t>
      </w:r>
      <w:r>
        <w:rPr>
          <w:caps w:val="false"/>
          <w:smallCaps w:val="false"/>
          <w:w w:val="100"/>
          <w:u w:val="single"/>
        </w:rPr>
        <w:t>MIC element</w:t>
      </w:r>
      <w:r>
        <w:rPr>
          <w:caps w:val="false"/>
          <w:smallCaps w:val="false"/>
          <w:w w:val="100"/>
          <w:u w:val="single"/>
        </w:rPr>
        <w: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star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w:t>
      </w:r>
      <w:r>
        <w:rPr>
          <w:u w:val="single"/>
        </w:rPr>
        <w:t>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 xml:space="preserve">Change the BIGTK KDE </w:t>
      </w:r>
      <w:r>
        <w:rPr>
          <w:b/>
          <w:bCs/>
          <w:i/>
          <w:iCs/>
        </w:rPr>
        <w:t xml:space="preserve">description </w:t>
      </w:r>
      <w:r>
        <w:rPr>
          <w:b/>
          <w:bCs/>
          <w:i/>
          <w:iCs/>
        </w:rPr>
        <w:t>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start w:w="120" w:type="dxa"/>
          <w:bottom w:w="80" w:type="dxa"/>
          <w:end w:w="120" w:type="dxa"/>
        </w:tblCellMar>
      </w:tblPr>
      <w:tblGrid>
        <w:gridCol w:w="1745"/>
        <w:gridCol w:w="2155"/>
        <w:gridCol w:w="2427"/>
        <w:gridCol w:w="1623"/>
        <w:gridCol w:w="1636"/>
      </w:tblGrid>
      <w:tr>
        <w:trPr/>
        <w:tc>
          <w:tcPr>
            <w:tcW w:w="1745" w:type="dxa"/>
            <w:tcBorders>
              <w:top w:val="single" w:sz="2" w:space="0" w:color="000000"/>
              <w:start w:val="single" w:sz="10" w:space="0" w:color="000000"/>
              <w:end w:val="single" w:sz="2" w:space="0" w:color="000000"/>
            </w:tcBorders>
          </w:tcPr>
          <w:p>
            <w:pPr>
              <w:pStyle w:val="TableText"/>
              <w:rPr>
                <w:w w:val="100"/>
              </w:rPr>
            </w:pPr>
            <w:r>
              <w:rPr>
                <w:w w:val="100"/>
              </w:rPr>
              <w:t xml:space="preserve">*PC34.1.10 </w:t>
            </w:r>
          </w:p>
        </w:tc>
        <w:tc>
          <w:tcPr>
            <w:tcW w:w="2155" w:type="dxa"/>
            <w:tcBorders>
              <w:top w:val="single" w:sz="2" w:space="0" w:color="000000"/>
              <w:start w:val="single" w:sz="2" w:space="0" w:color="000000"/>
              <w:end w:val="single" w:sz="2" w:space="0" w:color="000000"/>
            </w:tcBorders>
          </w:tcPr>
          <w:p>
            <w:pPr>
              <w:pStyle w:val="TableText"/>
              <w:ind w:hanging="100" w:start="100"/>
              <w:rPr>
                <w:w w:val="100"/>
              </w:rPr>
            </w:pPr>
            <w:r>
              <w:rPr>
                <w:w w:val="100"/>
              </w:rPr>
              <w:t>Management frame protection</w:t>
            </w:r>
          </w:p>
        </w:tc>
        <w:tc>
          <w:tcPr>
            <w:tcW w:w="2427" w:type="dxa"/>
            <w:tcBorders>
              <w:top w:val="single" w:sz="2" w:space="0" w:color="000000"/>
              <w:start w:val="single" w:sz="2" w:space="0" w:color="000000"/>
              <w:end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start w:val="single" w:sz="2" w:space="0" w:color="000000"/>
              <w:end w:val="single" w:sz="2" w:space="0" w:color="000000"/>
            </w:tcBorders>
          </w:tcPr>
          <w:p>
            <w:pPr>
              <w:pStyle w:val="TableText"/>
              <w:rPr>
                <w:w w:val="100"/>
              </w:rPr>
            </w:pPr>
            <w:r>
              <w:rPr>
                <w:w w:val="100"/>
              </w:rPr>
              <w:t>PC34:O</w:t>
            </w:r>
          </w:p>
        </w:tc>
        <w:tc>
          <w:tcPr>
            <w:tcW w:w="1636" w:type="dxa"/>
            <w:tcBorders>
              <w:top w:val="single" w:sz="2"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5" w:type="dxa"/>
            <w:tcBorders>
              <w:start w:val="single" w:sz="10" w:space="0" w:color="000000"/>
              <w:bottom w:val="single" w:sz="2" w:space="0" w:color="000000"/>
              <w:end w:val="single" w:sz="2" w:space="0" w:color="000000"/>
            </w:tcBorders>
          </w:tcPr>
          <w:p>
            <w:pPr>
              <w:pStyle w:val="TableText"/>
              <w:rPr>
                <w:w w:val="100"/>
              </w:rPr>
            </w:pPr>
            <w:r>
              <w:rPr>
                <w:w w:val="100"/>
              </w:rPr>
              <w:t xml:space="preserve">*PC34.1.10.1 </w:t>
            </w:r>
          </w:p>
        </w:tc>
        <w:tc>
          <w:tcPr>
            <w:tcW w:w="2155" w:type="dxa"/>
            <w:tcBorders>
              <w:start w:val="single" w:sz="2" w:space="0" w:color="000000"/>
              <w:bottom w:val="single" w:sz="2" w:space="0" w:color="000000"/>
              <w:end w:val="single" w:sz="2" w:space="0" w:color="000000"/>
            </w:tcBorders>
          </w:tcPr>
          <w:p>
            <w:pPr>
              <w:pStyle w:val="TableText"/>
              <w:ind w:hanging="100" w:start="100"/>
              <w:rPr>
                <w:w w:val="100"/>
              </w:rPr>
            </w:pPr>
            <w:r>
              <w:rPr>
                <w:w w:val="100"/>
              </w:rPr>
              <w:t>BIP</w:t>
            </w:r>
          </w:p>
        </w:tc>
        <w:tc>
          <w:tcPr>
            <w:tcW w:w="2427" w:type="dxa"/>
            <w:tcBorders>
              <w:start w:val="single" w:sz="2" w:space="0" w:color="000000"/>
              <w:bottom w:val="single" w:sz="2" w:space="0" w:color="000000"/>
              <w:end w:val="single" w:sz="2" w:space="0" w:color="000000"/>
            </w:tcBorders>
          </w:tcPr>
          <w:p>
            <w:pPr>
              <w:pStyle w:val="TableText"/>
              <w:rPr>
                <w:w w:val="100"/>
              </w:rPr>
            </w:pPr>
            <w:r>
              <w:rPr>
                <w:w w:val="100"/>
              </w:rPr>
              <w:t>Clause 11 (MLME), 12.5.3 (Broadcast/multicast integrity protocol (BIP))</w:t>
            </w:r>
          </w:p>
        </w:tc>
        <w:tc>
          <w:tcPr>
            <w:tcW w:w="1623" w:type="dxa"/>
            <w:tcBorders>
              <w:start w:val="single" w:sz="2" w:space="0" w:color="000000"/>
              <w:bottom w:val="single" w:sz="2" w:space="0" w:color="000000"/>
              <w:end w:val="single" w:sz="2" w:space="0" w:color="000000"/>
            </w:tcBorders>
          </w:tcPr>
          <w:p>
            <w:pPr>
              <w:pStyle w:val="TableText"/>
              <w:rPr>
                <w:w w:val="100"/>
              </w:rPr>
            </w:pPr>
            <w:r>
              <w:rPr>
                <w:w w:val="100"/>
              </w:rPr>
              <w:t>PC34.1.10:M</w:t>
            </w:r>
          </w:p>
        </w:tc>
        <w:tc>
          <w:tcPr>
            <w:tcW w:w="1636" w:type="dxa"/>
            <w:tcBorders>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5" w:type="dxa"/>
            <w:tcBorders>
              <w:top w:val="single" w:sz="2" w:space="0" w:color="000000"/>
              <w:start w:val="single" w:sz="10" w:space="0" w:color="000000"/>
              <w:bottom w:val="single" w:sz="2" w:space="0" w:color="000000"/>
              <w:end w:val="single" w:sz="2" w:space="0" w:color="000000"/>
            </w:tcBorders>
          </w:tcPr>
          <w:p>
            <w:pPr>
              <w:pStyle w:val="TableText"/>
              <w:rPr>
                <w:w w:val="100"/>
              </w:rPr>
            </w:pPr>
            <w:r>
              <w:rPr>
                <w:w w:val="100"/>
              </w:rPr>
              <w:t xml:space="preserve">PC34.1.10.1.1 </w:t>
            </w:r>
          </w:p>
        </w:tc>
        <w:tc>
          <w:tcPr>
            <w:tcW w:w="2155" w:type="dxa"/>
            <w:tcBorders>
              <w:top w:val="single" w:sz="2" w:space="0" w:color="000000"/>
              <w:start w:val="single" w:sz="2" w:space="0" w:color="000000"/>
              <w:bottom w:val="single" w:sz="2" w:space="0" w:color="000000"/>
              <w:end w:val="single" w:sz="2" w:space="0" w:color="000000"/>
            </w:tcBorders>
          </w:tcPr>
          <w:p>
            <w:pPr>
              <w:pStyle w:val="TableText"/>
              <w:ind w:hanging="100" w:start="100"/>
              <w:rPr>
                <w:spacing w:val="-2"/>
                <w:w w:val="100"/>
              </w:rPr>
            </w:pPr>
            <w:r>
              <w:rPr>
                <w:spacing w:val="-2"/>
                <w:w w:val="100"/>
              </w:rPr>
              <w:t>MME</w:t>
            </w:r>
          </w:p>
        </w:tc>
        <w:tc>
          <w:tcPr>
            <w:tcW w:w="2427"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 xml:space="preserve">9.4.2.53 (MME) </w:t>
            </w:r>
          </w:p>
        </w:tc>
        <w:tc>
          <w:tcPr>
            <w:tcW w:w="1623"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PC34.1.10.1:M</w:t>
            </w:r>
          </w:p>
        </w:tc>
        <w:tc>
          <w:tcPr>
            <w:tcW w:w="1636" w:type="dxa"/>
            <w:tcBorders>
              <w:top w:val="single" w:sz="2" w:space="0" w:color="000000"/>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5" w:type="dxa"/>
            <w:tcBorders>
              <w:top w:val="single" w:sz="10" w:space="0" w:color="000000"/>
              <w:start w:val="single" w:sz="10" w:space="0" w:color="000000"/>
              <w:end w:val="single" w:sz="2" w:space="0" w:color="000000"/>
            </w:tcBorders>
          </w:tcPr>
          <w:p>
            <w:pPr>
              <w:pStyle w:val="TableText"/>
              <w:rPr>
                <w:w w:val="100"/>
              </w:rPr>
            </w:pPr>
            <w:r>
              <w:rPr>
                <w:w w:val="100"/>
              </w:rPr>
              <w:t xml:space="preserve">PC 34.1.10.1.2 </w:t>
            </w:r>
          </w:p>
        </w:tc>
        <w:tc>
          <w:tcPr>
            <w:tcW w:w="2155" w:type="dxa"/>
            <w:tcBorders>
              <w:top w:val="single" w:sz="10" w:space="0" w:color="000000"/>
              <w:start w:val="single" w:sz="2" w:space="0" w:color="000000"/>
              <w:end w:val="single" w:sz="2" w:space="0" w:color="000000"/>
            </w:tcBorders>
          </w:tcPr>
          <w:p>
            <w:pPr>
              <w:pStyle w:val="TableText"/>
              <w:ind w:hanging="100" w:start="100"/>
              <w:rPr>
                <w:w w:val="100"/>
              </w:rPr>
            </w:pPr>
            <w:r>
              <w:rPr>
                <w:w w:val="100"/>
              </w:rPr>
              <w:t>Beacon protection</w:t>
            </w:r>
          </w:p>
        </w:tc>
        <w:tc>
          <w:tcPr>
            <w:tcW w:w="2427" w:type="dxa"/>
            <w:tcBorders>
              <w:top w:val="single" w:sz="10" w:space="0" w:color="000000"/>
              <w:start w:val="single" w:sz="2" w:space="0" w:color="000000"/>
              <w:end w:val="single" w:sz="2" w:space="0" w:color="000000"/>
            </w:tcBorders>
          </w:tcPr>
          <w:p>
            <w:pPr>
              <w:pStyle w:val="TableText"/>
              <w:rPr>
                <w:w w:val="100"/>
              </w:rPr>
            </w:pPr>
            <w:r>
              <w:rPr>
                <w:w w:val="100"/>
              </w:rPr>
              <w:t>11.52 (Beacon frame protection procedures); 12.6.21 (Protection of Beacon frames)</w:t>
            </w:r>
          </w:p>
        </w:tc>
        <w:tc>
          <w:tcPr>
            <w:tcW w:w="1623" w:type="dxa"/>
            <w:tcBorders>
              <w:top w:val="single" w:sz="10" w:space="0" w:color="000000"/>
              <w:start w:val="single" w:sz="2" w:space="0" w:color="000000"/>
              <w:end w:val="single" w:sz="2" w:space="0" w:color="000000"/>
            </w:tcBorders>
          </w:tcPr>
          <w:p>
            <w:pPr>
              <w:pStyle w:val="TableText"/>
              <w:rPr>
                <w:w w:val="100"/>
              </w:rPr>
            </w:pPr>
            <w:r>
              <w:rPr>
                <w:w w:val="100"/>
              </w:rPr>
              <w:t>PC34.1.10.1 AND (CFAP OR CFSTAofAP):O</w:t>
            </w:r>
          </w:p>
        </w:tc>
        <w:tc>
          <w:tcPr>
            <w:tcW w:w="1636" w:type="dxa"/>
            <w:tcBorders>
              <w:top w:val="single" w:sz="10"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5" w:type="dxa"/>
            <w:tcBorders>
              <w:start w:val="single" w:sz="10" w:space="0" w:color="000000"/>
              <w:end w:val="single" w:sz="2" w:space="0" w:color="000000"/>
            </w:tcBorders>
          </w:tcPr>
          <w:p>
            <w:pPr>
              <w:pStyle w:val="TableText"/>
              <w:rPr>
                <w:w w:val="100"/>
                <w:u w:val="single"/>
              </w:rPr>
            </w:pPr>
            <w:r>
              <w:rPr>
                <w:w w:val="100"/>
                <w:u w:val="single"/>
              </w:rPr>
              <w:t>PC 34.1.10.1.2.1</w:t>
            </w:r>
          </w:p>
        </w:tc>
        <w:tc>
          <w:tcPr>
            <w:tcW w:w="2155" w:type="dxa"/>
            <w:tcBorders>
              <w:start w:val="single" w:sz="2" w:space="0" w:color="000000"/>
              <w:end w:val="single" w:sz="2" w:space="0" w:color="000000"/>
            </w:tcBorders>
          </w:tcPr>
          <w:p>
            <w:pPr>
              <w:pStyle w:val="TableText"/>
              <w:rPr>
                <w:w w:val="100"/>
                <w:u w:val="single"/>
              </w:rPr>
            </w:pPr>
            <w:r>
              <w:rPr>
                <w:w w:val="100"/>
                <w:u w:val="single"/>
              </w:rPr>
              <w:t>BIP compact encapsulation</w:t>
            </w:r>
          </w:p>
        </w:tc>
        <w:tc>
          <w:tcPr>
            <w:tcW w:w="2427" w:type="dxa"/>
            <w:tcBorders>
              <w:start w:val="single" w:sz="2" w:space="0" w:color="000000"/>
              <w:end w:val="single" w:sz="2" w:space="0" w:color="000000"/>
            </w:tcBorders>
          </w:tcPr>
          <w:p>
            <w:pPr>
              <w:pStyle w:val="TableText"/>
              <w:rPr>
                <w:w w:val="100"/>
                <w:u w:val="single"/>
              </w:rPr>
            </w:pPr>
            <w:r>
              <w:rPr>
                <w:w w:val="100"/>
                <w:u w:val="single"/>
              </w:rPr>
              <w:t>12.5.3 Broadcast/multicast integrity protocol (BIP)</w:t>
            </w:r>
          </w:p>
        </w:tc>
        <w:tc>
          <w:tcPr>
            <w:tcW w:w="1623" w:type="dxa"/>
            <w:tcBorders>
              <w:start w:val="single" w:sz="2" w:space="0" w:color="000000"/>
              <w:end w:val="single" w:sz="2" w:space="0" w:color="000000"/>
            </w:tcBorders>
          </w:tcPr>
          <w:p>
            <w:pPr>
              <w:pStyle w:val="TableText"/>
              <w:rPr>
                <w:w w:val="100"/>
                <w:u w:val="single"/>
              </w:rPr>
            </w:pPr>
            <w:r>
              <w:rPr>
                <w:w w:val="100"/>
                <w:u w:val="single"/>
              </w:rPr>
              <w:t>PC 34.1.10.1.2 AND CFS1G: O</w:t>
            </w:r>
          </w:p>
        </w:tc>
        <w:tc>
          <w:tcPr>
            <w:tcW w:w="1636"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5" w:type="dxa"/>
            <w:tcBorders>
              <w:start w:val="single" w:sz="10" w:space="0" w:color="000000"/>
              <w:end w:val="single" w:sz="2" w:space="0" w:color="000000"/>
            </w:tcBorders>
          </w:tcPr>
          <w:p>
            <w:pPr>
              <w:pStyle w:val="TableText"/>
              <w:rPr>
                <w:w w:val="100"/>
                <w:u w:val="single"/>
              </w:rPr>
            </w:pPr>
            <w:r>
              <w:rPr>
                <w:w w:val="100"/>
                <w:u w:val="single"/>
              </w:rPr>
              <w:t>PC 34.1.10.1.2.1.1</w:t>
            </w:r>
          </w:p>
        </w:tc>
        <w:tc>
          <w:tcPr>
            <w:tcW w:w="2155" w:type="dxa"/>
            <w:tcBorders>
              <w:start w:val="single" w:sz="2" w:space="0" w:color="000000"/>
              <w:end w:val="single" w:sz="2" w:space="0" w:color="000000"/>
            </w:tcBorders>
          </w:tcPr>
          <w:p>
            <w:pPr>
              <w:pStyle w:val="TableText"/>
              <w:rPr>
                <w:w w:val="100"/>
                <w:u w:val="single"/>
              </w:rPr>
            </w:pPr>
            <w:r>
              <w:rPr>
                <w:w w:val="100"/>
                <w:u w:val="single"/>
              </w:rPr>
              <w:t>MIC element</w:t>
            </w:r>
          </w:p>
        </w:tc>
        <w:tc>
          <w:tcPr>
            <w:tcW w:w="2427" w:type="dxa"/>
            <w:tcBorders>
              <w:start w:val="single" w:sz="2" w:space="0" w:color="000000"/>
              <w:end w:val="single" w:sz="2" w:space="0" w:color="000000"/>
            </w:tcBorders>
          </w:tcPr>
          <w:p>
            <w:pPr>
              <w:pStyle w:val="TableText"/>
              <w:rPr>
                <w:w w:val="100"/>
                <w:u w:val="single"/>
              </w:rPr>
            </w:pPr>
            <w:r>
              <w:rPr>
                <w:w w:val="100"/>
                <w:u w:val="single"/>
              </w:rPr>
              <w:t>9.4.2.117 (MIC element)</w:t>
            </w:r>
          </w:p>
        </w:tc>
        <w:tc>
          <w:tcPr>
            <w:tcW w:w="1623" w:type="dxa"/>
            <w:tcBorders>
              <w:start w:val="single" w:sz="2" w:space="0" w:color="000000"/>
              <w:end w:val="single" w:sz="2" w:space="0" w:color="000000"/>
            </w:tcBorders>
          </w:tcPr>
          <w:p>
            <w:pPr>
              <w:pStyle w:val="TableText"/>
              <w:rPr>
                <w:w w:val="100"/>
                <w:u w:val="single"/>
              </w:rPr>
            </w:pPr>
            <w:r>
              <w:rPr>
                <w:w w:val="100"/>
                <w:u w:val="single"/>
              </w:rPr>
              <w:t>PC 34.1.10.1.2.1: M</w:t>
            </w:r>
          </w:p>
        </w:tc>
        <w:tc>
          <w:tcPr>
            <w:tcW w:w="1636"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5" w:type="dxa"/>
            <w:tcBorders>
              <w:start w:val="single" w:sz="10" w:space="0" w:color="000000"/>
              <w:end w:val="single" w:sz="2" w:space="0" w:color="000000"/>
            </w:tcBorders>
          </w:tcPr>
          <w:p>
            <w:pPr>
              <w:pStyle w:val="TableText"/>
              <w:rPr>
                <w:w w:val="100"/>
              </w:rPr>
            </w:pPr>
            <w:r>
              <w:rPr>
                <w:w w:val="100"/>
              </w:rPr>
              <w:t xml:space="preserve">PC34.1.11 </w:t>
            </w:r>
          </w:p>
        </w:tc>
        <w:tc>
          <w:tcPr>
            <w:tcW w:w="2155" w:type="dxa"/>
            <w:tcBorders>
              <w:start w:val="single" w:sz="2" w:space="0" w:color="000000"/>
              <w:end w:val="single" w:sz="2" w:space="0" w:color="000000"/>
            </w:tcBorders>
          </w:tcPr>
          <w:p>
            <w:pPr>
              <w:pStyle w:val="TableText"/>
              <w:rPr>
                <w:w w:val="100"/>
              </w:rPr>
            </w:pPr>
            <w:r>
              <w:rPr>
                <w:w w:val="100"/>
              </w:rPr>
              <w:t>AKM: IEEE 802.1X authentication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6"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5" w:type="dxa"/>
            <w:tcBorders>
              <w:start w:val="single" w:sz="10" w:space="0" w:color="000000"/>
              <w:end w:val="single" w:sz="2" w:space="0" w:color="000000"/>
            </w:tcBorders>
          </w:tcPr>
          <w:p>
            <w:pPr>
              <w:pStyle w:val="TableText"/>
              <w:rPr>
                <w:w w:val="100"/>
              </w:rPr>
            </w:pPr>
            <w:r>
              <w:rPr>
                <w:w w:val="100"/>
              </w:rPr>
              <w:t xml:space="preserve">PC34.1.12 </w:t>
            </w:r>
          </w:p>
        </w:tc>
        <w:tc>
          <w:tcPr>
            <w:tcW w:w="2155" w:type="dxa"/>
            <w:tcBorders>
              <w:start w:val="single" w:sz="2" w:space="0" w:color="000000"/>
              <w:end w:val="single" w:sz="2" w:space="0" w:color="000000"/>
            </w:tcBorders>
          </w:tcPr>
          <w:p>
            <w:pPr>
              <w:pStyle w:val="TableText"/>
              <w:ind w:hanging="100" w:start="100"/>
              <w:rPr>
                <w:w w:val="100"/>
              </w:rPr>
            </w:pPr>
            <w:r>
              <w:rPr>
                <w:w w:val="100"/>
              </w:rPr>
              <w:t>AKM: PSK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6"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 xml:space="preserve">Change the </w:t>
      </w:r>
      <w:r>
        <w:rPr>
          <w:b/>
          <w:bCs/>
        </w:rPr>
        <w:t xml:space="preserve">Dot11S1GStationConfigEntry SEQUENCE </w:t>
      </w:r>
      <w:r>
        <w:rPr>
          <w:b/>
          <w:bCs/>
        </w:rPr>
        <w:t>as shown:</w:t>
      </w:r>
    </w:p>
    <w:p>
      <w:pPr>
        <w:pStyle w:val="Code"/>
        <w:spacing w:lineRule="atLeast" w:line="200"/>
        <w:ind w:hanging="720" w:start="720" w:end="0"/>
        <w:rPr>
          <w:caps w:val="false"/>
          <w:smallCaps w:val="false"/>
          <w:w w:val="100"/>
        </w:rPr>
      </w:pPr>
      <w:r>
        <w:rPr/>
      </w:r>
    </w:p>
    <w:p>
      <w:pPr>
        <w:pStyle w:val="Code"/>
        <w:spacing w:lineRule="atLeast" w:line="200"/>
        <w:ind w:hanging="720" w:start="720" w:end="0"/>
        <w:rPr>
          <w:caps w:val="false"/>
          <w:smallCaps w:val="false"/>
          <w:w w:val="100"/>
        </w:rPr>
      </w:pPr>
      <w:r>
        <w:rPr>
          <w:caps w:val="false"/>
          <w:smallCaps w:val="false"/>
          <w:w w:val="100"/>
        </w:rPr>
        <w:tab/>
        <w:tab/>
        <w:t>dot11S1GDACTImin</w:t>
        <w:tab/>
        <w:t>Unsigned32,</w:t>
      </w:r>
    </w:p>
    <w:p>
      <w:pPr>
        <w:pStyle w:val="Code"/>
        <w:spacing w:lineRule="atLeast" w:line="200"/>
        <w:ind w:hanging="720" w:start="720" w:end="0"/>
        <w:rPr>
          <w:caps w:val="false"/>
          <w:smallCaps w:val="false"/>
          <w:w w:val="100"/>
        </w:rPr>
      </w:pPr>
      <w:r>
        <w:rPr>
          <w:caps w:val="false"/>
          <w:smallCaps w:val="false"/>
          <w:w w:val="100"/>
        </w:rPr>
        <w:tab/>
        <w:tab/>
        <w:t>dot11S1GDACTImax</w:t>
        <w:tab/>
        <w:t>Unsigned32,</w:t>
      </w:r>
    </w:p>
    <w:p>
      <w:pPr>
        <w:pStyle w:val="Code"/>
        <w:spacing w:lineRule="atLeast" w:line="200"/>
        <w:ind w:hanging="720" w:start="720" w:end="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start="720" w:end="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start="720" w:end="0"/>
        <w:rPr>
          <w:caps w:val="false"/>
          <w:smallCaps w:val="false"/>
          <w:w w:val="100"/>
        </w:rPr>
      </w:pPr>
      <w:r>
        <w:rPr>
          <w:caps w:val="false"/>
          <w:smallCaps w:val="false"/>
          <w:w w:val="100"/>
          <w:u w:val="single"/>
        </w:rPr>
        <w:tab/>
        <w:tab/>
        <w:t>dot11BIPCompactEncapsulation</w:t>
        <w:tab/>
      </w:r>
      <w:r>
        <w:rPr>
          <w:caps w:val="false"/>
          <w:smallCaps w:val="false"/>
          <w:w w:val="100"/>
          <w:u w:val="single"/>
        </w:rPr>
        <w:t>TruthValue</w:t>
      </w:r>
    </w:p>
    <w:p>
      <w:pPr>
        <w:pStyle w:val="Code"/>
        <w:spacing w:lineRule="atLeast" w:line="200"/>
        <w:ind w:hanging="720" w:start="720" w:end="0"/>
        <w:rPr>
          <w:caps w:val="false"/>
          <w:smallCaps w:val="false"/>
          <w:w w:val="100"/>
        </w:rPr>
      </w:pPr>
      <w:r>
        <w:rPr>
          <w:caps w:val="false"/>
          <w:smallCaps w:val="false"/>
          <w:w w:val="100"/>
        </w:rPr>
        <w:tab/>
        <w:tab/>
        <w:t>}</w:t>
      </w:r>
    </w:p>
    <w:p>
      <w:pPr>
        <w:pStyle w:val="TText"/>
        <w:rPr>
          <w:caps w:val="false"/>
          <w:smallCaps w:val="false"/>
          <w:w w:val="100"/>
        </w:rPr>
      </w:pPr>
      <w:r>
        <w:rPr/>
      </w:r>
    </w:p>
    <w:p>
      <w:pPr>
        <w:pStyle w:val="Normal"/>
        <w:rPr>
          <w:b/>
          <w:bCs/>
        </w:rPr>
      </w:pPr>
      <w:r>
        <w:rPr>
          <w:b/>
          <w:bCs/>
        </w:rPr>
        <w:t xml:space="preserve">Add the following new entry at the end of </w:t>
      </w:r>
      <w:r>
        <w:rPr>
          <w:b/>
          <w:bCs/>
        </w:rPr>
        <w:t>dot11S1GStationConfigTable TABLE:</w:t>
      </w:r>
    </w:p>
    <w:p>
      <w:pPr>
        <w:pStyle w:val="Code"/>
        <w:spacing w:lineRule="atLeast" w:line="200"/>
        <w:ind w:hanging="720" w:start="720" w:end="0"/>
        <w:rPr>
          <w:caps w:val="false"/>
          <w:smallCaps w:val="false"/>
          <w:w w:val="100"/>
        </w:rPr>
      </w:pPr>
      <w:r>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ab/>
        <w:t xml:space="preserve">This attribute, when true indicates the station supports the use of </w:t>
      </w:r>
      <w:r>
        <w:rPr>
          <w:caps w:val="false"/>
          <w:smallCaps w:val="false"/>
          <w:w w:val="100"/>
          <w:u w:val="single"/>
        </w:rPr>
        <w:t>BIP Compact Encapsulation of protected Beacon frames</w:t>
      </w:r>
      <w:r>
        <w:rPr>
          <w:caps w:val="false"/>
          <w:smallCaps w:val="false"/>
          <w:w w:val="100"/>
          <w:u w:val="single"/>
        </w:rPr>
        <w:t>. The attribute is set to true only if the dot11RSNAProtectedManagementFramesActivated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 xml:space="preserve">::= { dot11S1GStationConfigEntry </w:t>
      </w:r>
      <w:r>
        <w:rPr>
          <w:caps w:val="false"/>
          <w:smallCaps w:val="false"/>
          <w:w w:val="100"/>
          <w:u w:val="single"/>
        </w:rPr>
        <w:t>59</w:t>
      </w:r>
      <w:r>
        <w:rPr>
          <w:caps w:val="false"/>
          <w:smallCaps w:val="false"/>
          <w:w w:val="100"/>
          <w:u w:val="single"/>
        </w:rPr>
        <w:t xml:space="preserve"> }</w:t>
      </w:r>
    </w:p>
    <w:p>
      <w:pPr>
        <w:pStyle w:val="TText"/>
        <w:rPr/>
      </w:pPr>
      <w:r>
        <w:rPr/>
      </w:r>
    </w:p>
    <w:p>
      <w:pPr>
        <w:pStyle w:val="Normal"/>
        <w:ind w:hanging="0" w:start="0" w:end="0"/>
        <w:rPr>
          <w:b/>
          <w:bCs/>
          <w:i/>
          <w:i/>
          <w:iCs/>
        </w:rPr>
      </w:pPr>
      <w:r>
        <w:rPr>
          <w:b/>
          <w:bCs/>
          <w:i/>
          <w:iCs/>
          <w:caps w:val="false"/>
          <w:smallCaps w:val="false"/>
          <w:w w:val="100"/>
        </w:rPr>
        <w:t>Add a new subclause after J.9.1, and renumber</w:t>
      </w:r>
      <w:r>
        <w:rPr>
          <w:b/>
          <w:bCs/>
          <w:i/>
          <w:iCs/>
          <w:caps w:val="false"/>
          <w:smallCaps w:val="false"/>
          <w:w w:val="100"/>
        </w:rPr>
        <w:t xml:space="preserve"> the </w:t>
      </w:r>
      <w:r>
        <w:rPr>
          <w:b/>
          <w:bCs/>
          <w:i/>
          <w:iCs/>
          <w:caps w:val="false"/>
          <w:smallCaps w:val="false"/>
          <w:w w:val="100"/>
        </w:rPr>
        <w:t>following subclause(s)</w:t>
      </w:r>
      <w:r>
        <w:rPr>
          <w:b/>
          <w:bCs/>
          <w:i/>
          <w:iCs/>
          <w:caps w:val="false"/>
          <w:smallCaps w:val="false"/>
          <w:w w:val="100"/>
        </w:rPr>
        <w:t>:</w:t>
      </w:r>
    </w:p>
    <w:p>
      <w:pPr>
        <w:pStyle w:val="H41111"/>
        <w:ind w:hanging="0" w:start="0" w:end="0"/>
        <w:rPr>
          <w:sz w:val="28"/>
          <w:szCs w:val="28"/>
          <w:u w:val="single"/>
        </w:rPr>
      </w:pPr>
      <w:r>
        <w:rPr>
          <w:caps w:val="false"/>
          <w:smallCaps w:val="false"/>
          <w:w w:val="100"/>
          <w:sz w:val="28"/>
          <w:szCs w:val="28"/>
          <w:u w:val="single"/>
        </w:rPr>
        <w:t>J.9.2</w:t>
      </w:r>
      <w:r>
        <w:rPr>
          <w:caps w:val="false"/>
          <w:smallCaps w:val="false"/>
          <w:w w:val="100"/>
          <w:sz w:val="28"/>
          <w:szCs w:val="28"/>
          <w:u w:val="single"/>
        </w:rPr>
        <w:t xml:space="preserve"> BIP </w:t>
      </w:r>
      <w:r>
        <w:rPr>
          <w:caps w:val="false"/>
          <w:smallCaps w:val="false"/>
          <w:w w:val="100"/>
          <w:sz w:val="28"/>
          <w:szCs w:val="28"/>
          <w:u w:val="single"/>
        </w:rPr>
        <w:t>with S1G Beacon Frames</w:t>
      </w:r>
    </w:p>
    <w:p>
      <w:pPr>
        <w:pStyle w:val="TText"/>
        <w:rPr>
          <w:u w:val="single"/>
        </w:rPr>
      </w:pPr>
      <w:r>
        <w:rPr>
          <w:u w:val="single"/>
        </w:rPr>
        <w:t>==== S1G Beacon frame with BIP-</w:t>
      </w:r>
      <w:r>
        <w:rPr>
          <w:u w:val="single"/>
        </w:rPr>
        <w:t>CMAC-128</w:t>
      </w:r>
      <w:r>
        <w:rPr>
          <w:u w:val="single"/>
        </w:rPr>
        <w:t>,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40 02 00 00 00 00 00 00 d5 08 80 00 00 00 00 00 00 00 4c 10 07 00 04 00 00 00 00 00 00 00 00 00 00 00 00 00</w:t>
      </w:r>
    </w:p>
    <w:p>
      <w:pPr>
        <w:pStyle w:val="TText"/>
        <w:rPr>
          <w:u w:val="single"/>
        </w:rPr>
      </w:pPr>
      <w:r>
        <w:rPr>
          <w:u w:val="single"/>
        </w:rPr>
        <w:t>S1G BIP-</w:t>
      </w:r>
      <w:r>
        <w:rPr>
          <w:u w:val="single"/>
        </w:rPr>
        <w:t>CMAC-128</w:t>
      </w:r>
      <w:r>
        <w:rPr>
          <w:u w:val="single"/>
        </w:rPr>
        <w:t xml:space="preserve">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w:t>
      </w:r>
      <w:r>
        <w:rPr>
          <w:u w:val="single"/>
        </w:rPr>
        <w:t>CMAC-128</w:t>
      </w:r>
      <w:r>
        <w:rPr>
          <w:u w:val="single"/>
        </w:rPr>
        <w:t>,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47 02 00 00 00 00 00 00 00 00 00 00 00 00 00 00 4c 10 06 00 04 00 00 00 00 00 00 00 00 00 00 00 00 00</w:t>
      </w:r>
    </w:p>
    <w:p>
      <w:pPr>
        <w:pStyle w:val="TText"/>
        <w:rPr>
          <w:u w:val="single"/>
        </w:rPr>
      </w:pPr>
      <w:r>
        <w:rPr>
          <w:u w:val="single"/>
        </w:rPr>
        <w:t>S1G BIP-</w:t>
      </w:r>
      <w:r>
        <w:rPr>
          <w:u w:val="single"/>
        </w:rPr>
        <w:t>CMAC-128</w:t>
      </w:r>
      <w:r>
        <w:rPr>
          <w:u w:val="single"/>
        </w:rPr>
        <w:t xml:space="preserve">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w:t>
      </w:r>
      <w:r>
        <w:rPr>
          <w:u w:val="single"/>
        </w:rPr>
        <w:t>CMAC-128</w:t>
      </w:r>
      <w:r>
        <w:rPr>
          <w:u w:val="single"/>
        </w:rPr>
        <w:t xml:space="preserve">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40 02 00 00 00 00 00 00 04 00 00 00 00 00 d5 08 80 00 00 00 00 00 00 00 8c 08 00 00 00 00 00 00 00 00</w:t>
      </w:r>
    </w:p>
    <w:p>
      <w:pPr>
        <w:pStyle w:val="TText"/>
        <w:rPr>
          <w:u w:val="single"/>
        </w:rPr>
      </w:pPr>
      <w:r>
        <w:rPr>
          <w:u w:val="single"/>
        </w:rPr>
        <w:t>S1G BIP-</w:t>
      </w:r>
      <w:r>
        <w:rPr>
          <w:u w:val="single"/>
        </w:rPr>
        <w:t>CMAC-128</w:t>
      </w:r>
      <w:r>
        <w:rPr>
          <w:u w:val="single"/>
        </w:rPr>
        <w:t xml:space="preserve">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w:t>
      </w:r>
      <w:r>
        <w:rPr>
          <w:u w:val="single"/>
        </w:rPr>
        <w:t>CMAC-128</w:t>
      </w:r>
      <w:r>
        <w:rPr>
          <w:u w:val="single"/>
        </w:rPr>
        <w:t xml:space="preserve">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47 02 00 00 00 00 00 00 00 00 00 00 00 00 00 00 04 00 00 00 00 00 8c 08 00 00 00 00 00 00 00 00</w:t>
      </w:r>
    </w:p>
    <w:p>
      <w:pPr>
        <w:pStyle w:val="TText"/>
        <w:rPr>
          <w:u w:val="single"/>
        </w:rPr>
      </w:pPr>
      <w:r>
        <w:rPr>
          <w:u w:val="single"/>
        </w:rPr>
        <w:t>S1G BIP-</w:t>
      </w:r>
      <w:r>
        <w:rPr>
          <w:u w:val="single"/>
        </w:rPr>
        <w:t>CMAC-128</w:t>
      </w:r>
      <w:r>
        <w:rPr>
          <w:u w:val="single"/>
        </w:rPr>
        <w:t xml:space="preserve">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40 02 00 00 00 00 00 00 d5 08 00 00 00 00 00 00 00 00 4c 18 06 00 04 00 00 00 00 00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47 02 00 00 00 00 00 00 00 00 00 00 00 00 00 00 4c 18 07 00 04 00 00 00 00 00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40 02 00 00 00 00 00 00 04 00 00 00 00 00 d5 08 00 00 00 00 00 00 00 00 8c 10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47 02 00 00 00 00 00 00 00 00 00 00 00 00 00 00 04 00 00 00 00 00 8c 10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40 02 00 00 00 00 00 00 d5 08 80 00 00 00 00 00 00 00 4c 18 07 00 04 00 00 00 00 00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47 02 00 00 00 00 00 00 00 00 00 00 00 00 00 00 4c 18 06 00 04 00 00 00 00 00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40 02 00 00 00 00 00 00 04 00 00 00 00 00 d5 08 80 00 00 00 00 00 00 00 8c 10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47 02 00 00 00 00 00 00 00 00 00 00 00 00 00 00 04 00 00 00 00 00 8c 10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w:t>
        </w:r>
        <w:r>
          <w:rPr>
            <w:rStyle w:val="Hyperlink"/>
            <w:b/>
            <w:sz w:val="24"/>
          </w:rPr>
          <w:t>1</w:t>
        </w:r>
        <w:r>
          <w:rPr>
            <w:rStyle w:val="Hyperlink"/>
            <w:b/>
            <w:sz w:val="24"/>
          </w:rPr>
          <w:t>.pdf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OpenSymbol">
    <w:altName w:val="Arial Unicode MS"/>
    <w:charset w:val="02"/>
    <w:family w:val="auto"/>
    <w:pitch w:val="default"/>
  </w:font>
  <w:font w:name="Liberation Sans">
    <w:altName w:val="Arial"/>
    <w:charset w:val="01" w:characterSet="utf-8"/>
    <w:family w:val="swiss"/>
    <w:pitch w:val="variable"/>
  </w:font>
  <w:font w:name="Arial">
    <w:charset w:val="01" w:characterSet="utf-8"/>
    <w:family w:val="roman"/>
    <w:pitch w:val="variable"/>
  </w:font>
  <w:font w:name="Courier New">
    <w:charset w:val="01" w:characterSet="utf-8"/>
    <w:family w:val="roman"/>
    <w:pitch w:val="variable"/>
  </w:font>
  <w:font w:name="DejaVu Sans">
    <w:charset w:val="01" w:characterSet="utf-8"/>
    <w:family w:val="swiss"/>
    <w:pitch w:val="default"/>
  </w:font>
  <w:font w:name="Wingdings">
    <w:charset w:val="01" w:characterSet="utf-8"/>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r>
    <w:r>
      <w:rPr>
        <w:i w:val="false"/>
        <w:iCs w:val="false"/>
        <w:sz w:val="20"/>
        <w:szCs w:val="20"/>
      </w:rPr>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Morse Micro</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November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802.11-23/1777r2</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5">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 w:numId="7">
    <w:abstractNumId w:val="2"/>
    <w:lvlOverride w:ilvl="0">
      <w:startOverride w:val="1"/>
    </w:lvlOverride>
  </w:num>
  <w:num w:numId="8">
    <w:abstractNumId w:val="4"/>
    <w:lvlOverride w:ilvl="0">
      <w:startOverride w:val="1"/>
    </w:lvlOverride>
  </w:num>
  <w:num w:numId="9">
    <w:abstractNumId w:val="5"/>
    <w:lvlOverride w:ilvl="0">
      <w:startOverride w:val="1"/>
    </w:lvlOverride>
  </w:num>
</w:numbering>
</file>

<file path=word/settings.xml><?xml version="1.0" encoding="utf-8"?>
<w:settings xmlns:w="http://schemas.openxmlformats.org/wordprocessingml/2006/main">
  <w:zoom w:percent="120"/>
  <w:mirrorMargins/>
  <w:defaultTabStop w:val="720"/>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i/>
      <w:iCs/>
      <w:color w:val="auto"/>
      <w:sz w:val="22"/>
      <w:szCs w:val="20"/>
      <w:lang w:val="en-GB" w:bidi="ar-SA" w:eastAsia="zh-CN"/>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end="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kinsoku w:val="true"/>
      <w:overflowPunct w:val="true"/>
      <w:autoSpaceDE w:val="true"/>
      <w:bidi w:val="0"/>
      <w:spacing w:lineRule="atLeast" w:line="240" w:before="240" w:after="240"/>
      <w:jc w:val="start"/>
      <w:textAlignment w:val="auto"/>
    </w:pPr>
    <w:rPr>
      <w:rFonts w:ascii="Arial" w:hAnsi="Arial" w:eastAsia="Marlett" w:cs="Arial"/>
      <w:b/>
      <w:i w:val="false"/>
      <w:strike w:val="false"/>
      <w:dstrike w:val="false"/>
      <w:color w:val="000000"/>
      <w:spacing w:val="0"/>
      <w:w w:val="10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kinsoku w:val="true"/>
      <w:overflowPunct w:val="true"/>
      <w:autoSpaceDE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kinsoku w:val="true"/>
      <w:overflowPunct w:val="true"/>
      <w:autoSpaceDE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kinsoku w:val="true"/>
      <w:overflowPunct w:val="true"/>
      <w:autoSpaceDE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Figuretext">
    <w:name w:val="figure_text"/>
    <w:qFormat/>
    <w:pPr>
      <w:widowControl w:val="false"/>
      <w:suppressAutoHyphens w:val="false"/>
      <w:kinsoku w:val="true"/>
      <w:overflowPunct w:val="true"/>
      <w:autoSpaceDE w:val="tru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sz w:val="16"/>
      <w:szCs w:val="24"/>
      <w:u w:val="none"/>
      <w:em w:val="none"/>
      <w:lang w:val="en-US" w:eastAsia="zh-CN" w:bidi="hi-IN"/>
    </w:rPr>
  </w:style>
  <w:style w:type="paragraph" w:styleId="FigTitle">
    <w:name w:val="FigTitle"/>
    <w:qFormat/>
    <w:pPr>
      <w:widowControl w:val="false"/>
      <w:suppressAutoHyphens w:val="true"/>
      <w:kinsoku w:val="true"/>
      <w:overflowPunct w:val="true"/>
      <w:autoSpaceDE w:val="true"/>
      <w:bidi w:val="0"/>
      <w:spacing w:lineRule="atLeast" w:line="240" w:before="240" w:after="0"/>
      <w:jc w:val="center"/>
      <w:textAlignment w:val="auto"/>
    </w:pPr>
    <w:rPr>
      <w:rFonts w:ascii="Arial" w:hAnsi="Arial" w:eastAsia="Marlett" w:cs="Arial"/>
      <w:b/>
      <w:i w:val="false"/>
      <w:strike w:val="false"/>
      <w:dstrike w:val="false"/>
      <w:color w:val="000000"/>
      <w:spacing w:val="0"/>
      <w:w w:val="100"/>
      <w:sz w:val="20"/>
      <w:szCs w:val="24"/>
      <w:u w:val="none"/>
      <w:em w:val="none"/>
      <w:lang w:val="en-US" w:eastAsia="zh-CN" w:bidi="hi-IN"/>
    </w:rPr>
  </w:style>
  <w:style w:type="paragraph" w:styleId="Body">
    <w:name w:val="Body"/>
    <w:qFormat/>
    <w:pPr>
      <w:widowControl w:val="false"/>
      <w:suppressAutoHyphens w:val="false"/>
      <w:kinsoku w:val="true"/>
      <w:overflowPunct w:val="true"/>
      <w:autoSpaceDE w:val="tru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kinsoku w:val="true"/>
      <w:overflowPunct w:val="true"/>
      <w:autoSpaceDE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TableTitle">
    <w:name w:val="TableTitle"/>
    <w:next w:val="TableCaption"/>
    <w:qFormat/>
    <w:pPr>
      <w:widowControl w:val="false"/>
      <w:suppressAutoHyphens w:val="false"/>
      <w:kinsoku w:val="true"/>
      <w:overflowPunct w:val="true"/>
      <w:autoSpaceDE w:val="true"/>
      <w:bidi w:val="0"/>
      <w:spacing w:lineRule="atLeast" w:line="240" w:before="0" w:after="0"/>
      <w:jc w:val="center"/>
      <w:textAlignment w:val="auto"/>
    </w:pPr>
    <w:rPr>
      <w:rFonts w:ascii="Arial" w:hAnsi="Arial" w:eastAsia="Marlett" w:cs="Arial"/>
      <w:b/>
      <w:i w:val="false"/>
      <w:strike w:val="false"/>
      <w:dstrike w:val="false"/>
      <w:color w:val="000000"/>
      <w:spacing w:val="0"/>
      <w:w w:val="100"/>
      <w:sz w:val="20"/>
      <w:szCs w:val="24"/>
      <w:u w:val="none"/>
      <w:em w:val="none"/>
      <w:lang w:val="en-US" w:eastAsia="zh-CN" w:bidi="hi-IN"/>
    </w:rPr>
  </w:style>
  <w:style w:type="paragraph" w:styleId="TableCaption">
    <w:name w:val="TableCaption"/>
    <w:qFormat/>
    <w:pPr>
      <w:widowControl w:val="false"/>
      <w:suppressAutoHyphens w:val="false"/>
      <w:kinsoku w:val="true"/>
      <w:overflowPunct w:val="true"/>
      <w:autoSpaceDE w:val="tru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sz w:val="20"/>
      <w:szCs w:val="24"/>
      <w:u w:val="none"/>
      <w:em w:val="none"/>
      <w:lang w:val="en-US" w:eastAsia="zh-CN" w:bidi="hi-IN"/>
    </w:rPr>
  </w:style>
  <w:style w:type="paragraph" w:styleId="CellHeading">
    <w:name w:val="CellHeading"/>
    <w:qFormat/>
    <w:pPr>
      <w:widowControl w:val="false"/>
      <w:suppressAutoHyphens w:val="true"/>
      <w:kinsoku w:val="true"/>
      <w:overflowPunct w:val="true"/>
      <w:autoSpaceDE w:val="tru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sz w:val="18"/>
      <w:szCs w:val="24"/>
      <w:u w:val="none"/>
      <w:em w:val="none"/>
      <w:lang w:val="en-US" w:eastAsia="zh-CN" w:bidi="hi-IN"/>
    </w:rPr>
  </w:style>
  <w:style w:type="paragraph" w:styleId="CellBody">
    <w:name w:val="CellBody"/>
    <w:qFormat/>
    <w:pPr>
      <w:widowControl w:val="false"/>
      <w:suppressAutoHyphens w:val="true"/>
      <w:kinsoku w:val="true"/>
      <w:overflowPunct w:val="true"/>
      <w:autoSpaceDE w:val="true"/>
      <w:bidi w:val="0"/>
      <w:spacing w:lineRule="atLeast" w:line="200" w:before="0" w:after="0"/>
      <w:jc w:val="start"/>
      <w:textAlignment w:val="auto"/>
    </w:pPr>
    <w:rPr>
      <w:rFonts w:ascii="Times New Roman" w:hAnsi="Times New Roman" w:eastAsia="Marlett" w:cs="Arial"/>
      <w:b w:val="false"/>
      <w:i w:val="false"/>
      <w:strike w:val="false"/>
      <w:dstrike w:val="false"/>
      <w:color w:val="000000"/>
      <w:spacing w:val="0"/>
      <w:w w:val="100"/>
      <w:sz w:val="18"/>
      <w:szCs w:val="24"/>
      <w:u w:val="none"/>
      <w:em w:val="none"/>
      <w:lang w:val="en-US" w:eastAsia="zh-CN" w:bidi="hi-IN"/>
    </w:rPr>
  </w:style>
  <w:style w:type="paragraph" w:styleId="CellBodyCentered">
    <w:name w:val="CellBodyCentered"/>
    <w:qFormat/>
    <w:pPr>
      <w:widowControl w:val="false"/>
      <w:suppressAutoHyphens w:val="true"/>
      <w:kinsoku w:val="true"/>
      <w:overflowPunct w:val="true"/>
      <w:autoSpaceDE w:val="tru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kinsoku w:val="true"/>
      <w:overflowPunct w:val="true"/>
      <w:autoSpaceDE w:val="true"/>
      <w:bidi w:val="0"/>
      <w:spacing w:lineRule="atLeast" w:line="200" w:before="0" w:after="0"/>
      <w:ind w:hanging="720" w:start="720" w:end="0"/>
      <w:jc w:val="start"/>
      <w:textAlignment w:val="auto"/>
    </w:pPr>
    <w:rPr>
      <w:rFonts w:ascii="Courier New" w:hAnsi="Courier New" w:eastAsia="Marlett" w:cs="Arial"/>
      <w:b w:val="false"/>
      <w:i w:val="false"/>
      <w:strike w:val="false"/>
      <w:dstrike w:val="false"/>
      <w:color w:val="000000"/>
      <w:spacing w:val="0"/>
      <w:w w:val="100"/>
      <w:sz w:val="18"/>
      <w:szCs w:val="24"/>
      <w:u w:val="none"/>
      <w:em w:val="none"/>
      <w:lang w:val="en-US" w:eastAsia="zh-CN" w:bidi="hi-IN"/>
    </w:rPr>
  </w:style>
  <w:style w:type="paragraph" w:styleId="FootnoteText">
    <w:name w:val="Footnote Text"/>
    <w:basedOn w:val="Normal"/>
    <w:pPr>
      <w:suppressLineNumbers/>
      <w:ind w:hanging="340" w:star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40" w:before="240" w:after="0"/>
      <w:jc w:val="both"/>
    </w:pPr>
    <w:rPr>
      <w:rFonts w:ascii="Times New Roman" w:hAnsi="Times New Roman" w:eastAsia="Marlett" w:cs="Arial"/>
      <w:color w:val="000000"/>
      <w:sz w:val="20"/>
      <w:szCs w:val="24"/>
      <w:lang w:val="en-US" w:eastAsia="zh-CN" w:bidi="hi-IN"/>
    </w:rPr>
  </w:style>
  <w:style w:type="paragraph" w:styleId="TableText">
    <w:name w:val="TableText"/>
    <w:qFormat/>
    <w:pPr>
      <w:widowControl w:val="false"/>
      <w:suppressAutoHyphens w:val="true"/>
      <w:kinsoku w:val="true"/>
      <w:overflowPunct w:val="true"/>
      <w:autoSpaceDE w:val="true"/>
      <w:bidi w:val="0"/>
      <w:spacing w:lineRule="atLeast" w:line="200" w:before="0" w:after="0"/>
      <w:jc w:val="start"/>
    </w:pPr>
    <w:rPr>
      <w:rFonts w:ascii="Times New Roman" w:hAnsi="Times New Roman" w:eastAsia="DejaVu Sans" w:cs="Times New Roman"/>
      <w:color w:val="000000"/>
      <w:w w:val="100"/>
      <w:sz w:val="18"/>
      <w:szCs w:val="18"/>
      <w:lang w:eastAsia="en-AU" w:bidi="ar-SA"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580</TotalTime>
  <Application>LibreOffice/7.6.2.1$Linux_X86_64 LibreOffice_project/56f7684011345957bbf33a7ee678afaf4d2ba333</Application>
  <AppVersion>15.0000</AppVersion>
  <Pages>18</Pages>
  <Words>7118</Words>
  <Characters>31146</Characters>
  <CharactersWithSpaces>37860</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2023-10-16T14:35:10Z</dcterms:created>
  <dc:creator>Henry Ptasinski</dc:creator>
  <dc:description>Henry Ptasinski, Morse Micro</dc:description>
  <cp:keywords>November 2023</cp:keywords>
  <dc:language>en-US</dc:language>
  <cp:lastModifiedBy>Henry Ptasinski</cp:lastModifiedBy>
  <dcterms:modified xsi:type="dcterms:W3CDTF">2023-11-14T14:34:29Z</dcterms:modified>
  <cp:revision>13</cp:revision>
  <dc:subject>Submission</dc:subject>
  <dc:title>doc.: IEEE 802.11-23/1777r2</dc:title>
</cp:coreProperties>
</file>