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5268B260"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C95707">
              <w:rPr>
                <w:szCs w:val="20"/>
                <w:lang w:val="en-GB"/>
              </w:rPr>
              <w:t xml:space="preserve">A few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825BE0">
              <w:rPr>
                <w:szCs w:val="20"/>
                <w:lang w:val="en-GB"/>
              </w:rPr>
              <w:t xml:space="preserve">s on EMLSR </w:t>
            </w:r>
          </w:p>
        </w:tc>
      </w:tr>
      <w:tr w:rsidR="009C20D2" w14:paraId="68D93D0E" w14:textId="77777777" w:rsidTr="00CD721A">
        <w:trPr>
          <w:trHeight w:val="359"/>
          <w:jc w:val="center"/>
        </w:trPr>
        <w:tc>
          <w:tcPr>
            <w:tcW w:w="9634" w:type="dxa"/>
            <w:gridSpan w:val="5"/>
            <w:vAlign w:val="center"/>
          </w:tcPr>
          <w:p w14:paraId="362FF510" w14:textId="2C278FF7"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Pr="0092416F">
              <w:rPr>
                <w:b w:val="0"/>
                <w:sz w:val="20"/>
                <w:szCs w:val="20"/>
                <w:lang w:val="en-GB"/>
              </w:rPr>
              <w:t>-</w:t>
            </w:r>
            <w:r w:rsidR="006E53F0">
              <w:rPr>
                <w:b w:val="0"/>
                <w:sz w:val="20"/>
                <w:szCs w:val="20"/>
                <w:lang w:val="en-GB"/>
              </w:rPr>
              <w:t>10</w:t>
            </w:r>
            <w:r w:rsidRPr="0092416F">
              <w:rPr>
                <w:b w:val="0"/>
                <w:sz w:val="20"/>
                <w:szCs w:val="20"/>
                <w:lang w:val="en-GB"/>
              </w:rPr>
              <w:t>-</w:t>
            </w:r>
            <w:r w:rsidR="00C95707">
              <w:rPr>
                <w:b w:val="0"/>
                <w:sz w:val="20"/>
                <w:szCs w:val="20"/>
                <w:lang w:val="en-GB"/>
              </w:rPr>
              <w:t>1</w:t>
            </w:r>
            <w:r w:rsidR="006E53F0">
              <w:rPr>
                <w:b w:val="0"/>
                <w:sz w:val="20"/>
                <w:szCs w:val="20"/>
                <w:lang w:val="en-GB"/>
              </w:rPr>
              <w:t>3</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5D4B1C63" w:rsidR="00BF4452" w:rsidRDefault="00BF4452" w:rsidP="007A3876">
            <w:pPr>
              <w:rPr>
                <w:color w:val="000000"/>
                <w:sz w:val="20"/>
              </w:rPr>
            </w:pPr>
            <w:r>
              <w:rPr>
                <w:color w:val="000000"/>
                <w:sz w:val="20"/>
              </w:rPr>
              <w:t>Sindhu Verma</w:t>
            </w:r>
          </w:p>
        </w:tc>
        <w:tc>
          <w:tcPr>
            <w:tcW w:w="1721" w:type="dxa"/>
            <w:vAlign w:val="center"/>
          </w:tcPr>
          <w:p w14:paraId="71FE7A54" w14:textId="37E6A231"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Broadcom</w:t>
            </w: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225CC7A1" w:rsidR="00BF4452" w:rsidRDefault="00BF4452" w:rsidP="007A3876">
            <w:pP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1721" w:type="dxa"/>
            <w:vAlign w:val="center"/>
          </w:tcPr>
          <w:p w14:paraId="5234B7CD" w14:textId="1D524A2E" w:rsidR="00BF4452" w:rsidRDefault="00BF4452" w:rsidP="007A3876">
            <w:pPr>
              <w:pStyle w:val="T2"/>
              <w:spacing w:after="0"/>
              <w:ind w:left="0" w:right="0"/>
              <w:jc w:val="left"/>
              <w:rPr>
                <w:b w:val="0"/>
                <w:color w:val="000000"/>
                <w:sz w:val="20"/>
                <w:szCs w:val="20"/>
                <w:lang w:val="en-GB"/>
              </w:rPr>
            </w:pPr>
            <w:r>
              <w:rPr>
                <w:b w:val="0"/>
                <w:color w:val="000000"/>
                <w:sz w:val="20"/>
                <w:szCs w:val="20"/>
                <w:lang w:val="en-GB"/>
              </w:rPr>
              <w:t>Samsung Research America</w:t>
            </w: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46A3956E" w:rsidR="00C73F9D" w:rsidRDefault="00C73F9D" w:rsidP="007A3876">
            <w:pPr>
              <w:rPr>
                <w:color w:val="000000"/>
                <w:sz w:val="20"/>
              </w:rPr>
            </w:pPr>
            <w:proofErr w:type="spellStart"/>
            <w:r>
              <w:rPr>
                <w:color w:val="000000"/>
                <w:sz w:val="20"/>
              </w:rPr>
              <w:t>Minyoung</w:t>
            </w:r>
            <w:proofErr w:type="spellEnd"/>
            <w:r>
              <w:rPr>
                <w:color w:val="000000"/>
                <w:sz w:val="20"/>
              </w:rPr>
              <w:t xml:space="preserve"> Park</w:t>
            </w:r>
          </w:p>
        </w:tc>
        <w:tc>
          <w:tcPr>
            <w:tcW w:w="1721" w:type="dxa"/>
            <w:vAlign w:val="center"/>
          </w:tcPr>
          <w:p w14:paraId="0BC8531A" w14:textId="483CA958" w:rsidR="00C73F9D" w:rsidRDefault="00C73F9D" w:rsidP="007A3876">
            <w:pPr>
              <w:pStyle w:val="T2"/>
              <w:spacing w:after="0"/>
              <w:ind w:left="0" w:right="0"/>
              <w:jc w:val="left"/>
              <w:rPr>
                <w:b w:val="0"/>
                <w:color w:val="000000"/>
                <w:sz w:val="20"/>
                <w:szCs w:val="20"/>
                <w:lang w:val="en-GB"/>
              </w:rPr>
            </w:pPr>
            <w:r>
              <w:rPr>
                <w:b w:val="0"/>
                <w:color w:val="000000"/>
                <w:sz w:val="20"/>
                <w:szCs w:val="20"/>
                <w:lang w:val="en-GB"/>
              </w:rPr>
              <w:t>Intel</w:t>
            </w: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8D3C2C3"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w:t>
      </w:r>
      <w:r w:rsidR="00C95707">
        <w:t xml:space="preserve">5 </w:t>
      </w:r>
      <w:r w:rsidR="004A51E0">
        <w:t xml:space="preserve">CIDs </w:t>
      </w:r>
      <w:r w:rsidR="00454B75">
        <w:t xml:space="preserve"> </w:t>
      </w:r>
      <w:r w:rsidR="004306EF">
        <w:t>1</w:t>
      </w:r>
      <w:r w:rsidR="00F43F80">
        <w:t>9521</w:t>
      </w:r>
      <w:r w:rsidR="00423333">
        <w:t xml:space="preserve">, </w:t>
      </w:r>
      <w:r w:rsidR="004306EF">
        <w:t>1</w:t>
      </w:r>
      <w:r w:rsidR="00F43F80">
        <w:t>9522</w:t>
      </w:r>
      <w:r w:rsidR="00D96BFC">
        <w:t xml:space="preserve">, </w:t>
      </w:r>
      <w:r w:rsidR="00423333">
        <w:t>and 19904, all</w:t>
      </w:r>
      <w:r w:rsidR="00D96BFC">
        <w:t xml:space="preserve"> on </w:t>
      </w:r>
      <w:r w:rsidR="004306EF">
        <w:t>EMLSR</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7DD05735" w:rsidR="004A51E0" w:rsidRDefault="004A51E0" w:rsidP="004A51E0">
      <w:pPr>
        <w:jc w:val="both"/>
      </w:pPr>
      <w:r>
        <w:t xml:space="preserve">This submission proposes the resolutions to 11be </w:t>
      </w:r>
      <w:r w:rsidR="00CC0864">
        <w:t>LB27</w:t>
      </w:r>
      <w:r w:rsidR="006C064B">
        <w:t xml:space="preserve">5 </w:t>
      </w:r>
      <w:r w:rsidR="00CC0864">
        <w:t>CIDs  1</w:t>
      </w:r>
      <w:r w:rsidR="006C064B">
        <w:t>9521</w:t>
      </w:r>
      <w:r w:rsidR="00423333">
        <w:t xml:space="preserve">, </w:t>
      </w:r>
      <w:r w:rsidR="00FB411D">
        <w:t>1</w:t>
      </w:r>
      <w:r w:rsidR="006C064B">
        <w:t>9522</w:t>
      </w:r>
      <w:r w:rsidR="00FB411D">
        <w:t>,</w:t>
      </w:r>
      <w:r w:rsidR="00423333">
        <w:t xml:space="preserve"> and 19904, all</w:t>
      </w:r>
      <w:r w:rsidR="00577D62">
        <w:t xml:space="preserve"> </w:t>
      </w:r>
      <w:r w:rsidR="006C064B">
        <w:t>on</w:t>
      </w:r>
      <w:r w:rsidR="00825BE0">
        <w:t xml:space="preserve"> </w:t>
      </w:r>
      <w:r w:rsidR="00FB411D">
        <w:t>E</w:t>
      </w:r>
      <w:r w:rsidR="00093F62">
        <w:t>MLSR</w:t>
      </w:r>
      <w:r w:rsidR="00577D62">
        <w:t xml:space="preserve">.  </w:t>
      </w:r>
      <w:r w:rsidR="00CC0864">
        <w:t xml:space="preserve"> </w:t>
      </w:r>
    </w:p>
    <w:p w14:paraId="6A14EA92" w14:textId="77777777" w:rsidR="004A51E0" w:rsidRDefault="004A51E0" w:rsidP="004A51E0">
      <w:pPr>
        <w:jc w:val="both"/>
      </w:pPr>
    </w:p>
    <w:p w14:paraId="3F77DDC6" w14:textId="0142A23D" w:rsidR="004A51E0" w:rsidRDefault="004A51E0" w:rsidP="004A51E0">
      <w:r w:rsidRPr="0043534D">
        <w:t>The page and line numbers refer to those in 11</w:t>
      </w:r>
      <w:r>
        <w:t>be_D</w:t>
      </w:r>
      <w:r w:rsidR="006C064B">
        <w:t>4</w:t>
      </w:r>
      <w:r w:rsidR="00CC0864">
        <w:t>.</w:t>
      </w:r>
      <w:r w:rsidR="00C14D49">
        <w:t>1</w:t>
      </w:r>
      <w:r w:rsidRPr="0043534D">
        <w:t xml:space="preserve"> [1].</w:t>
      </w:r>
    </w:p>
    <w:p w14:paraId="5C5E3B8A" w14:textId="77777777" w:rsidR="00E426E0" w:rsidRDefault="00E426E0" w:rsidP="00137E63"/>
    <w:p w14:paraId="73013B43" w14:textId="114B605F" w:rsidR="00FC15EB" w:rsidRDefault="00FC15EB" w:rsidP="00137E63"/>
    <w:p w14:paraId="4C1F7E9E" w14:textId="7910FB56" w:rsidR="00FC15EB" w:rsidRDefault="00FC15EB" w:rsidP="00FC15EB">
      <w:pPr>
        <w:rPr>
          <w:rFonts w:eastAsia="Calibri"/>
          <w:b/>
        </w:rPr>
      </w:pPr>
      <w:r w:rsidRPr="002B5C3B">
        <w:rPr>
          <w:rFonts w:eastAsia="Calibri"/>
          <w:b/>
        </w:rPr>
        <w:t xml:space="preserve">Comment: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4A51E0" w14:paraId="08A39E81" w14:textId="77777777" w:rsidTr="006A7DB4">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180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6A7DB4">
        <w:trPr>
          <w:trHeight w:val="842"/>
        </w:trPr>
        <w:tc>
          <w:tcPr>
            <w:tcW w:w="810" w:type="dxa"/>
          </w:tcPr>
          <w:p w14:paraId="3C87C2B9" w14:textId="031F1331" w:rsidR="00936DCB" w:rsidRDefault="00997FC6" w:rsidP="00744246">
            <w:pPr>
              <w:rPr>
                <w:rFonts w:asciiTheme="minorHAnsi" w:eastAsia="Calibri" w:hAnsiTheme="minorHAnsi" w:cstheme="minorHAnsi"/>
                <w:sz w:val="22"/>
                <w:szCs w:val="22"/>
              </w:rPr>
            </w:pPr>
            <w:r>
              <w:rPr>
                <w:rFonts w:asciiTheme="minorHAnsi" w:eastAsia="Calibri" w:hAnsiTheme="minorHAnsi" w:cstheme="minorHAnsi"/>
                <w:sz w:val="22"/>
                <w:szCs w:val="22"/>
              </w:rPr>
              <w:t>19521</w:t>
            </w:r>
          </w:p>
        </w:tc>
        <w:tc>
          <w:tcPr>
            <w:tcW w:w="900" w:type="dxa"/>
          </w:tcPr>
          <w:p w14:paraId="3F46051B" w14:textId="46F350A6" w:rsidR="00936DCB" w:rsidRDefault="00997FC6"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43970FBB" w:rsidR="00936DCB" w:rsidRDefault="00FB411D" w:rsidP="00976A31">
            <w:pPr>
              <w:rPr>
                <w:rFonts w:ascii="Arial" w:hAnsi="Arial" w:cs="Arial"/>
                <w:sz w:val="20"/>
                <w:szCs w:val="20"/>
              </w:rPr>
            </w:pPr>
            <w:r>
              <w:rPr>
                <w:rFonts w:ascii="Arial" w:hAnsi="Arial" w:cs="Arial"/>
                <w:sz w:val="20"/>
                <w:szCs w:val="20"/>
              </w:rPr>
              <w:t>5</w:t>
            </w:r>
            <w:r w:rsidR="00997FC6">
              <w:rPr>
                <w:rFonts w:ascii="Arial" w:hAnsi="Arial" w:cs="Arial"/>
                <w:sz w:val="20"/>
                <w:szCs w:val="20"/>
              </w:rPr>
              <w:t>64</w:t>
            </w:r>
            <w:r>
              <w:rPr>
                <w:rFonts w:ascii="Arial" w:hAnsi="Arial" w:cs="Arial"/>
                <w:sz w:val="20"/>
                <w:szCs w:val="20"/>
              </w:rPr>
              <w:t>.</w:t>
            </w:r>
            <w:r w:rsidR="00997FC6">
              <w:rPr>
                <w:rFonts w:ascii="Arial" w:hAnsi="Arial" w:cs="Arial"/>
                <w:sz w:val="20"/>
                <w:szCs w:val="20"/>
              </w:rPr>
              <w:t>35</w:t>
            </w:r>
          </w:p>
        </w:tc>
        <w:tc>
          <w:tcPr>
            <w:tcW w:w="990" w:type="dxa"/>
          </w:tcPr>
          <w:p w14:paraId="0A42CEE4" w14:textId="573C7BC7" w:rsidR="00936DCB" w:rsidRDefault="00FB411D" w:rsidP="004A51E0">
            <w:pPr>
              <w:rPr>
                <w:rFonts w:asciiTheme="minorHAnsi" w:eastAsia="Calibri" w:hAnsiTheme="minorHAnsi" w:cstheme="minorHAnsi"/>
                <w:sz w:val="22"/>
                <w:szCs w:val="22"/>
              </w:rPr>
            </w:pPr>
            <w:r w:rsidRPr="00FB411D">
              <w:rPr>
                <w:rFonts w:asciiTheme="minorHAnsi" w:eastAsia="Calibri" w:hAnsiTheme="minorHAnsi" w:cstheme="minorHAnsi"/>
                <w:sz w:val="22"/>
                <w:szCs w:val="22"/>
              </w:rPr>
              <w:t>35.3.</w:t>
            </w:r>
            <w:r w:rsidR="00997FC6">
              <w:rPr>
                <w:rFonts w:asciiTheme="minorHAnsi" w:eastAsia="Calibri" w:hAnsiTheme="minorHAnsi" w:cstheme="minorHAnsi"/>
                <w:sz w:val="22"/>
                <w:szCs w:val="22"/>
              </w:rPr>
              <w:t>17</w:t>
            </w:r>
          </w:p>
        </w:tc>
        <w:tc>
          <w:tcPr>
            <w:tcW w:w="3510" w:type="dxa"/>
          </w:tcPr>
          <w:p w14:paraId="4007A76B" w14:textId="1EC21A9F" w:rsidR="00936DCB" w:rsidRPr="00976A31" w:rsidRDefault="00997FC6" w:rsidP="004A51E0">
            <w:pPr>
              <w:rPr>
                <w:rFonts w:asciiTheme="minorHAnsi" w:eastAsia="Calibri" w:hAnsiTheme="minorHAnsi" w:cstheme="minorHAnsi"/>
                <w:sz w:val="22"/>
                <w:szCs w:val="22"/>
              </w:rPr>
            </w:pPr>
            <w:r w:rsidRPr="00997FC6">
              <w:rPr>
                <w:rFonts w:asciiTheme="minorHAnsi" w:eastAsia="Calibri" w:hAnsiTheme="minorHAnsi" w:cstheme="minorHAnsi"/>
                <w:sz w:val="22"/>
                <w:szCs w:val="22"/>
              </w:rPr>
              <w:t>"A non-AP MLD may set the In-Device Coexistence Activities subfield of the EML Control field of the EML Operating Mode Notification frame to 1 to indicate that it has in-device coexistence activities on the EMLSR links, and to 0 to indicate that it has no, or does not know whether it has, in- device coexistence activities on the EMLSR link(s)."  A non-AP MLD may need to update the setting of the In-Device Coexistence Activities subfield during the EMLSR operation.</w:t>
            </w:r>
          </w:p>
        </w:tc>
        <w:tc>
          <w:tcPr>
            <w:tcW w:w="1800" w:type="dxa"/>
          </w:tcPr>
          <w:p w14:paraId="00AE7C42" w14:textId="0090D39E" w:rsidR="00CC0864" w:rsidRPr="00CC0864" w:rsidRDefault="00997FC6" w:rsidP="00CC0864">
            <w:pPr>
              <w:rPr>
                <w:rFonts w:asciiTheme="minorHAnsi" w:hAnsiTheme="minorHAnsi" w:cstheme="minorHAnsi"/>
                <w:sz w:val="22"/>
                <w:szCs w:val="22"/>
              </w:rPr>
            </w:pPr>
            <w:r w:rsidRPr="00997FC6">
              <w:rPr>
                <w:rFonts w:asciiTheme="minorHAnsi" w:hAnsiTheme="minorHAnsi" w:cstheme="minorHAnsi"/>
                <w:sz w:val="22"/>
                <w:szCs w:val="22"/>
              </w:rPr>
              <w:t>After the cited text, please add a new sentence: "During the EMLSR operation, a non-AP MLD may transmit an EML Operating Mode Notification frame to modify the value of the In-Device Coexistence Activities subfield of the EML Control field of the EML Operating Mode Notification frame."</w:t>
            </w:r>
          </w:p>
        </w:tc>
        <w:tc>
          <w:tcPr>
            <w:tcW w:w="2610" w:type="dxa"/>
            <w:vAlign w:val="center"/>
          </w:tcPr>
          <w:p w14:paraId="6394A156" w14:textId="6093B669" w:rsidR="000D3C6A"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4370D8D" w14:textId="77777777" w:rsidR="00D23818" w:rsidRDefault="00D23818" w:rsidP="00744246">
            <w:pPr>
              <w:rPr>
                <w:rFonts w:asciiTheme="minorHAnsi" w:eastAsia="Calibri" w:hAnsiTheme="minorHAnsi" w:cstheme="minorHAnsi"/>
                <w:sz w:val="22"/>
                <w:szCs w:val="22"/>
              </w:rPr>
            </w:pPr>
          </w:p>
          <w:p w14:paraId="11C25DE1" w14:textId="1ED5019F" w:rsidR="00D23818" w:rsidRDefault="00D23818"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w:t>
            </w:r>
            <w:r w:rsidR="00256AB0">
              <w:rPr>
                <w:rFonts w:asciiTheme="minorHAnsi" w:eastAsia="Calibri" w:hAnsiTheme="minorHAnsi" w:cstheme="minorHAnsi"/>
                <w:sz w:val="22"/>
                <w:szCs w:val="22"/>
              </w:rPr>
              <w:t>that</w:t>
            </w:r>
            <w:r w:rsidR="00725D83">
              <w:rPr>
                <w:rFonts w:asciiTheme="minorHAnsi" w:eastAsia="Calibri" w:hAnsiTheme="minorHAnsi" w:cstheme="minorHAnsi"/>
                <w:sz w:val="22"/>
                <w:szCs w:val="22"/>
              </w:rPr>
              <w:t xml:space="preserve"> the </w:t>
            </w:r>
            <w:r w:rsidR="00725D83" w:rsidRPr="00997FC6">
              <w:rPr>
                <w:rFonts w:asciiTheme="minorHAnsi" w:hAnsiTheme="minorHAnsi" w:cstheme="minorHAnsi"/>
                <w:sz w:val="22"/>
                <w:szCs w:val="22"/>
              </w:rPr>
              <w:t>In-Device Coexistence Activities subfield of the EML Control field of the EML Operating Mode Notification frame</w:t>
            </w:r>
            <w:r w:rsidR="00725D83">
              <w:rPr>
                <w:rFonts w:asciiTheme="minorHAnsi" w:hAnsiTheme="minorHAnsi" w:cstheme="minorHAnsi"/>
                <w:sz w:val="22"/>
                <w:szCs w:val="22"/>
              </w:rPr>
              <w:t xml:space="preserve"> can be updated after the initial setting</w:t>
            </w:r>
            <w:r w:rsidR="000A3836">
              <w:rPr>
                <w:rFonts w:asciiTheme="minorHAnsi" w:hAnsiTheme="minorHAnsi" w:cstheme="minorHAnsi"/>
                <w:sz w:val="22"/>
                <w:szCs w:val="22"/>
              </w:rPr>
              <w:t xml:space="preserve">.  In addition, the 11be spec needs to specify that </w:t>
            </w:r>
            <w:r w:rsidR="00725D83">
              <w:rPr>
                <w:rFonts w:asciiTheme="minorHAnsi" w:hAnsiTheme="minorHAnsi" w:cstheme="minorHAnsi"/>
                <w:sz w:val="22"/>
                <w:szCs w:val="22"/>
              </w:rPr>
              <w:t xml:space="preserve">this field is reserved in the EML Operating Mode Notification frame transmitted by an AP affiliated with an AP MLD. </w:t>
            </w:r>
          </w:p>
          <w:p w14:paraId="34D2743A" w14:textId="77777777" w:rsidR="00D23818" w:rsidRDefault="00D23818" w:rsidP="00744246">
            <w:pPr>
              <w:rPr>
                <w:rFonts w:asciiTheme="minorHAnsi" w:eastAsia="Calibri" w:hAnsiTheme="minorHAnsi" w:cstheme="minorHAnsi"/>
                <w:sz w:val="22"/>
                <w:szCs w:val="22"/>
              </w:rPr>
            </w:pPr>
          </w:p>
          <w:p w14:paraId="40E18EEC" w14:textId="0C8FBD32" w:rsidR="00D23818" w:rsidRDefault="00D23818"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w:t>
            </w:r>
            <w:r w:rsidR="00315FA7">
              <w:rPr>
                <w:rFonts w:asciiTheme="minorHAnsi" w:eastAsia="Calibri" w:hAnsiTheme="minorHAnsi" w:cstheme="minorHAnsi"/>
                <w:sz w:val="22"/>
                <w:szCs w:val="22"/>
              </w:rPr>
              <w:t>tagged</w:t>
            </w:r>
            <w:r>
              <w:rPr>
                <w:rFonts w:asciiTheme="minorHAnsi" w:eastAsia="Calibri" w:hAnsiTheme="minorHAnsi" w:cstheme="minorHAnsi"/>
                <w:sz w:val="22"/>
                <w:szCs w:val="22"/>
              </w:rPr>
              <w:t xml:space="preserve"> with 1</w:t>
            </w:r>
            <w:r w:rsidR="00997FC6">
              <w:rPr>
                <w:rFonts w:asciiTheme="minorHAnsi" w:eastAsia="Calibri" w:hAnsiTheme="minorHAnsi" w:cstheme="minorHAnsi"/>
                <w:sz w:val="22"/>
                <w:szCs w:val="22"/>
              </w:rPr>
              <w:t>9521</w:t>
            </w:r>
            <w:r>
              <w:rPr>
                <w:rFonts w:asciiTheme="minorHAnsi" w:eastAsia="Calibri" w:hAnsiTheme="minorHAnsi" w:cstheme="minorHAnsi"/>
                <w:sz w:val="22"/>
                <w:szCs w:val="22"/>
              </w:rPr>
              <w:t xml:space="preserve"> in this document.  </w:t>
            </w:r>
          </w:p>
        </w:tc>
      </w:tr>
    </w:tbl>
    <w:p w14:paraId="5C0BB8E6" w14:textId="77777777" w:rsidR="00FB411D" w:rsidRPr="00372482" w:rsidRDefault="00FB411D" w:rsidP="00372482">
      <w:pPr>
        <w:rPr>
          <w:b/>
          <w:sz w:val="28"/>
          <w:szCs w:val="28"/>
          <w:lang w:eastAsia="en-US"/>
        </w:rPr>
      </w:pPr>
    </w:p>
    <w:p w14:paraId="6B8F2386" w14:textId="5A184E72" w:rsidR="00A92F70" w:rsidRPr="00A92F70" w:rsidRDefault="00A92F70" w:rsidP="00A92F70">
      <w:pPr>
        <w:spacing w:before="100" w:beforeAutospacing="1" w:after="100" w:afterAutospacing="1"/>
        <w:rPr>
          <w:rFonts w:ascii="Arial" w:hAnsi="Arial" w:cs="Arial"/>
          <w:b/>
          <w:bCs/>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sidR="009F1401">
        <w:rPr>
          <w:b/>
          <w:i/>
          <w:iCs/>
          <w:color w:val="FF0000"/>
          <w:sz w:val="22"/>
          <w:szCs w:val="22"/>
          <w:highlight w:val="yellow"/>
        </w:rPr>
        <w:t>4</w:t>
      </w:r>
      <w:r w:rsidRPr="00A92F70">
        <w:rPr>
          <w:b/>
          <w:i/>
          <w:iCs/>
          <w:color w:val="FF0000"/>
          <w:sz w:val="22"/>
          <w:szCs w:val="22"/>
          <w:highlight w:val="yellow"/>
        </w:rPr>
        <w:t>.</w:t>
      </w:r>
      <w:r w:rsidR="00492EF8">
        <w:rPr>
          <w:b/>
          <w:i/>
          <w:iCs/>
          <w:color w:val="FF0000"/>
          <w:sz w:val="22"/>
          <w:szCs w:val="22"/>
          <w:highlight w:val="yellow"/>
        </w:rPr>
        <w:t>1 (#19521)</w:t>
      </w:r>
      <w:r w:rsidRPr="00A92F70">
        <w:rPr>
          <w:b/>
          <w:i/>
          <w:iCs/>
          <w:color w:val="FF0000"/>
          <w:sz w:val="22"/>
          <w:szCs w:val="22"/>
          <w:highlight w:val="yellow"/>
        </w:rPr>
        <w:t>.</w:t>
      </w:r>
      <w:r w:rsidRPr="00A92F70">
        <w:rPr>
          <w:b/>
          <w:i/>
          <w:iCs/>
          <w:color w:val="FF0000"/>
          <w:sz w:val="22"/>
          <w:szCs w:val="22"/>
        </w:rPr>
        <w:t xml:space="preserve"> </w:t>
      </w:r>
    </w:p>
    <w:p w14:paraId="11726ED4" w14:textId="77777777" w:rsidR="00AC5EE0" w:rsidRPr="00AC5EE0" w:rsidRDefault="00AC5EE0" w:rsidP="00AC5EE0">
      <w:pPr>
        <w:spacing w:before="100" w:beforeAutospacing="1" w:after="100" w:afterAutospacing="1"/>
      </w:pPr>
      <w:r w:rsidRPr="00AC5EE0">
        <w:rPr>
          <w:rFonts w:ascii="Arial" w:hAnsi="Arial" w:cs="Arial"/>
          <w:b/>
          <w:bCs/>
          <w:sz w:val="20"/>
          <w:szCs w:val="20"/>
        </w:rPr>
        <w:t xml:space="preserve">9.4.1.70 EML Control field </w:t>
      </w:r>
    </w:p>
    <w:p w14:paraId="4F483B17" w14:textId="3E5BF75A" w:rsidR="00AC5EE0" w:rsidRDefault="00AC5EE0" w:rsidP="00AC5EE0">
      <w:pPr>
        <w:rPr>
          <w:rFonts w:ascii="TimesNewRomanPSMT" w:hAnsi="TimesNewRomanPSMT"/>
          <w:sz w:val="20"/>
          <w:szCs w:val="20"/>
        </w:rPr>
      </w:pPr>
      <w:r w:rsidRPr="00AC5EE0">
        <w:rPr>
          <w:rFonts w:ascii="TimesNewRomanPSMT" w:hAnsi="TimesNewRomanPSMT"/>
          <w:sz w:val="20"/>
          <w:szCs w:val="20"/>
        </w:rPr>
        <w:t xml:space="preserve">The EML Control field is defined in Figure 9-189b (EML Control field format). </w:t>
      </w:r>
    </w:p>
    <w:p w14:paraId="4979BD2D" w14:textId="77777777" w:rsidR="00AC5EE0" w:rsidRPr="004B730B" w:rsidRDefault="00AC5EE0" w:rsidP="00AC5EE0">
      <w:pPr>
        <w:rPr>
          <w:b/>
          <w:i/>
          <w:color w:val="FF0000"/>
          <w:sz w:val="22"/>
          <w:szCs w:val="22"/>
        </w:rPr>
      </w:pPr>
    </w:p>
    <w:tbl>
      <w:tblPr>
        <w:tblStyle w:val="TableGrid"/>
        <w:tblW w:w="0" w:type="auto"/>
        <w:tblLook w:val="04A0" w:firstRow="1" w:lastRow="0" w:firstColumn="1" w:lastColumn="0" w:noHBand="0" w:noVBand="1"/>
      </w:tblPr>
      <w:tblGrid>
        <w:gridCol w:w="595"/>
        <w:gridCol w:w="908"/>
        <w:gridCol w:w="969"/>
        <w:gridCol w:w="1034"/>
        <w:gridCol w:w="1194"/>
        <w:gridCol w:w="961"/>
        <w:gridCol w:w="1672"/>
        <w:gridCol w:w="858"/>
        <w:gridCol w:w="1106"/>
      </w:tblGrid>
      <w:tr w:rsidR="00AC5EE0" w:rsidRPr="00D42BAC" w14:paraId="009BEB58" w14:textId="77777777" w:rsidTr="008C0D14">
        <w:tc>
          <w:tcPr>
            <w:tcW w:w="650" w:type="dxa"/>
            <w:tcBorders>
              <w:top w:val="nil"/>
              <w:left w:val="nil"/>
              <w:bottom w:val="nil"/>
              <w:right w:val="nil"/>
            </w:tcBorders>
          </w:tcPr>
          <w:p w14:paraId="3F8DE288" w14:textId="77777777" w:rsidR="00AC5EE0" w:rsidRPr="00D42BAC" w:rsidRDefault="00AC5EE0" w:rsidP="002B6F9D">
            <w:pPr>
              <w:rPr>
                <w:bCs/>
                <w:iCs/>
                <w:color w:val="000000" w:themeColor="text1"/>
                <w:sz w:val="20"/>
                <w:szCs w:val="20"/>
              </w:rPr>
            </w:pPr>
          </w:p>
        </w:tc>
        <w:tc>
          <w:tcPr>
            <w:tcW w:w="933" w:type="dxa"/>
            <w:tcBorders>
              <w:top w:val="nil"/>
              <w:left w:val="nil"/>
              <w:right w:val="nil"/>
            </w:tcBorders>
          </w:tcPr>
          <w:p w14:paraId="413846D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B0</w:t>
            </w:r>
          </w:p>
        </w:tc>
        <w:tc>
          <w:tcPr>
            <w:tcW w:w="988" w:type="dxa"/>
            <w:tcBorders>
              <w:top w:val="nil"/>
              <w:left w:val="nil"/>
              <w:right w:val="nil"/>
            </w:tcBorders>
          </w:tcPr>
          <w:p w14:paraId="27033C64"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B1</w:t>
            </w:r>
          </w:p>
        </w:tc>
        <w:tc>
          <w:tcPr>
            <w:tcW w:w="1042" w:type="dxa"/>
            <w:tcBorders>
              <w:top w:val="nil"/>
              <w:left w:val="nil"/>
              <w:right w:val="nil"/>
            </w:tcBorders>
          </w:tcPr>
          <w:p w14:paraId="42309355"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B2</w:t>
            </w:r>
          </w:p>
        </w:tc>
        <w:tc>
          <w:tcPr>
            <w:tcW w:w="1067" w:type="dxa"/>
            <w:tcBorders>
              <w:top w:val="nil"/>
              <w:left w:val="nil"/>
              <w:right w:val="nil"/>
            </w:tcBorders>
          </w:tcPr>
          <w:p w14:paraId="4218358B" w14:textId="7A9598E2" w:rsidR="00AC5EE0" w:rsidRPr="00D42BAC" w:rsidRDefault="00AC5EE0" w:rsidP="002B6F9D">
            <w:pPr>
              <w:rPr>
                <w:bCs/>
                <w:iCs/>
                <w:color w:val="000000" w:themeColor="text1"/>
                <w:sz w:val="20"/>
                <w:szCs w:val="20"/>
              </w:rPr>
            </w:pPr>
            <w:r>
              <w:rPr>
                <w:bCs/>
                <w:iCs/>
                <w:color w:val="000000" w:themeColor="text1"/>
                <w:sz w:val="20"/>
                <w:szCs w:val="20"/>
              </w:rPr>
              <w:t>B3</w:t>
            </w:r>
          </w:p>
        </w:tc>
        <w:tc>
          <w:tcPr>
            <w:tcW w:w="883" w:type="dxa"/>
            <w:tcBorders>
              <w:top w:val="nil"/>
              <w:left w:val="nil"/>
              <w:right w:val="nil"/>
            </w:tcBorders>
          </w:tcPr>
          <w:p w14:paraId="5C90F6E6" w14:textId="3517783D" w:rsidR="00AC5EE0" w:rsidRPr="00D42BAC" w:rsidRDefault="00AC5EE0" w:rsidP="002B6F9D">
            <w:pPr>
              <w:rPr>
                <w:bCs/>
                <w:iCs/>
                <w:color w:val="000000" w:themeColor="text1"/>
                <w:sz w:val="20"/>
                <w:szCs w:val="20"/>
              </w:rPr>
            </w:pPr>
            <w:r w:rsidRPr="00D42BAC">
              <w:rPr>
                <w:bCs/>
                <w:iCs/>
                <w:color w:val="000000" w:themeColor="text1"/>
                <w:sz w:val="20"/>
                <w:szCs w:val="20"/>
              </w:rPr>
              <w:t>B</w:t>
            </w:r>
            <w:r>
              <w:rPr>
                <w:bCs/>
                <w:iCs/>
                <w:color w:val="000000" w:themeColor="text1"/>
                <w:sz w:val="20"/>
                <w:szCs w:val="20"/>
              </w:rPr>
              <w:t>4</w:t>
            </w:r>
            <w:r w:rsidRPr="00D42BAC">
              <w:rPr>
                <w:bCs/>
                <w:iCs/>
                <w:color w:val="000000" w:themeColor="text1"/>
                <w:sz w:val="20"/>
                <w:szCs w:val="20"/>
              </w:rPr>
              <w:t xml:space="preserve"> </w:t>
            </w:r>
            <w:r>
              <w:rPr>
                <w:bCs/>
                <w:iCs/>
                <w:color w:val="000000" w:themeColor="text1"/>
                <w:sz w:val="20"/>
                <w:szCs w:val="20"/>
              </w:rPr>
              <w:t xml:space="preserve">    </w:t>
            </w:r>
            <w:r w:rsidRPr="00D42BAC">
              <w:rPr>
                <w:bCs/>
                <w:iCs/>
                <w:color w:val="000000" w:themeColor="text1"/>
                <w:sz w:val="20"/>
                <w:szCs w:val="20"/>
              </w:rPr>
              <w:t>B7</w:t>
            </w:r>
          </w:p>
        </w:tc>
        <w:tc>
          <w:tcPr>
            <w:tcW w:w="1672" w:type="dxa"/>
            <w:tcBorders>
              <w:top w:val="nil"/>
              <w:left w:val="nil"/>
              <w:right w:val="nil"/>
            </w:tcBorders>
          </w:tcPr>
          <w:p w14:paraId="405CB949" w14:textId="77777777" w:rsidR="00AC5EE0" w:rsidRPr="00D42BAC" w:rsidRDefault="00AC5EE0" w:rsidP="002B6F9D">
            <w:pPr>
              <w:jc w:val="center"/>
              <w:rPr>
                <w:bCs/>
                <w:iCs/>
                <w:color w:val="000000" w:themeColor="text1"/>
                <w:sz w:val="20"/>
                <w:szCs w:val="20"/>
              </w:rPr>
            </w:pPr>
          </w:p>
        </w:tc>
        <w:tc>
          <w:tcPr>
            <w:tcW w:w="888" w:type="dxa"/>
            <w:tcBorders>
              <w:top w:val="nil"/>
              <w:left w:val="nil"/>
              <w:right w:val="nil"/>
            </w:tcBorders>
          </w:tcPr>
          <w:p w14:paraId="403CF64B" w14:textId="77777777" w:rsidR="00AC5EE0" w:rsidRPr="00D42BAC" w:rsidRDefault="00AC5EE0" w:rsidP="002B6F9D">
            <w:pPr>
              <w:rPr>
                <w:bCs/>
                <w:iCs/>
                <w:color w:val="000000" w:themeColor="text1"/>
                <w:sz w:val="20"/>
                <w:szCs w:val="20"/>
              </w:rPr>
            </w:pPr>
          </w:p>
        </w:tc>
        <w:tc>
          <w:tcPr>
            <w:tcW w:w="1174" w:type="dxa"/>
            <w:tcBorders>
              <w:top w:val="nil"/>
              <w:left w:val="nil"/>
              <w:right w:val="nil"/>
            </w:tcBorders>
          </w:tcPr>
          <w:p w14:paraId="7DC16DBD" w14:textId="77777777" w:rsidR="00AC5EE0" w:rsidRPr="00D42BAC" w:rsidRDefault="00AC5EE0" w:rsidP="002B6F9D">
            <w:pPr>
              <w:rPr>
                <w:bCs/>
                <w:iCs/>
                <w:color w:val="000000" w:themeColor="text1"/>
                <w:sz w:val="20"/>
                <w:szCs w:val="20"/>
              </w:rPr>
            </w:pPr>
            <w:r w:rsidRPr="00D42BAC">
              <w:rPr>
                <w:bCs/>
                <w:iCs/>
                <w:color w:val="000000" w:themeColor="text1"/>
                <w:sz w:val="20"/>
                <w:szCs w:val="20"/>
              </w:rPr>
              <w:t xml:space="preserve">     </w:t>
            </w:r>
          </w:p>
        </w:tc>
      </w:tr>
      <w:tr w:rsidR="00AC5EE0" w:rsidRPr="00D42BAC" w14:paraId="5B03B80B" w14:textId="77777777" w:rsidTr="008C0D14">
        <w:trPr>
          <w:trHeight w:val="488"/>
        </w:trPr>
        <w:tc>
          <w:tcPr>
            <w:tcW w:w="650" w:type="dxa"/>
            <w:tcBorders>
              <w:top w:val="nil"/>
              <w:left w:val="nil"/>
              <w:bottom w:val="nil"/>
            </w:tcBorders>
          </w:tcPr>
          <w:p w14:paraId="78A02FDC" w14:textId="77777777" w:rsidR="00AC5EE0" w:rsidRPr="00D42BAC" w:rsidRDefault="00AC5EE0" w:rsidP="002B6F9D">
            <w:pPr>
              <w:rPr>
                <w:bCs/>
                <w:iCs/>
                <w:color w:val="000000" w:themeColor="text1"/>
                <w:sz w:val="20"/>
                <w:szCs w:val="20"/>
              </w:rPr>
            </w:pPr>
          </w:p>
        </w:tc>
        <w:tc>
          <w:tcPr>
            <w:tcW w:w="933" w:type="dxa"/>
            <w:tcBorders>
              <w:bottom w:val="single" w:sz="4" w:space="0" w:color="auto"/>
            </w:tcBorders>
          </w:tcPr>
          <w:p w14:paraId="3459012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EMLSR Mode</w:t>
            </w:r>
          </w:p>
        </w:tc>
        <w:tc>
          <w:tcPr>
            <w:tcW w:w="988" w:type="dxa"/>
            <w:tcBorders>
              <w:bottom w:val="single" w:sz="4" w:space="0" w:color="auto"/>
            </w:tcBorders>
          </w:tcPr>
          <w:p w14:paraId="558E590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Mode</w:t>
            </w:r>
          </w:p>
        </w:tc>
        <w:tc>
          <w:tcPr>
            <w:tcW w:w="1042" w:type="dxa"/>
            <w:tcBorders>
              <w:bottom w:val="single" w:sz="4" w:space="0" w:color="auto"/>
            </w:tcBorders>
          </w:tcPr>
          <w:p w14:paraId="50FA91A0" w14:textId="77777777" w:rsidR="00AC5EE0" w:rsidRPr="00D42BAC" w:rsidRDefault="00AC5EE0" w:rsidP="002B6F9D">
            <w:pPr>
              <w:rPr>
                <w:bCs/>
                <w:iCs/>
                <w:color w:val="000000" w:themeColor="text1"/>
                <w:sz w:val="20"/>
                <w:szCs w:val="20"/>
              </w:rPr>
            </w:pPr>
            <w:r>
              <w:rPr>
                <w:bCs/>
                <w:iCs/>
                <w:color w:val="000000" w:themeColor="text1"/>
                <w:sz w:val="20"/>
                <w:szCs w:val="20"/>
              </w:rPr>
              <w:t>EMLSR Parameter Update Control</w:t>
            </w:r>
          </w:p>
        </w:tc>
        <w:tc>
          <w:tcPr>
            <w:tcW w:w="1067" w:type="dxa"/>
            <w:tcBorders>
              <w:bottom w:val="single" w:sz="4" w:space="0" w:color="auto"/>
            </w:tcBorders>
          </w:tcPr>
          <w:p w14:paraId="46BC775C" w14:textId="5B3F7383" w:rsidR="00AC5EE0" w:rsidRPr="00D42BAC" w:rsidRDefault="0042797D" w:rsidP="002B6F9D">
            <w:pPr>
              <w:rPr>
                <w:bCs/>
                <w:iCs/>
                <w:color w:val="000000" w:themeColor="text1"/>
                <w:sz w:val="20"/>
                <w:szCs w:val="20"/>
              </w:rPr>
            </w:pPr>
            <w:r>
              <w:rPr>
                <w:bCs/>
                <w:iCs/>
                <w:color w:val="000000" w:themeColor="text1"/>
                <w:sz w:val="20"/>
                <w:szCs w:val="20"/>
              </w:rPr>
              <w:t xml:space="preserve">In-device </w:t>
            </w:r>
            <w:r w:rsidR="00090E04">
              <w:rPr>
                <w:bCs/>
                <w:iCs/>
                <w:color w:val="000000" w:themeColor="text1"/>
                <w:sz w:val="20"/>
                <w:szCs w:val="20"/>
              </w:rPr>
              <w:t>C</w:t>
            </w:r>
            <w:r w:rsidR="00AC5EE0">
              <w:rPr>
                <w:bCs/>
                <w:iCs/>
                <w:color w:val="000000" w:themeColor="text1"/>
                <w:sz w:val="20"/>
                <w:szCs w:val="20"/>
              </w:rPr>
              <w:t xml:space="preserve">oexistence </w:t>
            </w:r>
            <w:r w:rsidR="00090E04">
              <w:rPr>
                <w:bCs/>
                <w:iCs/>
                <w:color w:val="000000" w:themeColor="text1"/>
                <w:sz w:val="20"/>
                <w:szCs w:val="20"/>
              </w:rPr>
              <w:t>A</w:t>
            </w:r>
            <w:r w:rsidR="00AC5EE0">
              <w:rPr>
                <w:bCs/>
                <w:iCs/>
                <w:color w:val="000000" w:themeColor="text1"/>
                <w:sz w:val="20"/>
                <w:szCs w:val="20"/>
              </w:rPr>
              <w:t>ctivit</w:t>
            </w:r>
            <w:r w:rsidR="003B340D">
              <w:rPr>
                <w:bCs/>
                <w:iCs/>
                <w:color w:val="000000" w:themeColor="text1"/>
                <w:sz w:val="20"/>
                <w:szCs w:val="20"/>
              </w:rPr>
              <w:t>ies</w:t>
            </w:r>
          </w:p>
        </w:tc>
        <w:tc>
          <w:tcPr>
            <w:tcW w:w="883" w:type="dxa"/>
            <w:tcBorders>
              <w:bottom w:val="single" w:sz="4" w:space="0" w:color="auto"/>
            </w:tcBorders>
          </w:tcPr>
          <w:p w14:paraId="37B17B6C" w14:textId="35CAF8ED" w:rsidR="00AC5EE0" w:rsidRPr="00D42BAC" w:rsidRDefault="00AC5EE0" w:rsidP="002B6F9D">
            <w:pPr>
              <w:rPr>
                <w:bCs/>
                <w:iCs/>
                <w:color w:val="000000" w:themeColor="text1"/>
                <w:sz w:val="20"/>
                <w:szCs w:val="20"/>
              </w:rPr>
            </w:pPr>
            <w:r w:rsidRPr="00D42BAC">
              <w:rPr>
                <w:bCs/>
                <w:iCs/>
                <w:color w:val="000000" w:themeColor="text1"/>
                <w:sz w:val="20"/>
                <w:szCs w:val="20"/>
              </w:rPr>
              <w:t>Reserved</w:t>
            </w:r>
          </w:p>
        </w:tc>
        <w:tc>
          <w:tcPr>
            <w:tcW w:w="1672" w:type="dxa"/>
            <w:tcBorders>
              <w:bottom w:val="single" w:sz="4" w:space="0" w:color="auto"/>
            </w:tcBorders>
          </w:tcPr>
          <w:p w14:paraId="2ED89EF9"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 xml:space="preserve">EMLSR/EMLMR Link </w:t>
            </w:r>
            <w:r>
              <w:rPr>
                <w:bCs/>
                <w:iCs/>
                <w:color w:val="000000" w:themeColor="text1"/>
                <w:sz w:val="20"/>
                <w:szCs w:val="20"/>
              </w:rPr>
              <w:t>Bitm</w:t>
            </w:r>
            <w:r w:rsidRPr="00D42BAC">
              <w:rPr>
                <w:bCs/>
                <w:iCs/>
                <w:color w:val="000000" w:themeColor="text1"/>
                <w:sz w:val="20"/>
                <w:szCs w:val="20"/>
              </w:rPr>
              <w:t>ap</w:t>
            </w:r>
          </w:p>
        </w:tc>
        <w:tc>
          <w:tcPr>
            <w:tcW w:w="888" w:type="dxa"/>
            <w:tcBorders>
              <w:bottom w:val="single" w:sz="4" w:space="0" w:color="auto"/>
            </w:tcBorders>
          </w:tcPr>
          <w:p w14:paraId="47578DE6"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MCS Map Count Control</w:t>
            </w:r>
          </w:p>
        </w:tc>
        <w:tc>
          <w:tcPr>
            <w:tcW w:w="1174" w:type="dxa"/>
            <w:tcBorders>
              <w:bottom w:val="single" w:sz="4" w:space="0" w:color="auto"/>
            </w:tcBorders>
          </w:tcPr>
          <w:p w14:paraId="04EB896C"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EMLMR Supported MCS And NSS Set</w:t>
            </w:r>
          </w:p>
        </w:tc>
      </w:tr>
      <w:tr w:rsidR="00AC5EE0" w:rsidRPr="00D42BAC" w14:paraId="56F973A5" w14:textId="77777777" w:rsidTr="008C0D14">
        <w:tc>
          <w:tcPr>
            <w:tcW w:w="650" w:type="dxa"/>
            <w:tcBorders>
              <w:top w:val="nil"/>
              <w:left w:val="nil"/>
              <w:bottom w:val="nil"/>
              <w:right w:val="nil"/>
            </w:tcBorders>
          </w:tcPr>
          <w:p w14:paraId="38B86699" w14:textId="77777777" w:rsidR="00AC5EE0" w:rsidRPr="00D42BAC" w:rsidRDefault="00AC5EE0" w:rsidP="002B6F9D">
            <w:pPr>
              <w:jc w:val="right"/>
              <w:rPr>
                <w:bCs/>
                <w:iCs/>
                <w:color w:val="000000" w:themeColor="text1"/>
                <w:sz w:val="20"/>
                <w:szCs w:val="20"/>
              </w:rPr>
            </w:pPr>
            <w:r w:rsidRPr="00D42BAC">
              <w:rPr>
                <w:bCs/>
                <w:iCs/>
                <w:color w:val="000000" w:themeColor="text1"/>
                <w:sz w:val="20"/>
                <w:szCs w:val="20"/>
              </w:rPr>
              <w:t>Bits</w:t>
            </w:r>
          </w:p>
        </w:tc>
        <w:tc>
          <w:tcPr>
            <w:tcW w:w="933" w:type="dxa"/>
            <w:tcBorders>
              <w:left w:val="nil"/>
              <w:bottom w:val="nil"/>
              <w:right w:val="nil"/>
            </w:tcBorders>
          </w:tcPr>
          <w:p w14:paraId="1544C4F1"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988" w:type="dxa"/>
            <w:tcBorders>
              <w:left w:val="nil"/>
              <w:bottom w:val="nil"/>
              <w:right w:val="nil"/>
            </w:tcBorders>
          </w:tcPr>
          <w:p w14:paraId="0A43FE5D"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1</w:t>
            </w:r>
          </w:p>
        </w:tc>
        <w:tc>
          <w:tcPr>
            <w:tcW w:w="1042" w:type="dxa"/>
            <w:tcBorders>
              <w:left w:val="nil"/>
              <w:bottom w:val="nil"/>
              <w:right w:val="nil"/>
            </w:tcBorders>
          </w:tcPr>
          <w:p w14:paraId="6D81DAB9" w14:textId="77777777" w:rsidR="00AC5EE0" w:rsidRPr="00D42BAC" w:rsidRDefault="00AC5EE0" w:rsidP="002B6F9D">
            <w:pPr>
              <w:jc w:val="center"/>
              <w:rPr>
                <w:bCs/>
                <w:iCs/>
                <w:color w:val="000000" w:themeColor="text1"/>
                <w:sz w:val="20"/>
                <w:szCs w:val="20"/>
              </w:rPr>
            </w:pPr>
            <w:r>
              <w:rPr>
                <w:bCs/>
                <w:iCs/>
                <w:color w:val="000000" w:themeColor="text1"/>
                <w:sz w:val="20"/>
                <w:szCs w:val="20"/>
              </w:rPr>
              <w:t>1</w:t>
            </w:r>
          </w:p>
        </w:tc>
        <w:tc>
          <w:tcPr>
            <w:tcW w:w="1067" w:type="dxa"/>
            <w:tcBorders>
              <w:left w:val="nil"/>
              <w:bottom w:val="nil"/>
              <w:right w:val="nil"/>
            </w:tcBorders>
          </w:tcPr>
          <w:p w14:paraId="6029323B" w14:textId="6B9D437D" w:rsidR="00AC5EE0" w:rsidRDefault="00AC5EE0" w:rsidP="002B6F9D">
            <w:pPr>
              <w:jc w:val="center"/>
              <w:rPr>
                <w:bCs/>
                <w:iCs/>
                <w:color w:val="000000" w:themeColor="text1"/>
                <w:sz w:val="20"/>
                <w:szCs w:val="20"/>
              </w:rPr>
            </w:pPr>
            <w:r>
              <w:rPr>
                <w:bCs/>
                <w:iCs/>
                <w:color w:val="000000" w:themeColor="text1"/>
                <w:sz w:val="20"/>
                <w:szCs w:val="20"/>
              </w:rPr>
              <w:t>1</w:t>
            </w:r>
          </w:p>
        </w:tc>
        <w:tc>
          <w:tcPr>
            <w:tcW w:w="883" w:type="dxa"/>
            <w:tcBorders>
              <w:left w:val="nil"/>
              <w:bottom w:val="nil"/>
              <w:right w:val="nil"/>
            </w:tcBorders>
          </w:tcPr>
          <w:p w14:paraId="29B0DA1A" w14:textId="606C9ACB" w:rsidR="00AC5EE0" w:rsidRPr="00D42BAC" w:rsidRDefault="00AC5EE0" w:rsidP="002B6F9D">
            <w:pPr>
              <w:jc w:val="center"/>
              <w:rPr>
                <w:bCs/>
                <w:iCs/>
                <w:color w:val="000000" w:themeColor="text1"/>
                <w:sz w:val="20"/>
                <w:szCs w:val="20"/>
              </w:rPr>
            </w:pPr>
            <w:r>
              <w:rPr>
                <w:bCs/>
                <w:iCs/>
                <w:color w:val="000000" w:themeColor="text1"/>
                <w:sz w:val="20"/>
                <w:szCs w:val="20"/>
              </w:rPr>
              <w:t>4</w:t>
            </w:r>
          </w:p>
        </w:tc>
        <w:tc>
          <w:tcPr>
            <w:tcW w:w="1672" w:type="dxa"/>
            <w:tcBorders>
              <w:left w:val="nil"/>
              <w:bottom w:val="nil"/>
              <w:right w:val="nil"/>
            </w:tcBorders>
          </w:tcPr>
          <w:p w14:paraId="00ABEAB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16</w:t>
            </w:r>
          </w:p>
        </w:tc>
        <w:tc>
          <w:tcPr>
            <w:tcW w:w="888" w:type="dxa"/>
            <w:tcBorders>
              <w:left w:val="nil"/>
              <w:bottom w:val="nil"/>
              <w:right w:val="nil"/>
            </w:tcBorders>
          </w:tcPr>
          <w:p w14:paraId="5E575A92"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0 or 8</w:t>
            </w:r>
          </w:p>
        </w:tc>
        <w:tc>
          <w:tcPr>
            <w:tcW w:w="1174" w:type="dxa"/>
            <w:tcBorders>
              <w:left w:val="nil"/>
              <w:bottom w:val="nil"/>
              <w:right w:val="nil"/>
            </w:tcBorders>
          </w:tcPr>
          <w:p w14:paraId="583A7DD0" w14:textId="77777777" w:rsidR="00AC5EE0" w:rsidRPr="00D42BAC" w:rsidRDefault="00AC5EE0" w:rsidP="002B6F9D">
            <w:pPr>
              <w:jc w:val="center"/>
              <w:rPr>
                <w:bCs/>
                <w:iCs/>
                <w:color w:val="000000" w:themeColor="text1"/>
                <w:sz w:val="20"/>
                <w:szCs w:val="20"/>
              </w:rPr>
            </w:pPr>
            <w:r w:rsidRPr="00D42BAC">
              <w:rPr>
                <w:bCs/>
                <w:iCs/>
                <w:color w:val="000000" w:themeColor="text1"/>
                <w:sz w:val="20"/>
                <w:szCs w:val="20"/>
              </w:rPr>
              <w:t>Variable</w:t>
            </w:r>
          </w:p>
        </w:tc>
      </w:tr>
    </w:tbl>
    <w:p w14:paraId="04E3BEB6" w14:textId="348C46B9" w:rsidR="00AC5EE0" w:rsidRPr="00A423DA" w:rsidRDefault="00AC5EE0" w:rsidP="00AC5EE0">
      <w:pPr>
        <w:spacing w:before="100" w:beforeAutospacing="1" w:after="100" w:afterAutospacing="1"/>
        <w:ind w:firstLine="720"/>
        <w:jc w:val="center"/>
        <w:rPr>
          <w:rFonts w:ascii="Arial" w:hAnsi="Arial" w:cs="Arial"/>
          <w:b/>
          <w:bCs/>
          <w:color w:val="1E891E"/>
          <w:sz w:val="20"/>
          <w:szCs w:val="20"/>
        </w:rPr>
      </w:pPr>
      <w:r w:rsidRPr="00C61C89">
        <w:rPr>
          <w:rFonts w:ascii="Arial" w:hAnsi="Arial" w:cs="Arial"/>
          <w:b/>
          <w:bCs/>
          <w:sz w:val="20"/>
          <w:szCs w:val="20"/>
        </w:rPr>
        <w:lastRenderedPageBreak/>
        <w:t>Figure 9-1</w:t>
      </w:r>
      <w:r>
        <w:rPr>
          <w:rFonts w:ascii="Arial" w:hAnsi="Arial" w:cs="Arial"/>
          <w:b/>
          <w:bCs/>
          <w:sz w:val="20"/>
          <w:szCs w:val="20"/>
        </w:rPr>
        <w:t>89b</w:t>
      </w:r>
      <w:r w:rsidRPr="00C61C89">
        <w:rPr>
          <w:rFonts w:ascii="Arial" w:hAnsi="Arial" w:cs="Arial"/>
          <w:b/>
          <w:bCs/>
          <w:sz w:val="20"/>
          <w:szCs w:val="20"/>
        </w:rPr>
        <w:t>—EML Control field format</w:t>
      </w:r>
      <w:r w:rsidR="00F0462E">
        <w:rPr>
          <w:rFonts w:ascii="Arial" w:hAnsi="Arial" w:cs="Arial"/>
          <w:b/>
          <w:bCs/>
          <w:sz w:val="20"/>
          <w:szCs w:val="20"/>
        </w:rPr>
        <w:t xml:space="preserve"> </w:t>
      </w:r>
    </w:p>
    <w:p w14:paraId="5358BF4A" w14:textId="548FA520" w:rsidR="00F0462E" w:rsidRDefault="00F0462E" w:rsidP="003B6E1F">
      <w:pPr>
        <w:spacing w:before="100" w:beforeAutospacing="1" w:after="100" w:afterAutospacing="1"/>
        <w:rPr>
          <w:rFonts w:ascii="TimesNewRomanPSMT" w:hAnsi="TimesNewRomanPSMT"/>
          <w:sz w:val="20"/>
          <w:szCs w:val="20"/>
        </w:rPr>
      </w:pPr>
      <w:r>
        <w:rPr>
          <w:rFonts w:ascii="TimesNewRomanPSMT" w:hAnsi="TimesNewRomanPSMT"/>
          <w:sz w:val="20"/>
          <w:szCs w:val="20"/>
        </w:rPr>
        <w:t>…</w:t>
      </w:r>
    </w:p>
    <w:p w14:paraId="2FF6726A" w14:textId="05EE24DA" w:rsidR="000F41E8" w:rsidRPr="000F41E8" w:rsidDel="000F41E8" w:rsidRDefault="000F41E8">
      <w:pPr>
        <w:pStyle w:val="NormalWeb"/>
        <w:rPr>
          <w:del w:id="0" w:author="Qi Wang" w:date="2023-09-20T15:09:00Z"/>
          <w:rFonts w:eastAsia="Times New Roman"/>
        </w:rPr>
        <w:pPrChange w:id="1" w:author="Qi Wang" w:date="2023-09-20T15:09:00Z">
          <w:pPr>
            <w:spacing w:before="100" w:beforeAutospacing="1" w:after="100" w:afterAutospacing="1"/>
          </w:pPr>
        </w:pPrChange>
      </w:pPr>
      <w:r w:rsidRPr="000F41E8">
        <w:rPr>
          <w:rFonts w:ascii="TimesNewRomanPSMT" w:eastAsia="Times New Roman" w:hAnsi="TimesNewRomanPSMT"/>
          <w:sz w:val="20"/>
          <w:szCs w:val="20"/>
        </w:rPr>
        <w:t xml:space="preserve">The In-Device Co-existence Activities subfield indicates whether the non-AP MLD has in-device coexistence activities on its EMLSR link(s). The subfield is set to 1 to indicate the non-AP MLD has in-device coexistence activities on its EMLSR link(s), and otherwise, is set to 0 to indicate the non-AP MLD has no, or does not know whether it has, in-device coexistence activities on the EMLSR link(s). </w:t>
      </w:r>
      <w:ins w:id="2" w:author="Qi Wang" w:date="2023-09-20T15:08:00Z">
        <w:r w:rsidRPr="000F41E8">
          <w:rPr>
            <w:rFonts w:ascii="TimesNewRomanPSMT" w:eastAsia="Times New Roman" w:hAnsi="TimesNewRomanPSMT"/>
            <w:sz w:val="20"/>
            <w:szCs w:val="20"/>
            <w:lang w:eastAsia="zh-CN"/>
          </w:rPr>
          <w:t xml:space="preserve">When included in a frame </w:t>
        </w:r>
      </w:ins>
      <w:ins w:id="3" w:author="Qi Wang" w:date="2023-10-10T12:54:00Z">
        <w:r w:rsidR="00725D83">
          <w:rPr>
            <w:rFonts w:ascii="TimesNewRomanPSMT" w:eastAsia="Times New Roman" w:hAnsi="TimesNewRomanPSMT"/>
            <w:sz w:val="20"/>
            <w:szCs w:val="20"/>
            <w:lang w:eastAsia="zh-CN"/>
          </w:rPr>
          <w:t>transmitted</w:t>
        </w:r>
      </w:ins>
      <w:ins w:id="4" w:author="Qi Wang" w:date="2023-09-20T15:08:00Z">
        <w:r w:rsidRPr="000F41E8">
          <w:rPr>
            <w:rFonts w:ascii="TimesNewRomanPSMT" w:eastAsia="Times New Roman" w:hAnsi="TimesNewRomanPSMT"/>
            <w:sz w:val="20"/>
            <w:szCs w:val="20"/>
            <w:lang w:eastAsia="zh-CN"/>
          </w:rPr>
          <w:t xml:space="preserve"> by an AP affiliated with an AP MLD, the </w:t>
        </w:r>
        <w:r>
          <w:rPr>
            <w:rFonts w:ascii="TimesNewRomanPSMT" w:eastAsia="Times New Roman" w:hAnsi="TimesNewRomanPSMT"/>
            <w:sz w:val="20"/>
            <w:szCs w:val="20"/>
            <w:lang w:eastAsia="zh-CN"/>
          </w:rPr>
          <w:t>In-device Coexistence Activities</w:t>
        </w:r>
        <w:r w:rsidRPr="000F41E8">
          <w:rPr>
            <w:rFonts w:ascii="TimesNewRomanPSMT" w:eastAsia="Times New Roman" w:hAnsi="TimesNewRomanPSMT"/>
            <w:sz w:val="20"/>
            <w:szCs w:val="20"/>
            <w:lang w:eastAsia="zh-CN"/>
          </w:rPr>
          <w:t xml:space="preserve"> subfield is </w:t>
        </w:r>
      </w:ins>
      <w:ins w:id="5" w:author="Qi Wang" w:date="2023-09-22T13:25:00Z">
        <w:r w:rsidR="00EA7EFB">
          <w:rPr>
            <w:rFonts w:ascii="TimesNewRomanPSMT" w:eastAsia="Times New Roman" w:hAnsi="TimesNewRomanPSMT"/>
            <w:sz w:val="20"/>
            <w:szCs w:val="20"/>
            <w:lang w:eastAsia="zh-CN"/>
          </w:rPr>
          <w:t>reserved</w:t>
        </w:r>
      </w:ins>
      <w:ins w:id="6" w:author="Qi Wang" w:date="2023-09-20T15:08:00Z">
        <w:r w:rsidRPr="000F41E8">
          <w:rPr>
            <w:rFonts w:ascii="TimesNewRomanPSMT" w:eastAsia="Times New Roman" w:hAnsi="TimesNewRomanPSMT"/>
            <w:sz w:val="20"/>
            <w:szCs w:val="20"/>
            <w:lang w:eastAsia="zh-CN"/>
          </w:rPr>
          <w:t xml:space="preserve">. </w:t>
        </w:r>
      </w:ins>
    </w:p>
    <w:p w14:paraId="0C99C2A1" w14:textId="77777777" w:rsidR="009F1DB7" w:rsidRDefault="009F1DB7" w:rsidP="009F1DB7">
      <w:pPr>
        <w:rPr>
          <w:rFonts w:ascii="Arial-BoldMT" w:hAnsi="Arial-BoldMT" w:hint="eastAsia"/>
          <w:b/>
          <w:bCs/>
          <w:color w:val="000000"/>
          <w:sz w:val="20"/>
          <w:highlight w:val="yellow"/>
        </w:rPr>
      </w:pPr>
    </w:p>
    <w:p w14:paraId="6E00E882" w14:textId="6D3DD5E2" w:rsidR="00F53FAA" w:rsidRDefault="003B6E1F" w:rsidP="00F9357F">
      <w:pPr>
        <w:spacing w:before="100" w:beforeAutospacing="1" w:after="100" w:afterAutospacing="1"/>
        <w:rPr>
          <w:rFonts w:ascii="Arial" w:hAnsi="Arial" w:cs="Arial"/>
          <w:b/>
          <w:bCs/>
          <w:szCs w:val="20"/>
        </w:rPr>
      </w:pPr>
      <w:r w:rsidRPr="003B6E1F">
        <w:rPr>
          <w:rFonts w:ascii="Arial" w:hAnsi="Arial" w:cs="Arial"/>
          <w:b/>
          <w:bCs/>
          <w:szCs w:val="20"/>
        </w:rPr>
        <w:t xml:space="preserve">35.3.17 Enhanced multi-link single radio operation </w:t>
      </w:r>
    </w:p>
    <w:p w14:paraId="43B11CDE" w14:textId="77777777" w:rsidR="009F1DB7" w:rsidRDefault="009F1DB7" w:rsidP="00F9357F">
      <w:pPr>
        <w:spacing w:before="100" w:beforeAutospacing="1" w:after="100" w:afterAutospacing="1"/>
        <w:rPr>
          <w:rFonts w:ascii="Arial" w:hAnsi="Arial" w:cs="Arial"/>
          <w:b/>
          <w:bCs/>
          <w:szCs w:val="20"/>
        </w:rPr>
      </w:pPr>
    </w:p>
    <w:p w14:paraId="1911A564" w14:textId="77777777" w:rsidR="009F1DB7" w:rsidRDefault="009F1DB7" w:rsidP="009F1DB7">
      <w:pPr>
        <w:rPr>
          <w:rFonts w:ascii="TimesNewRomanPSMT" w:hAnsi="TimesNewRomanPSMT"/>
          <w:color w:val="000000"/>
          <w:sz w:val="20"/>
          <w:szCs w:val="20"/>
        </w:rPr>
      </w:pPr>
      <w:r w:rsidRPr="001F43AA">
        <w:rPr>
          <w:rFonts w:ascii="TimesNewRomanPSMT" w:hAnsi="TimesNewRomanPSMT"/>
          <w:color w:val="000000"/>
          <w:sz w:val="20"/>
          <w:szCs w:val="20"/>
        </w:rPr>
        <w:t>When a non-AP MLD is operating in the EMLSR mode with an AP MLD supporting the EMLSR mode, the following applies:</w:t>
      </w:r>
    </w:p>
    <w:p w14:paraId="5502B0B0" w14:textId="77777777" w:rsidR="009F1DB7" w:rsidRDefault="009F1DB7" w:rsidP="009F1DB7">
      <w:pPr>
        <w:rPr>
          <w:rFonts w:ascii="TimesNewRomanPSMT" w:hAnsi="TimesNewRomanPSMT"/>
          <w:color w:val="000000"/>
          <w:sz w:val="20"/>
          <w:szCs w:val="20"/>
        </w:rPr>
      </w:pPr>
    </w:p>
    <w:p w14:paraId="63413517" w14:textId="77777777" w:rsidR="009F1DB7" w:rsidRDefault="009F1DB7" w:rsidP="009F1DB7">
      <w:pPr>
        <w:rPr>
          <w:rFonts w:ascii="TimesNewRomanPSMT" w:hAnsi="TimesNewRomanPSMT"/>
          <w:color w:val="000000"/>
          <w:sz w:val="20"/>
          <w:szCs w:val="20"/>
        </w:rPr>
      </w:pPr>
      <w:r>
        <w:rPr>
          <w:rFonts w:ascii="TimesNewRomanPSMT" w:hAnsi="TimesNewRomanPSMT"/>
          <w:color w:val="000000"/>
          <w:sz w:val="20"/>
          <w:szCs w:val="20"/>
        </w:rPr>
        <w:t>…</w:t>
      </w:r>
    </w:p>
    <w:p w14:paraId="579E956F" w14:textId="77777777" w:rsidR="009F1DB7" w:rsidRDefault="009F1DB7" w:rsidP="009F1DB7"/>
    <w:p w14:paraId="79D7BA9B" w14:textId="6F3654AF" w:rsidR="009F1DB7" w:rsidRPr="00492EF8" w:rsidRDefault="009F1DB7" w:rsidP="00492EF8">
      <w:pPr>
        <w:pStyle w:val="NormalWeb"/>
        <w:rPr>
          <w:rFonts w:eastAsia="Times New Roman"/>
          <w:lang w:eastAsia="zh-CN"/>
        </w:rPr>
      </w:pPr>
      <w:r w:rsidRPr="00065D80">
        <w:rPr>
          <w:rFonts w:ascii="TimesNewRomanPSMT" w:hAnsi="TimesNewRomanPSMT"/>
          <w:color w:val="000000"/>
          <w:sz w:val="20"/>
          <w:szCs w:val="20"/>
        </w:rPr>
        <w:t>f) When the EMLSR Parameter Update field is present in an EML Operating Mode Notification frame,</w:t>
      </w:r>
      <w:r w:rsidR="00492EF8">
        <w:rPr>
          <w:rFonts w:ascii="TimesNewRomanPSMT" w:hAnsi="TimesNewRomanPSMT"/>
          <w:color w:val="000000"/>
          <w:sz w:val="20"/>
          <w:szCs w:val="20"/>
        </w:rPr>
        <w:t xml:space="preserve"> </w:t>
      </w:r>
      <w:r w:rsidR="00492EF8" w:rsidRPr="00492EF8">
        <w:rPr>
          <w:rFonts w:ascii="TimesNewRomanPSMT" w:eastAsia="Times New Roman" w:hAnsi="TimesNewRomanPSMT"/>
          <w:sz w:val="20"/>
          <w:szCs w:val="20"/>
          <w:lang w:eastAsia="zh-CN"/>
        </w:rPr>
        <w:t>the EMLSR Link Bitmap subfield of the EML Control field shall contain a different value than the EMLSR Link Bitmap value contained in the most recent EML Operating Mode Notification frame successfully transmitted by the non-AP MLD.</w:t>
      </w:r>
    </w:p>
    <w:p w14:paraId="1BAE4B3C" w14:textId="77777777" w:rsidR="009F1DB7" w:rsidRDefault="009F1DB7" w:rsidP="009F1DB7">
      <w:pPr>
        <w:ind w:left="720"/>
        <w:rPr>
          <w:rFonts w:ascii="TimesNewRomanPSMT" w:hAnsi="TimesNewRomanPSMT"/>
          <w:color w:val="000000"/>
          <w:sz w:val="20"/>
          <w:szCs w:val="20"/>
        </w:rPr>
      </w:pPr>
    </w:p>
    <w:p w14:paraId="3D7C17B0" w14:textId="78392AE9" w:rsidR="009F1DB7" w:rsidRDefault="009F1DB7" w:rsidP="00492EF8">
      <w:pPr>
        <w:rPr>
          <w:ins w:id="7" w:author="Qi Wang" w:date="2023-10-03T15:32:00Z"/>
          <w:sz w:val="20"/>
          <w:szCs w:val="20"/>
        </w:rPr>
      </w:pPr>
      <w:ins w:id="8" w:author="Qi Wang" w:date="2023-10-03T15:32:00Z">
        <w:r w:rsidRPr="00E16AC6">
          <w:rPr>
            <w:sz w:val="20"/>
            <w:szCs w:val="20"/>
          </w:rPr>
          <w:t xml:space="preserve">g) </w:t>
        </w:r>
        <w:r>
          <w:rPr>
            <w:sz w:val="20"/>
            <w:szCs w:val="20"/>
          </w:rPr>
          <w:t>A non-AP STA affiliated with the</w:t>
        </w:r>
        <w:r w:rsidRPr="00E16AC6">
          <w:rPr>
            <w:sz w:val="20"/>
            <w:szCs w:val="20"/>
          </w:rPr>
          <w:t xml:space="preserve"> non-AP MLD may transmit an EML Operating Mode Notification frame to </w:t>
        </w:r>
        <w:r>
          <w:rPr>
            <w:sz w:val="20"/>
            <w:szCs w:val="20"/>
          </w:rPr>
          <w:t>update</w:t>
        </w:r>
        <w:r w:rsidRPr="00E16AC6">
          <w:rPr>
            <w:sz w:val="20"/>
            <w:szCs w:val="20"/>
          </w:rPr>
          <w:t xml:space="preserve"> the value of the In-Device Coexistence Activities subfield of the EML Control field of </w:t>
        </w:r>
        <w:r>
          <w:rPr>
            <w:sz w:val="20"/>
            <w:szCs w:val="20"/>
          </w:rPr>
          <w:t xml:space="preserve">the most recent </w:t>
        </w:r>
        <w:r w:rsidRPr="00E16AC6">
          <w:rPr>
            <w:sz w:val="20"/>
            <w:szCs w:val="20"/>
          </w:rPr>
          <w:t>EML Operating Mode Notification frame</w:t>
        </w:r>
        <w:r>
          <w:rPr>
            <w:sz w:val="20"/>
            <w:szCs w:val="20"/>
          </w:rPr>
          <w:t xml:space="preserve"> successfully transmitted by a non-AP </w:t>
        </w:r>
      </w:ins>
      <w:ins w:id="9" w:author="Qi Wang" w:date="2023-10-09T11:02:00Z">
        <w:r w:rsidR="009C26B5">
          <w:rPr>
            <w:sz w:val="20"/>
            <w:szCs w:val="20"/>
          </w:rPr>
          <w:t>STA</w:t>
        </w:r>
      </w:ins>
      <w:ins w:id="10" w:author="Qi Wang" w:date="2023-10-03T15:32:00Z">
        <w:r>
          <w:rPr>
            <w:sz w:val="20"/>
            <w:szCs w:val="20"/>
          </w:rPr>
          <w:t xml:space="preserve"> affiliated with the non-AP MLD</w:t>
        </w:r>
        <w:r w:rsidRPr="00E16AC6">
          <w:rPr>
            <w:sz w:val="20"/>
            <w:szCs w:val="20"/>
          </w:rPr>
          <w:t>.</w:t>
        </w:r>
        <w:r>
          <w:rPr>
            <w:sz w:val="20"/>
            <w:szCs w:val="20"/>
          </w:rPr>
          <w:t>(#</w:t>
        </w:r>
        <w:r w:rsidRPr="008E2F99">
          <w:rPr>
            <w:rFonts w:ascii="Arial" w:hAnsi="Arial" w:cs="Arial"/>
            <w:sz w:val="18"/>
            <w:szCs w:val="18"/>
          </w:rPr>
          <w:t xml:space="preserve"> </w:t>
        </w:r>
        <w:r w:rsidRPr="001D4DC8">
          <w:rPr>
            <w:rFonts w:ascii="Arial" w:hAnsi="Arial" w:cs="Arial"/>
            <w:sz w:val="18"/>
            <w:szCs w:val="18"/>
          </w:rPr>
          <w:t>19521</w:t>
        </w:r>
        <w:r>
          <w:rPr>
            <w:sz w:val="20"/>
            <w:szCs w:val="20"/>
          </w:rPr>
          <w:t>)</w:t>
        </w:r>
      </w:ins>
    </w:p>
    <w:p w14:paraId="7DF574CE" w14:textId="77777777" w:rsidR="009F1DB7" w:rsidRDefault="009F1DB7" w:rsidP="00F9357F">
      <w:pPr>
        <w:spacing w:before="100" w:beforeAutospacing="1" w:after="100" w:afterAutospacing="1"/>
        <w:rPr>
          <w:rFonts w:eastAsia="Times New Roman"/>
        </w:rPr>
      </w:pPr>
    </w:p>
    <w:p w14:paraId="7D6D7D0D" w14:textId="23E7F0E0" w:rsidR="00F53FAA" w:rsidRPr="00F53FAA" w:rsidRDefault="00F53FAA" w:rsidP="00F53FAA">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F53FAA" w14:paraId="217C7565" w14:textId="77777777" w:rsidTr="009F799B">
        <w:trPr>
          <w:trHeight w:val="842"/>
        </w:trPr>
        <w:tc>
          <w:tcPr>
            <w:tcW w:w="810" w:type="dxa"/>
          </w:tcPr>
          <w:p w14:paraId="55ED4592"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19522</w:t>
            </w:r>
          </w:p>
        </w:tc>
        <w:tc>
          <w:tcPr>
            <w:tcW w:w="900" w:type="dxa"/>
          </w:tcPr>
          <w:p w14:paraId="0A92DB6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EF74DA4" w14:textId="77777777" w:rsidR="00F53FAA" w:rsidRPr="00477AAE"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583.64</w:t>
            </w:r>
          </w:p>
        </w:tc>
        <w:tc>
          <w:tcPr>
            <w:tcW w:w="990" w:type="dxa"/>
          </w:tcPr>
          <w:p w14:paraId="306A5CE7" w14:textId="77777777" w:rsidR="00F53FAA" w:rsidRPr="00E80884" w:rsidRDefault="00F53FAA" w:rsidP="009F799B">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7B7AD8F7" w14:textId="4DC35975" w:rsidR="00F53FAA" w:rsidRPr="00477AAE" w:rsidRDefault="004F7499" w:rsidP="009F799B">
            <w:pPr>
              <w:rPr>
                <w:rFonts w:asciiTheme="minorHAnsi" w:eastAsia="Calibri" w:hAnsiTheme="minorHAnsi" w:cstheme="minorHAnsi"/>
                <w:sz w:val="22"/>
                <w:szCs w:val="22"/>
              </w:rPr>
            </w:pPr>
            <w:r w:rsidRPr="0027167A">
              <w:rPr>
                <w:rFonts w:ascii="Arial" w:hAnsi="Arial" w:cs="Arial"/>
                <w:sz w:val="18"/>
                <w:szCs w:val="18"/>
              </w:rPr>
              <w:t>"...The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The 11be spec should explicitly allow the setting of a single bit in the EMLSR Link Bitmap to 1.</w:t>
            </w:r>
          </w:p>
        </w:tc>
        <w:tc>
          <w:tcPr>
            <w:tcW w:w="1800" w:type="dxa"/>
          </w:tcPr>
          <w:p w14:paraId="32E26DC6" w14:textId="1A722014" w:rsidR="00F53FAA" w:rsidRPr="00957A3C" w:rsidRDefault="004F7499" w:rsidP="009F799B">
            <w:pPr>
              <w:rPr>
                <w:rFonts w:asciiTheme="minorHAnsi" w:hAnsiTheme="minorHAnsi" w:cstheme="minorHAnsi"/>
                <w:sz w:val="22"/>
                <w:szCs w:val="22"/>
              </w:rPr>
            </w:pPr>
            <w:r w:rsidRPr="0027167A">
              <w:rPr>
                <w:rFonts w:ascii="Arial" w:hAnsi="Arial" w:cs="Arial"/>
                <w:sz w:val="18"/>
                <w:szCs w:val="18"/>
              </w:rPr>
              <w:t xml:space="preserve">Please modify the cited text to: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And, add a note </w:t>
            </w:r>
            <w:r w:rsidRPr="0027167A">
              <w:rPr>
                <w:rFonts w:ascii="Arial" w:hAnsi="Arial" w:cs="Arial"/>
                <w:sz w:val="18"/>
                <w:szCs w:val="18"/>
              </w:rPr>
              <w:lastRenderedPageBreak/>
              <w:t>after the cite text: "NOTE -  A non-AP MLD might only set one bit to 1 in the bit positions of the EMLSR Link Bitmap subfield when the non-AP MLD enables the EMLSR mode. "</w:t>
            </w:r>
          </w:p>
        </w:tc>
        <w:tc>
          <w:tcPr>
            <w:tcW w:w="2610" w:type="dxa"/>
            <w:vAlign w:val="center"/>
          </w:tcPr>
          <w:p w14:paraId="339A09F1" w14:textId="77777777"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Revised. </w:t>
            </w:r>
          </w:p>
          <w:p w14:paraId="377C2131" w14:textId="77777777" w:rsidR="00F53FAA" w:rsidRDefault="00F53FAA" w:rsidP="009F799B">
            <w:pPr>
              <w:rPr>
                <w:rFonts w:asciiTheme="minorHAnsi" w:eastAsia="Calibri" w:hAnsiTheme="minorHAnsi" w:cstheme="minorHAnsi"/>
                <w:sz w:val="22"/>
                <w:szCs w:val="22"/>
              </w:rPr>
            </w:pPr>
          </w:p>
          <w:p w14:paraId="301228F2" w14:textId="52F5D93E" w:rsidR="00F53FAA" w:rsidRDefault="00F53FAA" w:rsidP="009F799B">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that</w:t>
            </w:r>
            <w:r w:rsidR="004F7499">
              <w:rPr>
                <w:rFonts w:asciiTheme="minorHAnsi" w:eastAsia="Calibri" w:hAnsiTheme="minorHAnsi" w:cstheme="minorHAnsi"/>
                <w:sz w:val="22"/>
                <w:szCs w:val="22"/>
              </w:rPr>
              <w:t xml:space="preserve"> an explicit statement that a non-AP MLD may set one or more bits to 1 in the bit position of the EMLSR Link Bitmap </w:t>
            </w:r>
            <w:r w:rsidR="0065480A">
              <w:rPr>
                <w:rFonts w:asciiTheme="minorHAnsi" w:eastAsia="Calibri" w:hAnsiTheme="minorHAnsi" w:cstheme="minorHAnsi"/>
                <w:sz w:val="22"/>
                <w:szCs w:val="22"/>
              </w:rPr>
              <w:t>subfield</w:t>
            </w:r>
            <w:r w:rsidR="004F7499">
              <w:rPr>
                <w:rFonts w:asciiTheme="minorHAnsi" w:eastAsia="Calibri" w:hAnsiTheme="minorHAnsi" w:cstheme="minorHAnsi"/>
                <w:sz w:val="22"/>
                <w:szCs w:val="22"/>
              </w:rPr>
              <w:t xml:space="preserve"> when the non-AP MLD enables the EMLSR mode. </w:t>
            </w:r>
            <w:r w:rsidR="0065480A">
              <w:rPr>
                <w:rFonts w:asciiTheme="minorHAnsi" w:eastAsia="Calibri" w:hAnsiTheme="minorHAnsi" w:cstheme="minorHAnsi"/>
                <w:sz w:val="22"/>
                <w:szCs w:val="22"/>
              </w:rPr>
              <w:t xml:space="preserve"> Other text changes are needed to specify consistently that EMLSR mode can be operated on one or more links.  </w:t>
            </w:r>
          </w:p>
          <w:p w14:paraId="43B9A514" w14:textId="77777777" w:rsidR="00F53FAA" w:rsidRDefault="00F53FAA" w:rsidP="009F799B">
            <w:pPr>
              <w:rPr>
                <w:rFonts w:asciiTheme="minorHAnsi" w:eastAsia="Calibri" w:hAnsiTheme="minorHAnsi" w:cstheme="minorHAnsi"/>
                <w:sz w:val="22"/>
                <w:szCs w:val="22"/>
              </w:rPr>
            </w:pPr>
          </w:p>
          <w:p w14:paraId="43FECFF3" w14:textId="77777777" w:rsidR="00F53FAA" w:rsidRDefault="00F53FAA"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tc>
      </w:tr>
      <w:tr w:rsidR="000A3836" w14:paraId="73EFE1B2" w14:textId="77777777" w:rsidTr="009F799B">
        <w:trPr>
          <w:trHeight w:val="842"/>
        </w:trPr>
        <w:tc>
          <w:tcPr>
            <w:tcW w:w="810" w:type="dxa"/>
          </w:tcPr>
          <w:p w14:paraId="12B1F4CD" w14:textId="53214073"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19904</w:t>
            </w:r>
          </w:p>
        </w:tc>
        <w:tc>
          <w:tcPr>
            <w:tcW w:w="900" w:type="dxa"/>
          </w:tcPr>
          <w:p w14:paraId="50091CE9" w14:textId="316B97C7"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Liwen</w:t>
            </w:r>
            <w:proofErr w:type="spellEnd"/>
            <w:r>
              <w:rPr>
                <w:rFonts w:asciiTheme="minorHAnsi" w:eastAsia="Calibri" w:hAnsiTheme="minorHAnsi" w:cstheme="minorHAnsi"/>
                <w:sz w:val="22"/>
                <w:szCs w:val="22"/>
              </w:rPr>
              <w:t xml:space="preserve"> Chu</w:t>
            </w:r>
          </w:p>
        </w:tc>
        <w:tc>
          <w:tcPr>
            <w:tcW w:w="990" w:type="dxa"/>
          </w:tcPr>
          <w:p w14:paraId="08A6F894" w14:textId="04CB986B"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563.47</w:t>
            </w:r>
          </w:p>
        </w:tc>
        <w:tc>
          <w:tcPr>
            <w:tcW w:w="990" w:type="dxa"/>
          </w:tcPr>
          <w:p w14:paraId="089B08C1" w14:textId="5E5764BE" w:rsidR="000A3836" w:rsidRPr="00957A3C"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5.3.17</w:t>
            </w:r>
          </w:p>
        </w:tc>
        <w:tc>
          <w:tcPr>
            <w:tcW w:w="3510" w:type="dxa"/>
          </w:tcPr>
          <w:p w14:paraId="3EAB966D" w14:textId="687D994B" w:rsidR="000A3836" w:rsidRPr="0027167A" w:rsidRDefault="000A3836" w:rsidP="009F799B">
            <w:pPr>
              <w:rPr>
                <w:rFonts w:ascii="Arial" w:hAnsi="Arial" w:cs="Arial"/>
                <w:sz w:val="18"/>
                <w:szCs w:val="18"/>
              </w:rPr>
            </w:pPr>
            <w:r>
              <w:rPr>
                <w:rFonts w:ascii="Arial" w:hAnsi="Arial" w:cs="Arial"/>
                <w:color w:val="000000"/>
                <w:sz w:val="20"/>
                <w:szCs w:val="20"/>
              </w:rPr>
              <w:t>some place allows single link EMLSR, some places don't allow single link EMLSR.</w:t>
            </w:r>
          </w:p>
        </w:tc>
        <w:tc>
          <w:tcPr>
            <w:tcW w:w="1800" w:type="dxa"/>
          </w:tcPr>
          <w:p w14:paraId="57B6A3EB" w14:textId="1E665180" w:rsidR="000A3836" w:rsidRPr="000A3836" w:rsidRDefault="000A3836" w:rsidP="000A3836">
            <w:pPr>
              <w:rPr>
                <w:rFonts w:ascii="Arial" w:hAnsi="Arial" w:cs="Arial"/>
                <w:sz w:val="18"/>
                <w:szCs w:val="18"/>
              </w:rPr>
            </w:pPr>
            <w:r>
              <w:rPr>
                <w:rFonts w:ascii="Arial" w:hAnsi="Arial" w:cs="Arial"/>
                <w:color w:val="000000"/>
                <w:sz w:val="20"/>
                <w:szCs w:val="20"/>
              </w:rPr>
              <w:t>Fix the issue</w:t>
            </w:r>
          </w:p>
        </w:tc>
        <w:tc>
          <w:tcPr>
            <w:tcW w:w="2610" w:type="dxa"/>
            <w:vAlign w:val="center"/>
          </w:tcPr>
          <w:p w14:paraId="4E4F31B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3BD7871" w14:textId="77777777" w:rsidR="000A3836" w:rsidRDefault="000A3836" w:rsidP="009F799B">
            <w:pPr>
              <w:rPr>
                <w:rFonts w:asciiTheme="minorHAnsi" w:eastAsia="Calibri" w:hAnsiTheme="minorHAnsi" w:cstheme="minorHAnsi"/>
                <w:sz w:val="22"/>
                <w:szCs w:val="22"/>
              </w:rPr>
            </w:pPr>
          </w:p>
          <w:p w14:paraId="240DE2D7" w14:textId="77777777" w:rsidR="000A3836" w:rsidRDefault="000A3836" w:rsidP="009F799B">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the 11be spec text needs to be consistent on this issue. </w:t>
            </w:r>
          </w:p>
          <w:p w14:paraId="01F0C87E" w14:textId="77777777" w:rsidR="000A3836" w:rsidRDefault="000A3836" w:rsidP="009F799B">
            <w:pPr>
              <w:rPr>
                <w:rFonts w:asciiTheme="minorHAnsi" w:eastAsia="Calibri" w:hAnsiTheme="minorHAnsi" w:cstheme="minorHAnsi"/>
                <w:sz w:val="22"/>
                <w:szCs w:val="22"/>
              </w:rPr>
            </w:pPr>
          </w:p>
          <w:p w14:paraId="5074D96A" w14:textId="5825D3E6" w:rsidR="000A3836" w:rsidRDefault="000A3836" w:rsidP="009F799B">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19522 in this document.  </w:t>
            </w:r>
          </w:p>
          <w:p w14:paraId="14BB63C9" w14:textId="4FB97298" w:rsidR="000A3836" w:rsidRDefault="000A3836" w:rsidP="009F799B">
            <w:pPr>
              <w:rPr>
                <w:rFonts w:asciiTheme="minorHAnsi" w:eastAsia="Calibri" w:hAnsiTheme="minorHAnsi" w:cstheme="minorHAnsi"/>
                <w:sz w:val="22"/>
                <w:szCs w:val="22"/>
              </w:rPr>
            </w:pPr>
          </w:p>
        </w:tc>
      </w:tr>
    </w:tbl>
    <w:p w14:paraId="41DB0706" w14:textId="17127A04"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(#19522)</w:t>
      </w:r>
      <w:r w:rsidRPr="00A92F70">
        <w:rPr>
          <w:b/>
          <w:i/>
          <w:iCs/>
          <w:color w:val="FF0000"/>
          <w:sz w:val="22"/>
          <w:szCs w:val="22"/>
        </w:rPr>
        <w:t xml:space="preserve"> </w:t>
      </w:r>
    </w:p>
    <w:p w14:paraId="7B85B387" w14:textId="77777777" w:rsidR="00A7098B" w:rsidRDefault="00A7098B" w:rsidP="00A7098B">
      <w:pPr>
        <w:spacing w:before="100" w:beforeAutospacing="1" w:after="100" w:afterAutospacing="1"/>
        <w:rPr>
          <w:rFonts w:ascii="Arial" w:hAnsi="Arial" w:cs="Arial"/>
          <w:b/>
          <w:bCs/>
          <w:sz w:val="20"/>
          <w:szCs w:val="20"/>
        </w:rPr>
      </w:pPr>
      <w:r w:rsidRPr="00AC5EE0">
        <w:rPr>
          <w:rFonts w:ascii="Arial" w:hAnsi="Arial" w:cs="Arial"/>
          <w:b/>
          <w:bCs/>
          <w:sz w:val="20"/>
          <w:szCs w:val="20"/>
        </w:rPr>
        <w:t xml:space="preserve">9.4.1.70 EML Control field </w:t>
      </w:r>
    </w:p>
    <w:p w14:paraId="3D6B8B76" w14:textId="2CEA9818" w:rsidR="00A7098B" w:rsidRDefault="00A7098B" w:rsidP="00A7098B">
      <w:pPr>
        <w:spacing w:before="100" w:beforeAutospacing="1" w:after="100" w:afterAutospacing="1"/>
        <w:rPr>
          <w:rFonts w:ascii="Arial" w:hAnsi="Arial" w:cs="Arial"/>
          <w:b/>
          <w:bCs/>
          <w:sz w:val="20"/>
          <w:szCs w:val="20"/>
        </w:rPr>
      </w:pPr>
      <w:r>
        <w:rPr>
          <w:rFonts w:ascii="Arial" w:hAnsi="Arial" w:cs="Arial"/>
          <w:b/>
          <w:bCs/>
          <w:sz w:val="20"/>
          <w:szCs w:val="20"/>
        </w:rPr>
        <w:t>….</w:t>
      </w:r>
    </w:p>
    <w:p w14:paraId="186D86FB" w14:textId="7B37C958" w:rsidR="00D64680" w:rsidRPr="00AC5EE0" w:rsidRDefault="00D64680" w:rsidP="00A7098B">
      <w:pPr>
        <w:spacing w:before="100" w:beforeAutospacing="1" w:after="100" w:afterAutospacing="1"/>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 xml:space="preserve">editor:11be_D4.1, page 211, </w:t>
      </w:r>
      <w:r>
        <w:rPr>
          <w:b/>
          <w:i/>
          <w:iCs/>
          <w:color w:val="FF0000"/>
          <w:sz w:val="22"/>
          <w:szCs w:val="22"/>
          <w:highlight w:val="yellow"/>
        </w:rPr>
        <w:t>l</w:t>
      </w:r>
      <w:r w:rsidRPr="00D64680">
        <w:rPr>
          <w:b/>
          <w:i/>
          <w:iCs/>
          <w:color w:val="FF0000"/>
          <w:sz w:val="22"/>
          <w:szCs w:val="22"/>
          <w:highlight w:val="yellow"/>
        </w:rPr>
        <w:t>ine 7-- 16</w:t>
      </w:r>
    </w:p>
    <w:p w14:paraId="23057CE5" w14:textId="2B93E609" w:rsidR="00A7098B" w:rsidRPr="00A7098B" w:rsidRDefault="00A7098B" w:rsidP="00F53FAA">
      <w:pPr>
        <w:spacing w:before="100" w:beforeAutospacing="1" w:after="100" w:afterAutospacing="1"/>
        <w:rPr>
          <w:rFonts w:eastAsia="Times New Roman"/>
        </w:rPr>
      </w:pPr>
      <w:r w:rsidRPr="00A7098B">
        <w:rPr>
          <w:rFonts w:ascii="TimesNewRomanPSMT" w:eastAsia="Times New Roman" w:hAnsi="TimesNewRomanPSMT"/>
          <w:sz w:val="20"/>
          <w:szCs w:val="20"/>
        </w:rPr>
        <w:t>The EMLSR Link Bitmap subfield indicates the subset of the enabled link</w:t>
      </w:r>
      <w:ins w:id="11"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2"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 xml:space="preserve"> that is used by the non-AP MLD in the EMLSR mode. The bit position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 xml:space="preserve">of the EMLSR Link Bitmap subfield corresponds to the link with the Link ID equal to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and is set to 1 to indicate that the link is used by the non-AP MLD for the EMLSR mode and is a member of the EMLSR link</w:t>
      </w:r>
      <w:ins w:id="13"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4"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 otherwise, the bit position is set to 0. An AP MLD with</w:t>
      </w:r>
      <w:r>
        <w:rPr>
          <w:rFonts w:eastAsia="Times New Roman"/>
        </w:rPr>
        <w:t xml:space="preserve"> </w:t>
      </w:r>
      <w:r w:rsidRPr="00A7098B">
        <w:rPr>
          <w:rFonts w:ascii="TimesNewRomanPSMT" w:eastAsia="Times New Roman" w:hAnsi="TimesNewRomanPSMT"/>
          <w:sz w:val="20"/>
          <w:szCs w:val="20"/>
        </w:rPr>
        <w:t xml:space="preserve">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2A7F3BAB"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574 line 28 – P579, line 2</w:t>
      </w:r>
      <w:r>
        <w:rPr>
          <w:b/>
          <w:i/>
          <w:iCs/>
          <w:color w:val="FF0000"/>
          <w:sz w:val="22"/>
          <w:szCs w:val="22"/>
        </w:rPr>
        <w:t xml:space="preserve"> </w:t>
      </w:r>
    </w:p>
    <w:p w14:paraId="348B8D65" w14:textId="16808533" w:rsidR="003E54D0" w:rsidRDefault="003E54D0" w:rsidP="003E54D0">
      <w:pPr>
        <w:pStyle w:val="NormalWeb"/>
        <w:rPr>
          <w:rFonts w:ascii="TimesNewRomanPSMT" w:eastAsia="Times New Roman" w:hAnsi="TimesNewRomanPSMT"/>
          <w:sz w:val="20"/>
          <w:szCs w:val="20"/>
        </w:rPr>
      </w:pPr>
      <w:r w:rsidRPr="003E54D0">
        <w:rPr>
          <w:rFonts w:ascii="TimesNewRomanPSMT" w:eastAsia="Times New Roman" w:hAnsi="TimesNewRomanPSMT"/>
          <w:sz w:val="20"/>
          <w:szCs w:val="20"/>
        </w:rPr>
        <w:t>The EMLSR operation defined in this subclause allows a non-AP MLD with multiple receive chains to listen on one or more EMLSR links when the corresponding non-AP STA</w:t>
      </w:r>
      <w:ins w:id="15"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s</w:t>
      </w:r>
      <w:ins w:id="16"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affiliated with the non-AP MLD </w:t>
      </w:r>
      <w:del w:id="17" w:author="Qi Wang" w:date="2023-10-10T12:54:00Z">
        <w:r w:rsidRPr="003E54D0" w:rsidDel="00725D83">
          <w:rPr>
            <w:rFonts w:ascii="TimesNewRomanPSMT" w:eastAsia="Times New Roman" w:hAnsi="TimesNewRomanPSMT"/>
            <w:sz w:val="20"/>
            <w:szCs w:val="20"/>
          </w:rPr>
          <w:delText>are</w:delText>
        </w:r>
      </w:del>
      <w:ins w:id="18" w:author="Qi Wang" w:date="2023-10-10T12:54:00Z">
        <w:r w:rsidR="00725D83">
          <w:rPr>
            <w:rFonts w:ascii="TimesNewRomanPSMT" w:eastAsia="Times New Roman" w:hAnsi="TimesNewRomanPSMT"/>
            <w:sz w:val="20"/>
            <w:szCs w:val="20"/>
          </w:rPr>
          <w:t>being</w:t>
        </w:r>
      </w:ins>
      <w:r w:rsidRPr="003E54D0">
        <w:rPr>
          <w:rFonts w:ascii="TimesNewRomanPSMT" w:eastAsia="Times New Roman" w:hAnsi="TimesNewRomanPSMT"/>
          <w:sz w:val="20"/>
          <w:szCs w:val="20"/>
        </w:rPr>
        <w:t xml:space="preserve"> in the awake state</w:t>
      </w:r>
      <w:ins w:id="19"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as defined below</w:t>
      </w:r>
      <w:ins w:id="20"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for an initial Control frame sent by an AP affiliated with an AP MLD </w:t>
      </w:r>
      <w:r w:rsidRPr="003E54D0">
        <w:rPr>
          <w:rFonts w:ascii="TimesNewRomanPSMT" w:eastAsia="Times New Roman" w:hAnsi="TimesNewRomanPSMT"/>
          <w:sz w:val="20"/>
          <w:szCs w:val="20"/>
          <w:lang w:eastAsia="zh-CN"/>
        </w:rPr>
        <w:t xml:space="preserve">in a non-HT (duplicate) PPDU, followed by frame exchanges on the link on which the initial Control frame </w:t>
      </w:r>
      <w:r w:rsidRPr="003E54D0">
        <w:rPr>
          <w:rFonts w:ascii="TimesNewRomanPSMT" w:eastAsia="Times New Roman" w:hAnsi="TimesNewRomanPSMT"/>
          <w:sz w:val="20"/>
          <w:szCs w:val="20"/>
        </w:rPr>
        <w:t xml:space="preserve">was received. </w:t>
      </w:r>
    </w:p>
    <w:p w14:paraId="39AA6AB1" w14:textId="77777777" w:rsidR="003E54D0" w:rsidRPr="003E54D0" w:rsidRDefault="003E54D0" w:rsidP="003E54D0">
      <w:pPr>
        <w:pStyle w:val="NormalWeb"/>
        <w:rPr>
          <w:rFonts w:eastAsia="Times New Roman"/>
          <w:lang w:eastAsia="zh-CN"/>
        </w:rPr>
      </w:pPr>
    </w:p>
    <w:p w14:paraId="2251EA56" w14:textId="77777777"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In EMLSR mode, a non-AP MLD shall follow the rules defined in this subclause.</w:t>
      </w:r>
    </w:p>
    <w:p w14:paraId="52BE3DB8" w14:textId="77777777" w:rsidR="003E54D0" w:rsidRDefault="003E54D0" w:rsidP="003E54D0">
      <w:pPr>
        <w:rPr>
          <w:rFonts w:ascii="TimesNewRomanPSMT" w:eastAsia="Times New Roman" w:hAnsi="TimesNewRomanPSMT"/>
          <w:color w:val="000000"/>
          <w:sz w:val="20"/>
          <w:lang w:eastAsia="ko-KR"/>
        </w:rPr>
      </w:pPr>
    </w:p>
    <w:p w14:paraId="0D18C644" w14:textId="2632B0EE"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An AP MLD with dot11EHTEMLSROptionActivated equal to true shall follow the rules defined in this subclause.</w:t>
      </w:r>
    </w:p>
    <w:p w14:paraId="4E64CB6D" w14:textId="77777777" w:rsidR="00E64DF4" w:rsidRDefault="00E64DF4" w:rsidP="003E54D0">
      <w:pPr>
        <w:rPr>
          <w:rFonts w:ascii="TimesNewRomanPSMT" w:eastAsia="Times New Roman" w:hAnsi="TimesNewRomanPSMT"/>
          <w:color w:val="000000"/>
          <w:sz w:val="20"/>
          <w:lang w:eastAsia="ko-KR"/>
        </w:rPr>
      </w:pPr>
    </w:p>
    <w:p w14:paraId="023FCBD3" w14:textId="2A3767FF" w:rsidR="00E64DF4" w:rsidRDefault="00E64DF4" w:rsidP="00E64DF4">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 non-AP MLD may operate in the EMLSR mode on a specified set of the enabled link</w:t>
      </w:r>
      <w:ins w:id="21"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2"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between the non</w:t>
      </w:r>
      <w:r>
        <w:rPr>
          <w:rFonts w:ascii="TimesNewRomanPSMT" w:eastAsia="Times New Roman" w:hAnsi="TimesNewRomanPSMT"/>
          <w:color w:val="000000"/>
          <w:sz w:val="20"/>
          <w:lang w:eastAsia="ko-KR"/>
        </w:rPr>
        <w:t>-</w:t>
      </w:r>
      <w:r w:rsidRPr="00243B8B">
        <w:rPr>
          <w:rFonts w:ascii="TimesNewRomanPSMT" w:eastAsia="Times New Roman" w:hAnsi="TimesNewRomanPSMT"/>
          <w:color w:val="000000"/>
          <w:sz w:val="20"/>
          <w:lang w:eastAsia="ko-KR"/>
        </w:rPr>
        <w:t>AP MLD and its associated AP MLD. The specified set of the enabled link</w:t>
      </w:r>
      <w:ins w:id="23"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4"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on which the EMLSR mode is applied is called EMLSR link</w:t>
      </w:r>
      <w:ins w:id="25"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6"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The EMLSR link</w:t>
      </w:r>
      <w:ins w:id="27"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28"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shall be </w:t>
      </w:r>
    </w:p>
    <w:p w14:paraId="3D25E82C" w14:textId="1542C249" w:rsidR="00DB1F73" w:rsidRDefault="00E64DF4" w:rsidP="00E64DF4">
      <w:pPr>
        <w:rPr>
          <w:rFonts w:ascii="TimesNewRomanPSMT" w:hAnsi="TimesNewRomanPSMT"/>
          <w:color w:val="000000"/>
          <w:sz w:val="20"/>
        </w:rPr>
      </w:pPr>
      <w:r w:rsidRPr="00243B8B">
        <w:rPr>
          <w:rFonts w:ascii="TimesNewRomanPSMT" w:eastAsia="Times New Roman" w:hAnsi="TimesNewRomanPSMT"/>
          <w:color w:val="000000"/>
          <w:sz w:val="20"/>
          <w:lang w:eastAsia="ko-KR"/>
        </w:rPr>
        <w:t>Link Bitmap subfield of the EML Control field of the EML Operating Mode Notification frame by setting the bit position</w:t>
      </w:r>
      <w:ins w:id="29"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30"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of the EMLSR Link Bitmap subfield to 1. </w:t>
      </w:r>
      <w:r w:rsidR="0047380D">
        <w:rPr>
          <w:rFonts w:ascii="TimesNewRomanPSMT" w:eastAsia="Times New Roman" w:hAnsi="TimesNewRomanPSMT"/>
          <w:color w:val="000000"/>
          <w:sz w:val="20"/>
          <w:lang w:eastAsia="ko-KR"/>
        </w:rPr>
        <w:t xml:space="preserve"> </w:t>
      </w:r>
      <w:ins w:id="31" w:author="Qi Wang" w:date="2023-10-03T16:25:00Z">
        <w:r w:rsidR="00C2536B">
          <w:rPr>
            <w:rFonts w:ascii="TimesNewRomanPSMT" w:eastAsia="Times New Roman" w:hAnsi="TimesNewRomanPSMT"/>
            <w:color w:val="000000"/>
            <w:sz w:val="20"/>
            <w:lang w:eastAsia="ko-KR"/>
          </w:rPr>
          <w:t>A</w:t>
        </w:r>
        <w:r w:rsidR="00C2536B" w:rsidRPr="004A7866">
          <w:rPr>
            <w:rFonts w:ascii="TimesNewRomanPSMT" w:eastAsia="Times New Roman" w:hAnsi="TimesNewRomanPSMT"/>
            <w:color w:val="000000"/>
            <w:sz w:val="20"/>
            <w:lang w:eastAsia="ko-KR"/>
          </w:rPr>
          <w:t xml:space="preserve"> non-AP MLD m</w:t>
        </w:r>
        <w:r w:rsidR="00C2536B">
          <w:rPr>
            <w:rFonts w:ascii="TimesNewRomanPSMT" w:eastAsia="Times New Roman" w:hAnsi="TimesNewRomanPSMT"/>
            <w:color w:val="000000"/>
            <w:sz w:val="20"/>
            <w:lang w:eastAsia="ko-KR"/>
          </w:rPr>
          <w:t>ay</w:t>
        </w:r>
        <w:r w:rsidR="00C2536B" w:rsidRPr="004A7866">
          <w:rPr>
            <w:rFonts w:ascii="TimesNewRomanPSMT" w:eastAsia="Times New Roman" w:hAnsi="TimesNewRomanPSMT"/>
            <w:color w:val="000000"/>
            <w:sz w:val="20"/>
            <w:lang w:eastAsia="ko-KR"/>
          </w:rPr>
          <w:t xml:space="preserve"> set one </w:t>
        </w:r>
      </w:ins>
      <w:ins w:id="32" w:author="Qi Wang" w:date="2023-10-05T13:01:00Z">
        <w:r w:rsidR="007E6FD1">
          <w:rPr>
            <w:rFonts w:ascii="TimesNewRomanPSMT" w:eastAsia="Times New Roman" w:hAnsi="TimesNewRomanPSMT"/>
            <w:color w:val="000000"/>
            <w:sz w:val="20"/>
            <w:lang w:eastAsia="ko-KR"/>
          </w:rPr>
          <w:t xml:space="preserve">or more </w:t>
        </w:r>
      </w:ins>
      <w:ins w:id="33" w:author="Qi Wang" w:date="2023-10-03T16:26:00Z">
        <w:r w:rsidR="00C2536B">
          <w:rPr>
            <w:rFonts w:ascii="TimesNewRomanPSMT" w:eastAsia="Times New Roman" w:hAnsi="TimesNewRomanPSMT"/>
            <w:color w:val="000000"/>
            <w:sz w:val="20"/>
            <w:lang w:eastAsia="ko-KR"/>
          </w:rPr>
          <w:t>bit</w:t>
        </w:r>
      </w:ins>
      <w:ins w:id="34" w:author="Qi Wang" w:date="2023-10-05T13:01:00Z">
        <w:r w:rsidR="007E6FD1">
          <w:rPr>
            <w:rFonts w:ascii="TimesNewRomanPSMT" w:eastAsia="Times New Roman" w:hAnsi="TimesNewRomanPSMT"/>
            <w:color w:val="000000"/>
            <w:sz w:val="20"/>
            <w:lang w:eastAsia="ko-KR"/>
          </w:rPr>
          <w:t>s</w:t>
        </w:r>
      </w:ins>
      <w:ins w:id="35" w:author="Qi Wang" w:date="2023-10-03T16:26:00Z">
        <w:r w:rsidR="00C2536B">
          <w:rPr>
            <w:rFonts w:ascii="TimesNewRomanPSMT" w:eastAsia="Times New Roman" w:hAnsi="TimesNewRomanPSMT"/>
            <w:color w:val="000000"/>
            <w:sz w:val="20"/>
            <w:lang w:eastAsia="ko-KR"/>
          </w:rPr>
          <w:t xml:space="preserve"> </w:t>
        </w:r>
      </w:ins>
      <w:ins w:id="36" w:author="Qi Wang" w:date="2023-10-03T16:25:00Z">
        <w:r w:rsidR="00C2536B" w:rsidRPr="004A7866">
          <w:rPr>
            <w:rFonts w:ascii="TimesNewRomanPSMT" w:eastAsia="Times New Roman" w:hAnsi="TimesNewRomanPSMT"/>
            <w:color w:val="000000"/>
            <w:sz w:val="20"/>
            <w:lang w:eastAsia="ko-KR"/>
          </w:rPr>
          <w:t xml:space="preserve"> to 1 in the bit position</w:t>
        </w:r>
      </w:ins>
      <w:ins w:id="37" w:author="Qi Wang" w:date="2023-10-10T16:17:00Z">
        <w:r w:rsidR="00292B3D">
          <w:rPr>
            <w:rFonts w:ascii="TimesNewRomanPSMT" w:eastAsia="Times New Roman" w:hAnsi="TimesNewRomanPSMT"/>
            <w:color w:val="000000"/>
            <w:sz w:val="20"/>
            <w:lang w:eastAsia="ko-KR"/>
          </w:rPr>
          <w:t>(s)</w:t>
        </w:r>
      </w:ins>
      <w:ins w:id="38" w:author="Qi Wang" w:date="2023-10-03T16:25:00Z">
        <w:r w:rsidR="00C2536B" w:rsidRPr="004A7866">
          <w:rPr>
            <w:rFonts w:ascii="TimesNewRomanPSMT" w:eastAsia="Times New Roman" w:hAnsi="TimesNewRomanPSMT"/>
            <w:color w:val="000000"/>
            <w:sz w:val="20"/>
            <w:lang w:eastAsia="ko-KR"/>
          </w:rPr>
          <w:t xml:space="preserve"> of the EMLSR Link Bitmap subfield when the non-AP MLD enables the EMLSR mode.</w:t>
        </w:r>
      </w:ins>
      <w:ins w:id="39" w:author="Qi Wang" w:date="2023-10-03T16:26:00Z">
        <w:r w:rsidR="00C2536B">
          <w:rPr>
            <w:rFonts w:ascii="TimesNewRomanPSMT" w:eastAsia="Times New Roman" w:hAnsi="TimesNewRomanPSMT"/>
            <w:color w:val="000000"/>
            <w:sz w:val="20"/>
            <w:lang w:eastAsia="ko-KR"/>
          </w:rPr>
          <w:t xml:space="preserve"> </w:t>
        </w:r>
      </w:ins>
      <w:r w:rsidR="00191754">
        <w:rPr>
          <w:rFonts w:ascii="TimesNewRomanPSMT" w:eastAsia="Times New Roman" w:hAnsi="TimesNewRomanPSMT"/>
          <w:color w:val="000000"/>
          <w:sz w:val="20"/>
          <w:lang w:eastAsia="ko-KR"/>
        </w:rPr>
        <w:t xml:space="preserve"> </w:t>
      </w:r>
      <w:ins w:id="40" w:author="Qi Wang" w:date="2023-11-09T21:26:00Z">
        <w:r w:rsidR="00227112" w:rsidRPr="00227112">
          <w:rPr>
            <w:rFonts w:ascii="TimesNewRomanPSMT" w:eastAsia="Times New Roman" w:hAnsi="TimesNewRomanPSMT"/>
            <w:sz w:val="20"/>
            <w:szCs w:val="20"/>
          </w:rPr>
          <w:t xml:space="preserve">The EMLSR Link Bitmap subfield </w:t>
        </w:r>
      </w:ins>
      <w:ins w:id="41" w:author="Qi Wang" w:date="2023-11-09T21:29:00Z">
        <w:r w:rsidR="00227112" w:rsidRPr="00227112">
          <w:rPr>
            <w:rFonts w:ascii="TimesNewRomanPSMT" w:eastAsia="Times New Roman" w:hAnsi="TimesNewRomanPSMT"/>
            <w:sz w:val="20"/>
            <w:szCs w:val="20"/>
          </w:rPr>
          <w:t xml:space="preserve">value </w:t>
        </w:r>
      </w:ins>
      <w:ins w:id="42" w:author="Qi Wang" w:date="2023-11-09T21:26:00Z">
        <w:r w:rsidR="00227112" w:rsidRPr="00227112">
          <w:rPr>
            <w:rFonts w:ascii="TimesNewRomanPSMT" w:eastAsia="Times New Roman" w:hAnsi="TimesNewRomanPSMT"/>
            <w:sz w:val="20"/>
            <w:szCs w:val="20"/>
          </w:rPr>
          <w:t>of the</w:t>
        </w:r>
      </w:ins>
      <w:ins w:id="43" w:author="Qi Wang" w:date="2023-11-09T21:27:00Z">
        <w:r w:rsidR="00227112" w:rsidRPr="00227112">
          <w:rPr>
            <w:rFonts w:ascii="TimesNewRomanPSMT" w:eastAsia="Times New Roman" w:hAnsi="TimesNewRomanPSMT"/>
            <w:sz w:val="20"/>
            <w:szCs w:val="20"/>
          </w:rPr>
          <w:t xml:space="preserve"> latest EML Operating Mode Notification frame successfully transmitted by the non-AP MLD indicates the link(s) of t</w:t>
        </w:r>
      </w:ins>
      <w:ins w:id="44" w:author="Qi Wang" w:date="2023-11-09T21:28:00Z">
        <w:r w:rsidR="00227112" w:rsidRPr="00227112">
          <w:rPr>
            <w:rFonts w:ascii="TimesNewRomanPSMT" w:eastAsia="Times New Roman" w:hAnsi="TimesNewRomanPSMT"/>
            <w:sz w:val="20"/>
            <w:szCs w:val="20"/>
          </w:rPr>
          <w:t>he EMLSR operation.</w:t>
        </w:r>
        <w:r w:rsidR="00227112">
          <w:rPr>
            <w:rFonts w:ascii="TimesNewRomanPSMT" w:eastAsia="Times New Roman" w:hAnsi="TimesNewRomanPSMT"/>
            <w:sz w:val="20"/>
            <w:szCs w:val="20"/>
          </w:rPr>
          <w:t xml:space="preserve"> </w:t>
        </w:r>
      </w:ins>
      <w:ins w:id="45" w:author="Qi Wang" w:date="2023-10-03T17:16:00Z">
        <w:r w:rsidR="007631EB">
          <w:rPr>
            <w:rFonts w:ascii="TimesNewRomanPSMT" w:eastAsia="Times New Roman" w:hAnsi="TimesNewRomanPSMT"/>
            <w:color w:val="000000"/>
            <w:sz w:val="20"/>
            <w:lang w:eastAsia="ko-KR"/>
          </w:rPr>
          <w:t>(#19522)</w:t>
        </w:r>
      </w:ins>
      <w:ins w:id="46" w:author="Qi Wang" w:date="2023-10-03T16:26:00Z">
        <w:r w:rsidR="00C2536B">
          <w:rPr>
            <w:rFonts w:ascii="TimesNewRomanPSMT" w:eastAsia="Times New Roman" w:hAnsi="TimesNewRomanPSMT"/>
            <w:color w:val="000000"/>
            <w:sz w:val="20"/>
            <w:lang w:eastAsia="ko-KR"/>
          </w:rPr>
          <w:t xml:space="preserve"> </w:t>
        </w:r>
      </w:ins>
      <w:r w:rsidRPr="00243B8B">
        <w:rPr>
          <w:rFonts w:ascii="TimesNewRomanPSMT" w:eastAsia="Times New Roman" w:hAnsi="TimesNewRomanPSMT"/>
          <w:color w:val="000000"/>
          <w:sz w:val="20"/>
          <w:lang w:eastAsia="ko-KR"/>
        </w:rPr>
        <w:t>For the EMLSR mode enabled in a single radio non-AP MLD, the STA(s) affiliated with the non-AP MLD that operates on the enabled link(s) that corresponds to the bit</w:t>
      </w:r>
      <w:r>
        <w:rPr>
          <w:rFonts w:ascii="TimesNewRomanPSMT" w:eastAsia="Times New Roman" w:hAnsi="TimesNewRomanPSMT"/>
          <w:color w:val="000000"/>
          <w:sz w:val="20"/>
          <w:lang w:eastAsia="ko-KR"/>
        </w:rPr>
        <w:t xml:space="preserve"> </w:t>
      </w:r>
      <w:r w:rsidRPr="00065AC6">
        <w:rPr>
          <w:rFonts w:ascii="TimesNewRomanPSMT" w:hAnsi="TimesNewRomanPSMT"/>
          <w:color w:val="000000"/>
          <w:sz w:val="20"/>
        </w:rPr>
        <w:t>position(s) of the EMLSR Link Bitmap subfield equal to 0 shall be in doze state if a non-AP STA affiliated with the non-AP MLD that operates on one of the EMLSR link</w:t>
      </w:r>
      <w:ins w:id="47"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s</w:t>
      </w:r>
      <w:ins w:id="48"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 xml:space="preserve"> is in awake state.</w:t>
      </w:r>
    </w:p>
    <w:p w14:paraId="01A1B046" w14:textId="77777777"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When a non-AP MLD with dot11EHTEMLSROptionActivated equal to true (re)associates with an AP MLD, the EMLSR mode is disabled by default. </w:t>
      </w:r>
    </w:p>
    <w:p w14:paraId="3D606330" w14:textId="518D854B"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An MLD with dot11EHTEMLSROptionActivated equal to true shall set the EML Capabilities Present subfield to 1 and shall set the EMLSR Support subfield in the Common Info field of the Basic Multi-Link element (9.4.2.312.2 (Basic 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subfield to 0. An MLD with dot11EHTEMLSROptionActivated equal to false and dot11EHTEMLMROptionActivated equal to false shall set the EML Capabilities Present subfield to 0. </w:t>
      </w:r>
    </w:p>
    <w:p w14:paraId="798BF4A4" w14:textId="728E0DD8" w:rsidR="00E64DF4" w:rsidRDefault="00E64DF4" w:rsidP="00E64DF4">
      <w:pPr>
        <w:rPr>
          <w:rFonts w:ascii="TimesNewRomanPSMT" w:hAnsi="TimesNewRomanPSMT"/>
          <w:color w:val="000000"/>
          <w:sz w:val="20"/>
        </w:rPr>
      </w:pPr>
      <w:r w:rsidRPr="002A752B">
        <w:rPr>
          <w:rFonts w:ascii="TimesNewRomanPSMT" w:hAnsi="TimesNewRomanPSMT"/>
          <w:color w:val="000000"/>
          <w:sz w:val="20"/>
        </w:rPr>
        <w:t>When a non-AP MLD is operating in EMLSR mode on the EMLSR link</w:t>
      </w:r>
      <w:ins w:id="49"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50"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the non-AP STA</w:t>
      </w:r>
      <w:ins w:id="51"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52"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53"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54"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55"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s</w:t>
      </w:r>
      <w:ins w:id="56"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w:t>
      </w:r>
    </w:p>
    <w:p w14:paraId="3D28FD24" w14:textId="6A71E2F3" w:rsidR="00E64DF4" w:rsidRPr="00F70B60" w:rsidRDefault="00E64DF4" w:rsidP="00E64DF4">
      <w:pPr>
        <w:spacing w:before="100" w:beforeAutospacing="1" w:after="100" w:afterAutospacing="1"/>
        <w:rPr>
          <w:rFonts w:eastAsia="Times New Roman"/>
        </w:rPr>
      </w:pPr>
      <w:r w:rsidRPr="00F70B60">
        <w:rPr>
          <w:rFonts w:ascii="TimesNewRomanPSMT" w:eastAsia="TimesNewRomanPSMT" w:hAnsi="TimesNewRomanPSMT" w:hint="eastAsia"/>
          <w:sz w:val="20"/>
          <w:szCs w:val="20"/>
        </w:rPr>
        <w:t>When a non-AP MLD with dot11EHTEMLSROptionActivated equal to true intends to enable the EMLSR mode on the EMLSR link</w:t>
      </w:r>
      <w:ins w:id="57"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s</w:t>
      </w:r>
      <w:ins w:id="58"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 xml:space="preserve">, then: </w:t>
      </w:r>
    </w:p>
    <w:p w14:paraId="688433D4"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 non-AP STA affiliated with the non-AP MLD shall transmit an EML Operating Mode Notification frame with the EMLSR Mode subfield of the EML Control field of the frame set to 1 to an AP affiliated with its associated AP MLD with dot11EHTEMLSROptionActivated equal to true. </w:t>
      </w:r>
    </w:p>
    <w:p w14:paraId="32C53F7B" w14:textId="36142B5A" w:rsidR="00E64DF4" w:rsidRPr="00F70B60"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A non-AP MLD may set the In-Device Coexistence Activities subfield of the EML Control field of the EML Operating Mode Notification frame to 1 to indicate that it has in-device coexistence activities on the EMLSR link</w:t>
      </w:r>
      <w:ins w:id="59"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60"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to 0 to indicate that it has no, or does not know whether it has, in- device coexistence activities on the EMLSR link(s). </w:t>
      </w:r>
      <w:r>
        <w:rPr>
          <w:rFonts w:ascii="TimesNewRomanPSMT" w:eastAsia="TimesNewRomanPSMT" w:hAnsi="TimesNewRomanPSMT" w:cs="TimesNewRomanPSMT"/>
          <w:sz w:val="20"/>
          <w:szCs w:val="20"/>
        </w:rPr>
        <w:t xml:space="preserve"> </w:t>
      </w:r>
    </w:p>
    <w:p w14:paraId="54212800"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lastRenderedPageBreak/>
        <w:t xml:space="preserve">—  An AP affiliated with the AP MLD should successfully transmit an EML Operating Mode Notification frame, after the AP MLD is ready to serve the non-AP MLD in the EMLSR operation, as a response to the received EML Operating Mode Notification frame, to a non-AP STA that is in the awake state and affiliated with the non-AP MLD, within the transition timeout interval, and the following rules apply: </w:t>
      </w:r>
    </w:p>
    <w:p w14:paraId="17086B6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a)  The transition timeout interval is indicated in the Transition Timeout subfield in the EML Capabilities subfield of the Basic Multi-Link element. </w:t>
      </w:r>
    </w:p>
    <w:p w14:paraId="390E3639"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b)  The transition timeout interval starts at the end of the PPDU[+</w:t>
      </w:r>
      <w:proofErr w:type="spellStart"/>
      <w:r w:rsidRPr="00F70B60">
        <w:rPr>
          <w:rFonts w:ascii="TimesNewRomanPSMT" w:eastAsia="TimesNewRomanPSMT" w:hAnsi="TimesNewRomanPSMT" w:cs="TimesNewRomanPSMT" w:hint="eastAsia"/>
          <w:sz w:val="20"/>
          <w:szCs w:val="20"/>
        </w:rPr>
        <w:t>SigExt</w:t>
      </w:r>
      <w:proofErr w:type="spellEnd"/>
      <w:r w:rsidRPr="00F70B60">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71430BA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342436C1" w14:textId="4DF135E2"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The non-AP MLD shall operate in the EMLSR mode on the EMLSR link</w:t>
      </w:r>
      <w:ins w:id="61"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62"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the other non-AP STA</w:t>
      </w:r>
      <w:ins w:id="63"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64"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affiliated with the non-AP MLD operating on the corresponding EMLSR link</w:t>
      </w:r>
      <w:ins w:id="65"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66"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which did not transmit the EML Operating Mode Notification frame, shall transition to active mode without being required to transmit a frame with the Power Management subfield set to 0, either: </w:t>
      </w:r>
    </w:p>
    <w:p w14:paraId="6C555F74" w14:textId="4F4EF96D" w:rsidR="00E64DF4" w:rsidRPr="00F5184E" w:rsidRDefault="00F5184E" w:rsidP="00F5184E">
      <w:pPr>
        <w:spacing w:before="100" w:beforeAutospacing="1" w:after="100" w:afterAutospacing="1"/>
        <w:ind w:firstLine="720"/>
        <w:rPr>
          <w:rFonts w:ascii="TimesNewRomanPSMT" w:eastAsia="TimesNewRomanPSMT" w:hAnsi="TimesNewRomanPSMT" w:cs="TimesNewRomanPSMT"/>
          <w:sz w:val="20"/>
          <w:szCs w:val="20"/>
        </w:rPr>
      </w:pPr>
      <w:r w:rsidRPr="00F5184E">
        <w:rPr>
          <w:rFonts w:ascii="TimesNewRomanPSMT" w:eastAsia="TimesNewRomanPSMT" w:hAnsi="TimesNewRomanPSMT" w:cs="TimesNewRomanPSMT"/>
          <w:sz w:val="20"/>
          <w:szCs w:val="20"/>
        </w:rPr>
        <w:t xml:space="preserve">a) </w:t>
      </w:r>
      <w:r w:rsidR="00E64DF4" w:rsidRPr="00F5184E">
        <w:rPr>
          <w:rFonts w:ascii="TimesNewRomanPSMT" w:eastAsia="TimesNewRomanPSMT" w:hAnsi="TimesNewRomanPSMT" w:cs="TimesNewRomanPSMT" w:hint="eastAsia"/>
          <w:sz w:val="20"/>
          <w:szCs w:val="20"/>
        </w:rPr>
        <w:t xml:space="preserve">At the end of the transition timeout interval, or </w:t>
      </w:r>
    </w:p>
    <w:p w14:paraId="223BE113" w14:textId="66CF05A3" w:rsidR="00E64DF4" w:rsidRPr="00F5184E" w:rsidRDefault="00E64DF4" w:rsidP="00F5184E">
      <w:pPr>
        <w:pStyle w:val="ListParagraph"/>
        <w:numPr>
          <w:ilvl w:val="0"/>
          <w:numId w:val="19"/>
        </w:numPr>
        <w:spacing w:before="100" w:beforeAutospacing="1" w:after="100" w:afterAutospacing="1"/>
        <w:rPr>
          <w:rFonts w:eastAsia="Times New Roman"/>
          <w:szCs w:val="20"/>
        </w:rPr>
      </w:pPr>
      <w:r w:rsidRPr="00F5184E">
        <w:rPr>
          <w:rFonts w:ascii="TimesNewRomanPSMT" w:eastAsia="TimesNewRomanPSMT" w:hAnsi="TimesNewRomanPSMT" w:cs="TimesNewRomanPSMT" w:hint="eastAsia"/>
          <w:szCs w:val="20"/>
        </w:rPr>
        <w:t xml:space="preserve">Before the end of the transition timeout interval, immediately after transmitting an acknowledgment as a response to the received EML Operating Mode Notification frame from one of the APs affiliated with the AP MLD, </w:t>
      </w:r>
    </w:p>
    <w:p w14:paraId="6E365A02" w14:textId="77777777" w:rsidR="00E64DF4" w:rsidRPr="00F9357F" w:rsidRDefault="00E64DF4" w:rsidP="00E64DF4">
      <w:pPr>
        <w:spacing w:before="100" w:beforeAutospacing="1" w:after="100" w:afterAutospacing="1"/>
        <w:ind w:left="720"/>
        <w:rPr>
          <w:rFonts w:eastAsia="Times New Roman"/>
          <w:sz w:val="20"/>
          <w:szCs w:val="20"/>
        </w:rPr>
      </w:pPr>
      <w:r w:rsidRPr="00F9357F">
        <w:rPr>
          <w:rFonts w:ascii="TimesNewRomanPSMT" w:eastAsia="TimesNewRomanPSMT" w:hAnsi="TimesNewRomanPSMT" w:cs="TimesNewRomanPSMT" w:hint="eastAsia"/>
          <w:sz w:val="20"/>
          <w:szCs w:val="20"/>
        </w:rPr>
        <w:t xml:space="preserve">whichever comes first. </w:t>
      </w:r>
    </w:p>
    <w:p w14:paraId="36280333" w14:textId="53B620C0" w:rsidR="00E64DF4" w:rsidRPr="00F9357F" w:rsidRDefault="00E64DF4" w:rsidP="00E64DF4">
      <w:pPr>
        <w:spacing w:before="100" w:beforeAutospacing="1" w:after="100" w:afterAutospacing="1"/>
        <w:ind w:left="720"/>
        <w:rPr>
          <w:rFonts w:eastAsia="Times New Roman"/>
          <w:sz w:val="20"/>
          <w:szCs w:val="20"/>
        </w:rPr>
      </w:pPr>
      <w:r w:rsidRPr="00F70B60">
        <w:rPr>
          <w:rFonts w:ascii="TimesNewRomanPSMT" w:eastAsia="TimesNewRomanPSMT" w:hAnsi="TimesNewRomanPSMT" w:cs="TimesNewRomanPSMT" w:hint="eastAsia"/>
          <w:sz w:val="20"/>
          <w:szCs w:val="20"/>
        </w:rPr>
        <w:t>—  </w:t>
      </w:r>
      <w:r w:rsidRPr="00F9357F">
        <w:rPr>
          <w:rFonts w:ascii="TimesNewRomanPSMT" w:eastAsia="TimesNewRomanPSMT" w:hAnsi="TimesNewRomanPSMT" w:cs="TimesNewRomanPSMT" w:hint="eastAsia"/>
          <w:sz w:val="20"/>
          <w:szCs w:val="20"/>
        </w:rPr>
        <w:t>Any of the other non-AP STA</w:t>
      </w:r>
      <w:ins w:id="67"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s</w:t>
      </w:r>
      <w:ins w:id="68"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 xml:space="preserve"> operating on the corresponding EMLSR link</w:t>
      </w:r>
      <w:ins w:id="69" w:author="Qi Wang" w:date="2023-09-20T16:59:00Z">
        <w:r w:rsidR="00F5184E">
          <w:rPr>
            <w:rFonts w:ascii="TimesNewRomanPSMT" w:eastAsia="TimesNewRomanPSMT" w:hAnsi="TimesNewRomanPSMT" w:cs="TimesNewRomanPSMT"/>
            <w:sz w:val="20"/>
            <w:szCs w:val="20"/>
          </w:rPr>
          <w:t>(s)</w:t>
        </w:r>
      </w:ins>
      <w:r w:rsidRPr="00F9357F">
        <w:rPr>
          <w:rFonts w:ascii="TimesNewRomanPSMT" w:eastAsia="TimesNewRomanPSMT" w:hAnsi="TimesNewRomanPSMT" w:cs="TimesNewRomanPSMT" w:hint="eastAsia"/>
          <w:sz w:val="20"/>
          <w:szCs w:val="20"/>
        </w:rPr>
        <w:t xml:space="preserve"> shall not transmit a frame with the Power Management subfield set to 1 before receiving the EML Operating Mode Notification frame from one of the APs affiliated with the AP MLD or before the end of the transition timeout interval, whichever comes first. </w:t>
      </w:r>
    </w:p>
    <w:p w14:paraId="5B286ECD"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with dot11EHTEMLSROptionActivated equal to true intends to disable the EMLSR mode, then: </w:t>
      </w:r>
    </w:p>
    <w:p w14:paraId="392F91FA"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 non-AP STA affiliated with the non-AP MLD shall transmit an EML Operating Mode Notification frame with the EMLSR Mode subfield of the EML Control field of the frame set to 0 to an AP affiliated with its associated AP MLD with dot11EHTEMLSROptionActivated equal to true. </w:t>
      </w:r>
    </w:p>
    <w:p w14:paraId="7100060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An AP affiliated with the AP MLD should successfully transmit an EML Operating Mode Notification frame, after the AP MLD is no longer serving the non-AP MLD in the EMLSR operation, as a response to the received EML Operating Mode Notification frame, to a non-</w:t>
      </w:r>
      <w:r w:rsidRPr="00A6204C">
        <w:rPr>
          <w:rFonts w:ascii="TimesNewRomanPSMT" w:eastAsia="Times New Roman" w:hAnsi="TimesNewRomanPSMT"/>
          <w:sz w:val="20"/>
          <w:szCs w:val="20"/>
        </w:rPr>
        <w:lastRenderedPageBreak/>
        <w:t xml:space="preserve">AP STA that is in the awake state and affiliated with the non-AP MLD, within the transition timeout interval, and the following rules apply: </w:t>
      </w:r>
    </w:p>
    <w:p w14:paraId="28F4FF95"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transition timeout interval is indicated in the Transition Timeout subfield in the EML Capabilities subfield of the Basic Multi-Link element. </w:t>
      </w:r>
    </w:p>
    <w:p w14:paraId="59FDCF51"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b) The transition timeout interval starts at the end of the PPDU[+</w:t>
      </w:r>
      <w:proofErr w:type="spellStart"/>
      <w:r w:rsidRPr="00A6204C">
        <w:rPr>
          <w:rFonts w:ascii="TimesNewRomanPSMT" w:eastAsia="Times New Roman" w:hAnsi="TimesNewRomanPSMT"/>
          <w:sz w:val="20"/>
          <w:szCs w:val="20"/>
        </w:rPr>
        <w:t>SigExt</w:t>
      </w:r>
      <w:proofErr w:type="spellEnd"/>
      <w:r w:rsidRPr="00A6204C">
        <w:rPr>
          <w:rFonts w:ascii="TimesNewRomanPSMT" w:eastAsia="Times New Roman" w:hAnsi="TimesNewRomanPSMT"/>
          <w:sz w:val="20"/>
          <w:szCs w:val="20"/>
        </w:rPr>
        <w:t xml:space="preserve">] that is transmitted by the AP affiliated with the AP MLD carrying the immediate acknowledgement to the EML Operating Mode Notification frame transmitted by the non-AP STA affiliated with the non-AP MLD. </w:t>
      </w:r>
    </w:p>
    <w:p w14:paraId="79074E9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285F9E00" w14:textId="7DDF8C9F"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disable the EMLSR mode and the other non-AP STA</w:t>
      </w:r>
      <w:ins w:id="70"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71"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affiliated with the non-AP MLD operating on the corresponding EMLSR link</w:t>
      </w:r>
      <w:ins w:id="72"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73"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which did not transmit the EML Operating Mode Notification frame, shall transition to power save mode without being required to transmit a frame with the Power Management subfield set to 1, either: </w:t>
      </w:r>
    </w:p>
    <w:p w14:paraId="773D2C0E"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a) At the end of the transition timeout interval, or </w:t>
      </w:r>
    </w:p>
    <w:p w14:paraId="00D00EE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b) Before the end of the transition timeout interval, immediately after transmitting an acknowledgment as a response to the received EML Operating Mode Notification frame from one of the APs affiliated with the AP MLD, </w:t>
      </w:r>
    </w:p>
    <w:p w14:paraId="48D9348C"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whichever comes first. </w:t>
      </w:r>
    </w:p>
    <w:p w14:paraId="4FC1BD45" w14:textId="7132ADC4"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Any of the other non-AP STA</w:t>
      </w:r>
      <w:ins w:id="74"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75"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operating on the corresponding EMLSR link</w:t>
      </w:r>
      <w:ins w:id="76" w:author="Qi Wang" w:date="2023-09-20T17:00:00Z">
        <w:r w:rsidR="00F5184E">
          <w:rPr>
            <w:rFonts w:ascii="TimesNewRomanPSMT" w:eastAsia="Times New Roman" w:hAnsi="TimesNewRomanPSMT"/>
            <w:sz w:val="20"/>
            <w:szCs w:val="20"/>
          </w:rPr>
          <w:t>(s)</w:t>
        </w:r>
      </w:ins>
      <w:r w:rsidRPr="00A6204C">
        <w:rPr>
          <w:rFonts w:ascii="TimesNewRomanPSMT" w:eastAsia="Times New Roman" w:hAnsi="TimesNewRomanPSMT"/>
          <w:sz w:val="20"/>
          <w:szCs w:val="20"/>
        </w:rPr>
        <w:t xml:space="preserve"> shall not transmit a frame with the Power Management subfield set to 0 before receiving the EML Operating Mode Notification frame from one of the APs affiliated with the AP MLD or before the end of the transition timeout interval, whichever comes first. </w:t>
      </w:r>
    </w:p>
    <w:p w14:paraId="5686E046" w14:textId="01EAD01E"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1—</w:t>
      </w:r>
      <w:r w:rsidR="0045000A">
        <w:rPr>
          <w:rFonts w:ascii="TimesNewRomanPSMT" w:eastAsia="Times New Roman" w:hAnsi="TimesNewRomanPSMT"/>
          <w:sz w:val="18"/>
          <w:szCs w:val="18"/>
        </w:rPr>
        <w:t>E</w:t>
      </w:r>
      <w:r w:rsidRPr="00A6204C">
        <w:rPr>
          <w:rFonts w:ascii="TimesNewRomanPSMT" w:eastAsia="Times New Roman" w:hAnsi="TimesNewRomanPSMT"/>
          <w:sz w:val="18"/>
          <w:szCs w:val="18"/>
        </w:rPr>
        <w:t>ach of the STAs on the other link</w:t>
      </w:r>
      <w:ins w:id="77"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78"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of the EMLSR links can transmit a frame with the Power Management subfield set to 1 and transition to power save mode immediately after successful transmission of the frame as described in 11.2.3.2 (Non-AP STA power management modes).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34479F0C"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NOTE 2—A non-AP STA operating on one of the EMLSR link</w:t>
      </w:r>
      <w:ins w:id="79"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80"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can change its power management mode and follows the procedure in 11.2 (Power management). A non-AP STA can listen on one of the EMLSR link</w:t>
      </w:r>
      <w:ins w:id="81"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82"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in active mode or in PS mode when it is in the awake state. </w:t>
      </w:r>
    </w:p>
    <w:p w14:paraId="377EAE72" w14:textId="4D437666" w:rsidR="00A6204C" w:rsidRPr="00A6204C" w:rsidRDefault="00A6204C" w:rsidP="00A6204C">
      <w:pPr>
        <w:spacing w:before="100" w:beforeAutospacing="1" w:after="100" w:afterAutospacing="1"/>
        <w:ind w:left="720"/>
        <w:rPr>
          <w:rFonts w:eastAsia="Times New Roman"/>
        </w:rPr>
      </w:pPr>
      <w:r>
        <w:rPr>
          <w:rFonts w:ascii="TimesNewRomanPSMT" w:eastAsia="Times New Roman" w:hAnsi="TimesNewRomanPSMT"/>
          <w:sz w:val="20"/>
          <w:szCs w:val="20"/>
        </w:rPr>
        <w:lastRenderedPageBreak/>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On the EMLSR link(s), the group addressed frame(s) that are expected to be received by the non-AP MLD shall be buffered and delivered following the rules defined in 35.3.15 (Multi-link operation group addressed frames).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09767D89"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lastRenderedPageBreak/>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w:t>
      </w:r>
      <w:r w:rsidR="00A6204C" w:rsidRPr="00A6204C">
        <w:rPr>
          <w:rFonts w:ascii="TimesNewRomanPSMT" w:eastAsia="Times New Roman" w:hAnsi="TimesNewRomanPSMT"/>
          <w:sz w:val="20"/>
          <w:szCs w:val="20"/>
          <w:lang w:eastAsia="zh-CN"/>
        </w:rPr>
        <w:t xml:space="preserve">the frame exchanges, the other AP(s) affiliated with the AP MLD shall not transmit frames to the other non-AP STA(s) affiliated with the non-AP MLD on the other EMLSR link(s).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21A34BB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r w:rsidR="00A2156D">
        <w:rPr>
          <w:rFonts w:ascii="TimesNewRomanPSMT" w:eastAsia="Times New Roman" w:hAnsi="TimesNewRomanPSMT"/>
          <w:sz w:val="20"/>
          <w:szCs w:val="20"/>
        </w:rPr>
        <w:t xml:space="preserve"> </w:t>
      </w:r>
    </w:p>
    <w:p w14:paraId="5197BC83" w14:textId="77777777" w:rsidR="00C11FA1" w:rsidRDefault="00C11FA1" w:rsidP="00C11FA1">
      <w:pPr>
        <w:pStyle w:val="ListParagraph"/>
        <w:rPr>
          <w:rFonts w:ascii="TimesNewRomanPSMT" w:eastAsia="Times New Roman" w:hAnsi="TimesNewRomanPSMT"/>
          <w:szCs w:val="20"/>
        </w:rPr>
      </w:pPr>
    </w:p>
    <w:p w14:paraId="3B250A32" w14:textId="37079D29"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w:t>
      </w:r>
      <w:ins w:id="83"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s</w:t>
      </w:r>
      <w:ins w:id="84"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 xml:space="preserve">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326D11C"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w:t>
      </w:r>
      <w:proofErr w:type="spellEnd"/>
      <w:r w:rsidRPr="00C11FA1">
        <w:rPr>
          <w:rFonts w:ascii="TimesNewRomanPSMT" w:eastAsia="Times New Roman" w:hAnsi="TimesNewRomanPSMT"/>
          <w:szCs w:val="20"/>
        </w:rPr>
        <w:t xml:space="preserve">- </w:t>
      </w:r>
      <w:proofErr w:type="spellStart"/>
      <w:r w:rsidRPr="00C11FA1">
        <w:rPr>
          <w:rFonts w:ascii="TimesNewRomanPSMT" w:eastAsia="Times New Roman" w:hAnsi="TimesNewRomanPSMT"/>
          <w:szCs w:val="20"/>
        </w:rPr>
        <w:t>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lastRenderedPageBreak/>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115BEA28" w:rsidR="00A6204C" w:rsidRPr="00A6204C" w:rsidRDefault="00C11FA1" w:rsidP="008067ED">
      <w:pPr>
        <w:spacing w:before="100" w:beforeAutospacing="1" w:after="100" w:afterAutospacing="1"/>
        <w:ind w:left="720"/>
        <w:rPr>
          <w:rFonts w:eastAsia="Times New Roman"/>
        </w:rPr>
      </w:pPr>
      <w:proofErr w:type="spellStart"/>
      <w:r>
        <w:rPr>
          <w:rFonts w:ascii="TimesNewRomanPSMT" w:eastAsia="Times New Roman" w:hAnsi="TimesNewRomanPSMT"/>
          <w:sz w:val="20"/>
          <w:szCs w:val="20"/>
        </w:rPr>
        <w:t>i</w:t>
      </w:r>
      <w:proofErr w:type="spellEnd"/>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Any one of the non-AP STA</w:t>
      </w:r>
      <w:ins w:id="85"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86"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affiliated with the non-AP MLD that is operating on one of the EMLSR link</w:t>
      </w:r>
      <w:ins w:id="87"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88"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may initiate frame exchanges with the AP MLD. </w:t>
      </w:r>
    </w:p>
    <w:p w14:paraId="0834C5BC" w14:textId="320BCCD3" w:rsidR="00A6204C" w:rsidRPr="00A6204C" w:rsidRDefault="00C11FA1" w:rsidP="008067ED">
      <w:pPr>
        <w:spacing w:before="100" w:beforeAutospacing="1" w:after="100" w:afterAutospacing="1"/>
        <w:ind w:left="720"/>
        <w:rPr>
          <w:rFonts w:eastAsia="Times New Roman"/>
        </w:rPr>
      </w:pPr>
      <w:r>
        <w:rPr>
          <w:rFonts w:ascii="TimesNewRomanPSMT" w:eastAsia="Times New Roman" w:hAnsi="TimesNewRomanPSMT"/>
          <w:sz w:val="20"/>
          <w:szCs w:val="20"/>
        </w:rPr>
        <w:t>j</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When a non-AP STA affiliated with the non-AP MLD initiates a TXOP, the following applies: </w:t>
      </w:r>
    </w:p>
    <w:p w14:paraId="6B926887" w14:textId="38A238C1"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20"/>
          <w:szCs w:val="20"/>
        </w:rPr>
        <w:t>• The non-AP MLD shall be switched back to the listening operation on the EMLSR link</w:t>
      </w:r>
      <w:ins w:id="89"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90"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after the EMLSR transition delay time indicated by the non-AP MLD after the end of the TXOP. </w:t>
      </w:r>
    </w:p>
    <w:p w14:paraId="15659719"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5—A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756262FC" w14:textId="77777777" w:rsidR="00A6204C" w:rsidRPr="00A6204C" w:rsidRDefault="00A6204C" w:rsidP="008067ED">
      <w:pPr>
        <w:spacing w:before="100" w:beforeAutospacing="1" w:after="100" w:afterAutospacing="1"/>
        <w:ind w:firstLine="720"/>
        <w:rPr>
          <w:rFonts w:eastAsia="Times New Roman"/>
        </w:rPr>
      </w:pPr>
      <w:r w:rsidRPr="00A6204C">
        <w:rPr>
          <w:rFonts w:ascii="TimesNewRomanPSMT" w:eastAsia="Times New Roman" w:hAnsi="TimesNewRomanPSMT"/>
          <w:sz w:val="18"/>
          <w:szCs w:val="18"/>
        </w:rPr>
        <w:t xml:space="preserve">NOTE 6—The rules above also apply to a sounding sequence. </w:t>
      </w:r>
    </w:p>
    <w:p w14:paraId="5A7C53A2"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7—When an AP affiliated with the AP MLD transmits an initial Control frame that initiates frame exchanges with more than one non-AP MLD operating in the EMLSR mode, the AP ensures that 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6EA151E1"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lastRenderedPageBreak/>
        <w:t xml:space="preserve">NOTE 8—A non-AP STA affiliated with the non-AP MLD follows the rules defined in 11.2.3.7 (Receive operation for STAs in PS mode) and 11.2.3.8 (Receive operation using APSD). </w:t>
      </w:r>
    </w:p>
    <w:p w14:paraId="3DCF1162"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9—A non-AP STA affiliated with a non-AP MLD that is operating in the EMLSR mode can receive Beacon frames at scheduled beacon transmission times (i.e., TBTT). </w:t>
      </w:r>
    </w:p>
    <w:p w14:paraId="4BDAC4FA"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10—The MU-RTS Trigger frame can be used to initiate frame exchanges with one or more STAs affiliated with non-AP MLDs in the EMLSR mode. </w:t>
      </w:r>
    </w:p>
    <w:p w14:paraId="22C385A3"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Examples of frame exchanges during EMLSR operation are shown in AF.14 (Examples of enhanced multi- link single radio operation). </w:t>
      </w:r>
    </w:p>
    <w:p w14:paraId="7E3BAA58" w14:textId="1704E361" w:rsidR="00A6204C" w:rsidRPr="00A6204C" w:rsidRDefault="00A6204C" w:rsidP="00A6204C">
      <w:pPr>
        <w:spacing w:before="100" w:beforeAutospacing="1" w:after="100" w:afterAutospacing="1"/>
        <w:rPr>
          <w:rFonts w:eastAsia="Times New Roman"/>
        </w:rPr>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AC08" w14:textId="77777777" w:rsidR="00861B01" w:rsidRDefault="00861B01">
      <w:r>
        <w:separator/>
      </w:r>
    </w:p>
  </w:endnote>
  <w:endnote w:type="continuationSeparator" w:id="0">
    <w:p w14:paraId="0AF74B0A" w14:textId="77777777" w:rsidR="00861B01" w:rsidRDefault="0086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0E90" w14:textId="77777777" w:rsidR="00861B01" w:rsidRDefault="00861B01">
      <w:r>
        <w:separator/>
      </w:r>
    </w:p>
  </w:footnote>
  <w:footnote w:type="continuationSeparator" w:id="0">
    <w:p w14:paraId="4E54714B" w14:textId="77777777" w:rsidR="00861B01" w:rsidRDefault="0086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423D8F3C" w:rsidR="00CC512C" w:rsidRDefault="006E53F0" w:rsidP="00BD0F35">
    <w:pPr>
      <w:pStyle w:val="Header"/>
      <w:tabs>
        <w:tab w:val="clear" w:pos="6480"/>
        <w:tab w:val="left" w:pos="3504"/>
        <w:tab w:val="center" w:pos="4680"/>
        <w:tab w:val="right" w:pos="9360"/>
      </w:tabs>
    </w:pPr>
    <w:r>
      <w:t>October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t>1760</w:t>
    </w:r>
    <w:r w:rsidR="00D80845">
      <w:t>r</w:t>
    </w:r>
    <w:r w:rsidR="00A215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D"/>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54"/>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112"/>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B01"/>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25989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2020-12-08T02:55:00Z</cp:lastPrinted>
  <dcterms:created xsi:type="dcterms:W3CDTF">2023-11-10T18:42:00Z</dcterms:created>
  <dcterms:modified xsi:type="dcterms:W3CDTF">2023-11-10T18:44:00Z</dcterms:modified>
  <cp:category/>
</cp:coreProperties>
</file>