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06A65" w:rsidP="004D584C">
            <w:pPr>
              <w:pStyle w:val="T2"/>
            </w:pPr>
            <w:r>
              <w:t>Resolutions for some comments on 11me/D</w:t>
            </w:r>
            <w:r>
              <w:t>4</w:t>
            </w:r>
            <w:r>
              <w:t>.0 (</w:t>
            </w:r>
            <w:r>
              <w:t>initial SA ballot</w:t>
            </w:r>
            <w: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06A65">
              <w:rPr>
                <w:b w:val="0"/>
                <w:sz w:val="20"/>
              </w:rPr>
              <w:t xml:space="preserve">  2023-10-12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6A65">
        <w:trPr>
          <w:jc w:val="center"/>
        </w:trPr>
        <w:tc>
          <w:tcPr>
            <w:tcW w:w="1336" w:type="dxa"/>
            <w:vAlign w:val="center"/>
          </w:tcPr>
          <w:p w:rsidR="00006A65" w:rsidRDefault="00006A65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006A65" w:rsidRDefault="00006A65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814" w:type="dxa"/>
            <w:vAlign w:val="center"/>
          </w:tcPr>
          <w:p w:rsidR="00006A65" w:rsidRDefault="00006A65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SJH, CB4 0DS, U.K.</w:t>
            </w:r>
          </w:p>
        </w:tc>
        <w:tc>
          <w:tcPr>
            <w:tcW w:w="1715" w:type="dxa"/>
            <w:vAlign w:val="center"/>
          </w:tcPr>
          <w:p w:rsidR="00006A65" w:rsidRDefault="00006A65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:rsidR="00006A65" w:rsidRDefault="00006A65" w:rsidP="00006A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samsung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>letter emme then dot rison</w:t>
            </w: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06A65" w:rsidRDefault="00006A65" w:rsidP="00006A65">
                            <w:pPr>
                              <w:jc w:val="both"/>
                            </w:pPr>
                            <w:r>
                              <w:t>This submission proposes resolut</w:t>
                            </w:r>
                            <w:r>
                              <w:t>ions for various CIDs on 11me/D4</w:t>
                            </w:r>
                            <w:r>
                              <w:t>.0.  Green indicates material agreed to in the group, yellow material to be discussed, red material rejected by the group and cyan material not to be overlooked.  The “Final”/“No Markup” view should be selected in Word (this means Word comments can be disregarded by the Editor).</w:t>
                            </w:r>
                          </w:p>
                          <w:p w:rsidR="0029020B" w:rsidRDefault="0029020B" w:rsidP="00006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06A65" w:rsidRDefault="00006A65" w:rsidP="00006A65">
                      <w:pPr>
                        <w:jc w:val="both"/>
                      </w:pPr>
                      <w:r>
                        <w:t>This submission proposes resolut</w:t>
                      </w:r>
                      <w:r>
                        <w:t>ions for various CIDs on 11me/D4</w:t>
                      </w:r>
                      <w:r>
                        <w:t>.0.  Green indicates material agreed to in the group, yellow material to be discussed, red material rejected by the group and cyan material not to be overlooked.  The “Final”/“No Markup” view should be selected in Word (this means Word comments can be disregarded by the Editor).</w:t>
                      </w:r>
                    </w:p>
                    <w:p w:rsidR="0029020B" w:rsidRDefault="0029020B" w:rsidP="00006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C0B01">
      <w:pPr>
        <w:pStyle w:val="Heading1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384"/>
      </w:tblGrid>
      <w:tr w:rsidR="00006A65" w:rsidTr="00B7413C">
        <w:tc>
          <w:tcPr>
            <w:tcW w:w="1809" w:type="dxa"/>
          </w:tcPr>
          <w:p w:rsidR="00006A65" w:rsidRDefault="00006A65" w:rsidP="00B7413C">
            <w:r>
              <w:lastRenderedPageBreak/>
              <w:t>Identifiers</w:t>
            </w:r>
          </w:p>
        </w:tc>
        <w:tc>
          <w:tcPr>
            <w:tcW w:w="4383" w:type="dxa"/>
          </w:tcPr>
          <w:p w:rsidR="00006A65" w:rsidRDefault="00006A65" w:rsidP="00B7413C">
            <w:r>
              <w:t>Comment</w:t>
            </w:r>
          </w:p>
        </w:tc>
        <w:tc>
          <w:tcPr>
            <w:tcW w:w="3384" w:type="dxa"/>
          </w:tcPr>
          <w:p w:rsidR="00006A65" w:rsidRDefault="00006A65" w:rsidP="00B7413C">
            <w:r>
              <w:t>Proposed change</w:t>
            </w:r>
          </w:p>
        </w:tc>
      </w:tr>
      <w:tr w:rsidR="00006A65" w:rsidRPr="002C1619" w:rsidTr="00B7413C">
        <w:tc>
          <w:tcPr>
            <w:tcW w:w="1809" w:type="dxa"/>
          </w:tcPr>
          <w:p w:rsidR="00006A65" w:rsidRDefault="00D64FED" w:rsidP="00B7413C">
            <w:r>
              <w:t>CID 6401</w:t>
            </w:r>
          </w:p>
          <w:p w:rsidR="00006A65" w:rsidRDefault="00006A65" w:rsidP="00B7413C">
            <w:r>
              <w:t>Mark RISON</w:t>
            </w:r>
          </w:p>
          <w:p w:rsidR="00006A65" w:rsidRDefault="00006A65" w:rsidP="00B7413C"/>
        </w:tc>
        <w:tc>
          <w:tcPr>
            <w:tcW w:w="4383" w:type="dxa"/>
          </w:tcPr>
          <w:p w:rsidR="00006A65" w:rsidRPr="002C1619" w:rsidRDefault="00D64FED" w:rsidP="00B7413C">
            <w:r w:rsidRPr="00D64FED">
              <w:t>"assumes" -- the standard should not assume, it should require</w:t>
            </w:r>
          </w:p>
        </w:tc>
        <w:tc>
          <w:tcPr>
            <w:tcW w:w="3384" w:type="dxa"/>
          </w:tcPr>
          <w:p w:rsidR="00006A65" w:rsidRPr="002C1619" w:rsidRDefault="00D64FED" w:rsidP="00B7413C">
            <w:r w:rsidRPr="00D64FED">
              <w:t>Make the changes highlighted in red under CIDs 1397/1398/1794 in 22/0353r10</w:t>
            </w:r>
          </w:p>
        </w:tc>
      </w:tr>
    </w:tbl>
    <w:p w:rsidR="00006A65" w:rsidRDefault="00006A65" w:rsidP="00006A65"/>
    <w:p w:rsidR="00006A65" w:rsidRPr="00F70C97" w:rsidRDefault="00006A65" w:rsidP="00006A65">
      <w:pPr>
        <w:rPr>
          <w:u w:val="single"/>
        </w:rPr>
      </w:pPr>
      <w:r w:rsidRPr="00F70C97">
        <w:rPr>
          <w:u w:val="single"/>
        </w:rPr>
        <w:t>Discussion:</w:t>
      </w:r>
    </w:p>
    <w:p w:rsidR="00006A65" w:rsidRDefault="00006A65" w:rsidP="00006A65"/>
    <w:p w:rsidR="00006A65" w:rsidRDefault="00D64FED" w:rsidP="00006A65">
      <w:r>
        <w:t>As it says in the comment.  However, there are concerns about “shall”s for entities that are not specified by 802.11.</w:t>
      </w:r>
    </w:p>
    <w:p w:rsidR="00D64FED" w:rsidRDefault="00D64FED" w:rsidP="00006A65"/>
    <w:p w:rsidR="00006A65" w:rsidRDefault="00006A65" w:rsidP="00006A65">
      <w:pPr>
        <w:rPr>
          <w:u w:val="single"/>
        </w:rPr>
      </w:pPr>
      <w:r>
        <w:rPr>
          <w:u w:val="single"/>
        </w:rPr>
        <w:t>Proposed changes</w:t>
      </w:r>
      <w:r w:rsidRPr="00F70C97">
        <w:rPr>
          <w:u w:val="single"/>
        </w:rPr>
        <w:t>:</w:t>
      </w:r>
    </w:p>
    <w:p w:rsidR="00006A65" w:rsidRDefault="00006A65" w:rsidP="00006A65">
      <w:pPr>
        <w:rPr>
          <w:u w:val="single"/>
        </w:rPr>
      </w:pPr>
    </w:p>
    <w:p w:rsidR="00006A65" w:rsidRDefault="00006A65" w:rsidP="00006A65">
      <w:r>
        <w:t>Make the changes indicated at the following locations:</w:t>
      </w:r>
    </w:p>
    <w:p w:rsidR="00006A65" w:rsidRDefault="00006A65" w:rsidP="00006A65"/>
    <w:p w:rsidR="00D64FED" w:rsidRPr="005215CE" w:rsidRDefault="00D64FED" w:rsidP="00D64FED">
      <w:pPr>
        <w:rPr>
          <w:u w:val="single"/>
        </w:rPr>
      </w:pPr>
      <w:r>
        <w:t xml:space="preserve">171.32: In this document, the word </w:t>
      </w:r>
      <w:r w:rsidRPr="005215CE">
        <w:rPr>
          <w:i/>
        </w:rPr>
        <w:t>shall</w:t>
      </w:r>
      <w:r>
        <w:t xml:space="preserve"> is used to indicate a mandatory requirement. The word </w:t>
      </w:r>
      <w:r w:rsidRPr="005215CE">
        <w:rPr>
          <w:i/>
        </w:rPr>
        <w:t>should</w:t>
      </w:r>
      <w:r>
        <w:t xml:space="preserve"> is used to indicate a recommendation. The word </w:t>
      </w:r>
      <w:r w:rsidRPr="005215CE">
        <w:rPr>
          <w:i/>
        </w:rPr>
        <w:t>may</w:t>
      </w:r>
      <w:r>
        <w:t xml:space="preserve"> is used to indicate a permissible action. The word </w:t>
      </w:r>
      <w:r w:rsidRPr="005215CE">
        <w:rPr>
          <w:i/>
        </w:rPr>
        <w:t>can</w:t>
      </w:r>
      <w:r>
        <w:t xml:space="preserve"> is used for statements of possibility and capability.</w:t>
      </w:r>
      <w:r w:rsidRPr="005215CE">
        <w:rPr>
          <w:u w:val="single"/>
        </w:rPr>
        <w:t xml:space="preserve"> The words </w:t>
      </w:r>
      <w:r w:rsidRPr="005215CE">
        <w:rPr>
          <w:i/>
          <w:u w:val="single"/>
        </w:rPr>
        <w:t>need</w:t>
      </w:r>
      <w:r w:rsidR="004D584C">
        <w:rPr>
          <w:i/>
          <w:u w:val="single"/>
        </w:rPr>
        <w:t>(</w:t>
      </w:r>
      <w:r w:rsidRPr="005215CE">
        <w:rPr>
          <w:i/>
          <w:u w:val="single"/>
        </w:rPr>
        <w:t>s</w:t>
      </w:r>
      <w:r w:rsidR="004D584C">
        <w:rPr>
          <w:i/>
          <w:u w:val="single"/>
        </w:rPr>
        <w:t>)</w:t>
      </w:r>
      <w:r w:rsidRPr="005215CE">
        <w:rPr>
          <w:i/>
          <w:u w:val="single"/>
        </w:rPr>
        <w:t xml:space="preserve"> to</w:t>
      </w:r>
      <w:r w:rsidRPr="005215CE">
        <w:rPr>
          <w:u w:val="single"/>
        </w:rPr>
        <w:t xml:space="preserve"> are used to indicate a requirement on an entity outsid</w:t>
      </w:r>
      <w:r>
        <w:rPr>
          <w:u w:val="single"/>
        </w:rPr>
        <w:t>e the scope of this standard</w:t>
      </w:r>
      <w:r w:rsidRPr="005215CE">
        <w:rPr>
          <w:u w:val="single"/>
        </w:rPr>
        <w:t>.</w:t>
      </w:r>
    </w:p>
    <w:p w:rsidR="00D64FED" w:rsidRDefault="00D64FED" w:rsidP="00006A65"/>
    <w:p w:rsidR="00006A65" w:rsidRPr="00202D7E" w:rsidRDefault="00006A65" w:rsidP="00006A65">
      <w:r w:rsidRPr="00FC3565">
        <w:t xml:space="preserve">342.16: In order for the MAC to operate properly, </w:t>
      </w:r>
      <w:r w:rsidRPr="00FC3565">
        <w:rPr>
          <w:strike/>
        </w:rPr>
        <w:t xml:space="preserve">this standard assumes that </w:t>
      </w:r>
      <w:r w:rsidRPr="00FC3565">
        <w:t>the DS</w:t>
      </w:r>
      <w:r w:rsidRPr="00FC3565">
        <w:rPr>
          <w:u w:val="single"/>
        </w:rPr>
        <w:t xml:space="preserve"> needs to </w:t>
      </w:r>
      <w:r w:rsidRPr="00FC3565">
        <w:t>meet</w:t>
      </w:r>
      <w:r w:rsidRPr="00FC3565">
        <w:rPr>
          <w:strike/>
        </w:rPr>
        <w:t>s</w:t>
      </w:r>
      <w:r w:rsidRPr="00FC3565">
        <w:t xml:space="preserve"> the MSDU (“object”) reordering requirements of IEEE Std 802.1AC-2012 [B17].</w:t>
      </w:r>
    </w:p>
    <w:p w:rsidR="00006A65" w:rsidRDefault="00006A65" w:rsidP="00006A65">
      <w:pPr>
        <w:rPr>
          <w:u w:val="single"/>
        </w:rPr>
      </w:pPr>
    </w:p>
    <w:p w:rsidR="00006A65" w:rsidRDefault="00006A65" w:rsidP="00006A65">
      <w:r>
        <w:t xml:space="preserve">2630.51: In an infrastructure BSS, the Interworking element contains signaling for HeSSs(M12). The HESSID is a (#2047)MAC address that identifies the HeSS(M12). The HESSID value shall be the universal MAC </w:t>
      </w:r>
      <w:r w:rsidRPr="00FC3565">
        <w:t>address of one of the APs(#1347) in the HeSS(M12)</w:t>
      </w:r>
      <w:r w:rsidRPr="00FC3565">
        <w:rPr>
          <w:u w:val="single"/>
        </w:rPr>
        <w:t xml:space="preserve"> and all BSSs in the HeSS use the same value</w:t>
      </w:r>
      <w:r w:rsidRPr="00FC3565">
        <w:t>.</w:t>
      </w:r>
      <w:r>
        <w:t xml:space="preserve"> Thus, it is a globally unique identifier that, in conjunction with the SSID, may be used to provide network identification for an SSPN.</w:t>
      </w:r>
    </w:p>
    <w:p w:rsidR="00006A65" w:rsidRDefault="00006A65" w:rsidP="00006A65"/>
    <w:p w:rsidR="00006A65" w:rsidRDefault="00006A65" w:rsidP="00006A65">
      <w:pPr>
        <w:rPr>
          <w:highlight w:val="red"/>
        </w:rPr>
      </w:pPr>
      <w:r>
        <w:t>NOTE 1—T</w:t>
      </w:r>
      <w:r w:rsidRPr="00CB5950">
        <w:rPr>
          <w:strike/>
        </w:rPr>
        <w:t>his standard assumes that t</w:t>
      </w:r>
      <w:r>
        <w:t xml:space="preserve">he HESSID field in the Interworking element </w:t>
      </w:r>
      <w:r w:rsidRPr="00CB5950">
        <w:rPr>
          <w:strike/>
        </w:rPr>
        <w:t>is</w:t>
      </w:r>
      <w:r>
        <w:rPr>
          <w:u w:val="single"/>
        </w:rPr>
        <w:t>needs to be</w:t>
      </w:r>
      <w:r>
        <w:t xml:space="preserve"> administered </w:t>
      </w:r>
      <w:r w:rsidRPr="00FC3565">
        <w:rPr>
          <w:strike/>
        </w:rPr>
        <w:t>consistently</w:t>
      </w:r>
      <w:r>
        <w:rPr>
          <w:u w:val="single"/>
        </w:rPr>
        <w:t>to have the same value</w:t>
      </w:r>
      <w:r>
        <w:t xml:space="preserve"> across all BSSs in an HeSS(M12).</w:t>
      </w:r>
    </w:p>
    <w:p w:rsidR="00006A65" w:rsidRDefault="00006A65" w:rsidP="00006A65"/>
    <w:p w:rsidR="00006A65" w:rsidRDefault="00006A65" w:rsidP="00006A65">
      <w:pPr>
        <w:rPr>
          <w:i/>
        </w:rPr>
      </w:pPr>
      <w:r w:rsidRPr="00CC4601">
        <w:t>2663.22: NOTE—</w:t>
      </w:r>
      <w:r w:rsidRPr="00CC4601">
        <w:rPr>
          <w:strike/>
        </w:rPr>
        <w:t xml:space="preserve">This standard assumes that all APs in an ESS are configured consistently for QMF service </w:t>
      </w:r>
      <w:r w:rsidRPr="00CC4601">
        <w:rPr>
          <w:u w:val="single"/>
        </w:rPr>
        <w:t xml:space="preserve">All APs in an ESS need to have the same QMF settings </w:t>
      </w:r>
      <w:r w:rsidRPr="00CC4601">
        <w:t>when GQMF has been enabled for use by associated non-AP STAs.</w:t>
      </w:r>
    </w:p>
    <w:p w:rsidR="00006A65" w:rsidRDefault="00006A65" w:rsidP="00006A65">
      <w:pPr>
        <w:rPr>
          <w:u w:val="single"/>
        </w:rPr>
      </w:pPr>
    </w:p>
    <w:p w:rsidR="004D584C" w:rsidRPr="004D584C" w:rsidRDefault="004D584C" w:rsidP="004D584C">
      <w:pPr>
        <w:rPr>
          <w:i/>
        </w:rPr>
      </w:pPr>
      <w:r w:rsidRPr="004D584C">
        <w:t xml:space="preserve">2884.10: When the IEEE 802.1X authentication completes successfully, </w:t>
      </w:r>
      <w:r w:rsidRPr="004D584C">
        <w:rPr>
          <w:strike/>
        </w:rPr>
        <w:t xml:space="preserve">the standard assumes that </w:t>
      </w:r>
      <w:r w:rsidRPr="004D584C">
        <w:t>the STA’s IEEE 802.1X Supplicant and the IEEE 802.1X AS share a secret, called a PMK.</w:t>
      </w:r>
    </w:p>
    <w:p w:rsidR="004D584C" w:rsidRPr="004D584C" w:rsidRDefault="004D584C" w:rsidP="004D584C"/>
    <w:p w:rsidR="004D584C" w:rsidRPr="004D584C" w:rsidRDefault="004D584C" w:rsidP="004D584C">
      <w:r w:rsidRPr="004D584C">
        <w:t xml:space="preserve">2900.44: The PMK-R1s are generated by the R0KH and are </w:t>
      </w:r>
      <w:r w:rsidRPr="004D584C">
        <w:rPr>
          <w:strike/>
        </w:rPr>
        <w:t>assumed to be</w:t>
      </w:r>
      <w:r w:rsidRPr="004D584C">
        <w:t xml:space="preserve"> delivered </w:t>
      </w:r>
      <w:r w:rsidRPr="004D584C">
        <w:rPr>
          <w:u w:val="single"/>
        </w:rPr>
        <w:t>by</w:t>
      </w:r>
      <w:r w:rsidRPr="004D584C">
        <w:t xml:space="preserve"> </w:t>
      </w:r>
      <w:r w:rsidRPr="004D584C">
        <w:rPr>
          <w:strike/>
        </w:rPr>
        <w:t xml:space="preserve">from </w:t>
      </w:r>
      <w:r w:rsidRPr="004D584C">
        <w:t>the R0KH to the R1KHs within the same mobility domain.</w:t>
      </w:r>
    </w:p>
    <w:p w:rsidR="004D584C" w:rsidRPr="004D584C" w:rsidRDefault="004D584C" w:rsidP="004D584C">
      <w:pPr>
        <w:rPr>
          <w:i/>
        </w:rPr>
      </w:pPr>
    </w:p>
    <w:p w:rsidR="004D584C" w:rsidRPr="004D584C" w:rsidRDefault="004D584C" w:rsidP="004D584C">
      <w:r w:rsidRPr="004D584C">
        <w:t xml:space="preserve">2900.50: </w:t>
      </w:r>
      <w:r w:rsidRPr="004D584C">
        <w:rPr>
          <w:strike/>
        </w:rPr>
        <w:t>It is assumed by this standard that t</w:t>
      </w:r>
      <w:r w:rsidRPr="004D584C">
        <w:rPr>
          <w:u w:val="single"/>
        </w:rPr>
        <w:t>T</w:t>
      </w:r>
      <w:r w:rsidRPr="004D584C">
        <w:t>he PSK is specific to a single S0KH and a single R0KH.</w:t>
      </w:r>
    </w:p>
    <w:p w:rsidR="004D584C" w:rsidRPr="004D584C" w:rsidRDefault="004D584C" w:rsidP="004D584C">
      <w:pPr>
        <w:rPr>
          <w:i/>
        </w:rPr>
      </w:pPr>
    </w:p>
    <w:p w:rsidR="004D584C" w:rsidRPr="004D584C" w:rsidRDefault="004D584C" w:rsidP="004D584C">
      <w:r w:rsidRPr="004D584C">
        <w:t xml:space="preserve">2901.39: The distribution of keys from the R0KH to the R1KHs is outside the scope of this standard. </w:t>
      </w:r>
      <w:r w:rsidRPr="004D584C">
        <w:rPr>
          <w:strike/>
        </w:rPr>
        <w:t>It is assumed that t</w:t>
      </w:r>
      <w:r w:rsidRPr="004D584C">
        <w:rPr>
          <w:u w:val="single"/>
        </w:rPr>
        <w:t>T</w:t>
      </w:r>
      <w:r w:rsidRPr="004D584C">
        <w:t>he PMK-R1s are distributed from the R0KH to the R1KHs following the requirements specified in 13.2.2 (Authenticator key holders).</w:t>
      </w:r>
    </w:p>
    <w:p w:rsidR="004D584C" w:rsidRPr="004D584C" w:rsidRDefault="004D584C" w:rsidP="004D584C"/>
    <w:p w:rsidR="004D584C" w:rsidRPr="004D584C" w:rsidRDefault="004D584C" w:rsidP="004D584C">
      <w:r w:rsidRPr="004D584C">
        <w:t xml:space="preserve">2975.48: Each R0KH-ID and R1KH-ID is </w:t>
      </w:r>
      <w:r w:rsidRPr="004D584C">
        <w:rPr>
          <w:strike/>
        </w:rPr>
        <w:t xml:space="preserve">assumed to be </w:t>
      </w:r>
      <w:r w:rsidRPr="004D584C">
        <w:t>expressed as a unique identifier within the mobility domain.</w:t>
      </w:r>
    </w:p>
    <w:p w:rsidR="004D584C" w:rsidRPr="004D584C" w:rsidRDefault="004D584C" w:rsidP="004D584C"/>
    <w:p w:rsidR="004D584C" w:rsidRPr="004D584C" w:rsidRDefault="004D584C" w:rsidP="004D584C">
      <w:r w:rsidRPr="004D584C">
        <w:t xml:space="preserve">2976.24: The R0KH and the R1KH </w:t>
      </w:r>
      <w:r w:rsidRPr="004D584C">
        <w:rPr>
          <w:strike/>
        </w:rPr>
        <w:t>are assumed to</w:t>
      </w:r>
      <w:r w:rsidRPr="004D584C">
        <w:t xml:space="preserve"> have a secure channel between them that can be used to exchange cryptographic keys without exposure to any intermediate parties. The cryptographic strength of the secure channel between the R0KH and R1KH </w:t>
      </w:r>
      <w:r w:rsidRPr="004D584C">
        <w:rPr>
          <w:strike/>
        </w:rPr>
        <w:t>is assumed</w:t>
      </w:r>
      <w:r w:rsidRPr="004D584C">
        <w:rPr>
          <w:u w:val="single"/>
        </w:rPr>
        <w:t>needs</w:t>
      </w:r>
      <w:r w:rsidR="00A10DBF">
        <w:t xml:space="preserve"> to b</w:t>
      </w:r>
      <w:r w:rsidRPr="004D584C">
        <w:t xml:space="preserve">e greater than or equal to the cryptographic </w:t>
      </w:r>
      <w:r w:rsidRPr="004D584C">
        <w:lastRenderedPageBreak/>
        <w:t>strength of the channels for which the keys are used. T</w:t>
      </w:r>
      <w:r w:rsidRPr="004D584C">
        <w:rPr>
          <w:strike/>
        </w:rPr>
        <w:t>his standard assumes that t</w:t>
      </w:r>
      <w:r w:rsidRPr="004D584C">
        <w:t>he key transfer includes the PMK-R1, the PMK-R1 PMKSA, the PMK-R1 context, and the associated key authorizations.</w:t>
      </w:r>
    </w:p>
    <w:p w:rsidR="004D584C" w:rsidRPr="004D584C" w:rsidRDefault="004D584C" w:rsidP="004D584C"/>
    <w:p w:rsidR="004D584C" w:rsidRPr="004D584C" w:rsidRDefault="004D584C" w:rsidP="004D584C">
      <w:r w:rsidRPr="004D584C">
        <w:t>2976.33: The PMK-R1 distribution from the R0KH to the R1KHs within the same mobility domain shall satisfy the following</w:t>
      </w:r>
      <w:r w:rsidRPr="004D584C">
        <w:rPr>
          <w:strike/>
        </w:rPr>
        <w:t xml:space="preserve"> assumptions</w:t>
      </w:r>
      <w:r w:rsidRPr="004D584C">
        <w:t>:</w:t>
      </w:r>
    </w:p>
    <w:p w:rsidR="004D584C" w:rsidRPr="004D584C" w:rsidRDefault="004D584C" w:rsidP="004D584C"/>
    <w:p w:rsidR="004D584C" w:rsidRPr="004D584C" w:rsidRDefault="004D584C" w:rsidP="004D584C">
      <w:r w:rsidRPr="004D584C">
        <w:t xml:space="preserve">2976.45: The S0KH and S1KH </w:t>
      </w:r>
      <w:r w:rsidRPr="004D584C">
        <w:rPr>
          <w:strike/>
        </w:rPr>
        <w:t>are entities that are assumed to</w:t>
      </w:r>
      <w:r w:rsidRPr="004D584C">
        <w:t xml:space="preserve"> </w:t>
      </w:r>
      <w:r w:rsidRPr="004D584C">
        <w:rPr>
          <w:strike/>
        </w:rPr>
        <w:t>physically</w:t>
      </w:r>
      <w:r w:rsidRPr="004D584C">
        <w:t xml:space="preserve"> reside in the Supplicant.</w:t>
      </w:r>
    </w:p>
    <w:p w:rsidR="004D584C" w:rsidRPr="004D584C" w:rsidRDefault="004D584C" w:rsidP="004D584C"/>
    <w:p w:rsidR="004D584C" w:rsidRDefault="004D584C" w:rsidP="004D584C">
      <w:r w:rsidRPr="004D584C">
        <w:t>2977.23: NOTE—</w:t>
      </w:r>
      <w:r w:rsidRPr="004D584C">
        <w:rPr>
          <w:strike/>
        </w:rPr>
        <w:t>It is assumed by this standard that t</w:t>
      </w:r>
      <w:r w:rsidRPr="004D584C">
        <w:rPr>
          <w:u w:val="single"/>
        </w:rPr>
        <w:t>T</w:t>
      </w:r>
      <w:r w:rsidRPr="004D584C">
        <w:t xml:space="preserve">he Fast BSS Transition Policy bits in the MDE </w:t>
      </w:r>
      <w:r w:rsidRPr="004D584C">
        <w:rPr>
          <w:strike/>
        </w:rPr>
        <w:t>are</w:t>
      </w:r>
      <w:r w:rsidRPr="00AC7579">
        <w:rPr>
          <w:strike/>
        </w:rPr>
        <w:t xml:space="preserve"> administered consistently</w:t>
      </w:r>
      <w:r>
        <w:rPr>
          <w:u w:val="single"/>
        </w:rPr>
        <w:t>need</w:t>
      </w:r>
      <w:r w:rsidRPr="00AC7579">
        <w:rPr>
          <w:u w:val="single"/>
        </w:rPr>
        <w:t xml:space="preserve"> </w:t>
      </w:r>
      <w:r>
        <w:rPr>
          <w:u w:val="single"/>
        </w:rPr>
        <w:t xml:space="preserve">to </w:t>
      </w:r>
      <w:r w:rsidRPr="00AC7579">
        <w:rPr>
          <w:u w:val="single"/>
        </w:rPr>
        <w:t>be the same</w:t>
      </w:r>
      <w:r w:rsidRPr="00AC7579">
        <w:t xml:space="preserve"> across the mobility domain.</w:t>
      </w:r>
    </w:p>
    <w:p w:rsidR="004D584C" w:rsidRDefault="004D584C" w:rsidP="00006A65">
      <w:pPr>
        <w:rPr>
          <w:u w:val="single"/>
        </w:rPr>
      </w:pPr>
    </w:p>
    <w:p w:rsidR="00006A65" w:rsidRPr="00FF305B" w:rsidRDefault="00006A65" w:rsidP="00006A65">
      <w:pPr>
        <w:rPr>
          <w:u w:val="single"/>
        </w:rPr>
      </w:pPr>
      <w:r w:rsidRPr="00FF305B">
        <w:rPr>
          <w:u w:val="single"/>
        </w:rPr>
        <w:t>Proposed resolution:</w:t>
      </w:r>
    </w:p>
    <w:p w:rsidR="00006A65" w:rsidRDefault="00006A65" w:rsidP="00006A65">
      <w:pPr>
        <w:rPr>
          <w:b/>
          <w:sz w:val="24"/>
        </w:rPr>
      </w:pPr>
    </w:p>
    <w:p w:rsidR="00006A65" w:rsidRDefault="00006A65" w:rsidP="00006A65">
      <w:r>
        <w:t>REVISED</w:t>
      </w:r>
    </w:p>
    <w:p w:rsidR="00006A65" w:rsidRDefault="00006A65" w:rsidP="00006A65"/>
    <w:p w:rsidR="00006A65" w:rsidRDefault="00006A65" w:rsidP="00006A65">
      <w:r>
        <w:t>Make the changes shown unde</w:t>
      </w:r>
      <w:r w:rsidR="004D584C">
        <w:t>r “Proposed changes” for CID 6401</w:t>
      </w:r>
      <w:r>
        <w:t xml:space="preserve"> in &lt;this document URL</w:t>
      </w:r>
      <w:r w:rsidR="004D584C">
        <w:t>&gt;, which address the locations identified in the comment, using “needs to” for entities not specified by 802.11.</w:t>
      </w:r>
    </w:p>
    <w:p w:rsidR="00006A65" w:rsidRDefault="00006A65" w:rsidP="00006A6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384"/>
      </w:tblGrid>
      <w:tr w:rsidR="00006A65" w:rsidTr="00B7413C">
        <w:tc>
          <w:tcPr>
            <w:tcW w:w="1809" w:type="dxa"/>
          </w:tcPr>
          <w:p w:rsidR="00006A65" w:rsidRDefault="00006A65" w:rsidP="00B7413C">
            <w:r>
              <w:lastRenderedPageBreak/>
              <w:t>Identifiers</w:t>
            </w:r>
          </w:p>
        </w:tc>
        <w:tc>
          <w:tcPr>
            <w:tcW w:w="4383" w:type="dxa"/>
          </w:tcPr>
          <w:p w:rsidR="00006A65" w:rsidRDefault="00006A65" w:rsidP="00B7413C">
            <w:r>
              <w:t>Comment</w:t>
            </w:r>
          </w:p>
        </w:tc>
        <w:tc>
          <w:tcPr>
            <w:tcW w:w="3384" w:type="dxa"/>
          </w:tcPr>
          <w:p w:rsidR="00006A65" w:rsidRDefault="00006A65" w:rsidP="00B7413C">
            <w:r>
              <w:t>Proposed change</w:t>
            </w:r>
          </w:p>
        </w:tc>
      </w:tr>
      <w:tr w:rsidR="00006A65" w:rsidRPr="002C1619" w:rsidTr="00B7413C">
        <w:tc>
          <w:tcPr>
            <w:tcW w:w="1809" w:type="dxa"/>
          </w:tcPr>
          <w:p w:rsidR="00006A65" w:rsidRDefault="00006A65" w:rsidP="00B7413C">
            <w:r>
              <w:t>CID xxx</w:t>
            </w:r>
          </w:p>
          <w:p w:rsidR="00006A65" w:rsidRDefault="00006A65" w:rsidP="00B7413C">
            <w:r>
              <w:t>Mark RISON</w:t>
            </w:r>
          </w:p>
          <w:p w:rsidR="00006A65" w:rsidRDefault="00006A65" w:rsidP="00B7413C"/>
        </w:tc>
        <w:tc>
          <w:tcPr>
            <w:tcW w:w="4383" w:type="dxa"/>
          </w:tcPr>
          <w:p w:rsidR="00006A65" w:rsidRPr="002C1619" w:rsidRDefault="00006A65" w:rsidP="00B7413C"/>
        </w:tc>
        <w:tc>
          <w:tcPr>
            <w:tcW w:w="3384" w:type="dxa"/>
          </w:tcPr>
          <w:p w:rsidR="00006A65" w:rsidRPr="002C1619" w:rsidRDefault="00006A65" w:rsidP="00B7413C"/>
        </w:tc>
      </w:tr>
    </w:tbl>
    <w:p w:rsidR="00006A65" w:rsidRDefault="00006A65" w:rsidP="00006A65">
      <w:bookmarkStart w:id="0" w:name="_GoBack"/>
      <w:bookmarkEnd w:id="0"/>
    </w:p>
    <w:p w:rsidR="00006A65" w:rsidRPr="00F70C97" w:rsidRDefault="00006A65" w:rsidP="00006A65">
      <w:pPr>
        <w:rPr>
          <w:u w:val="single"/>
        </w:rPr>
      </w:pPr>
      <w:r w:rsidRPr="00F70C97">
        <w:rPr>
          <w:u w:val="single"/>
        </w:rPr>
        <w:t>Discussion:</w:t>
      </w:r>
    </w:p>
    <w:p w:rsidR="00006A65" w:rsidRDefault="00006A65" w:rsidP="00006A65"/>
    <w:p w:rsidR="00006A65" w:rsidRDefault="00006A65" w:rsidP="00006A65"/>
    <w:p w:rsidR="00006A65" w:rsidRDefault="00006A65" w:rsidP="00006A65">
      <w:pPr>
        <w:rPr>
          <w:u w:val="single"/>
        </w:rPr>
      </w:pPr>
      <w:r>
        <w:rPr>
          <w:u w:val="single"/>
        </w:rPr>
        <w:t>Proposed changes</w:t>
      </w:r>
      <w:r w:rsidRPr="00F70C97">
        <w:rPr>
          <w:u w:val="single"/>
        </w:rPr>
        <w:t>:</w:t>
      </w:r>
    </w:p>
    <w:p w:rsidR="00006A65" w:rsidRDefault="00006A65" w:rsidP="00006A65">
      <w:pPr>
        <w:rPr>
          <w:u w:val="single"/>
        </w:rPr>
      </w:pPr>
    </w:p>
    <w:p w:rsidR="00006A65" w:rsidRDefault="00006A65" w:rsidP="00006A65">
      <w:pPr>
        <w:rPr>
          <w:u w:val="single"/>
        </w:rPr>
      </w:pPr>
    </w:p>
    <w:p w:rsidR="00006A65" w:rsidRPr="00FF305B" w:rsidRDefault="00006A65" w:rsidP="00006A65">
      <w:pPr>
        <w:rPr>
          <w:u w:val="single"/>
        </w:rPr>
      </w:pPr>
      <w:r w:rsidRPr="00FF305B">
        <w:rPr>
          <w:u w:val="single"/>
        </w:rPr>
        <w:t>Proposed resolution:</w:t>
      </w:r>
    </w:p>
    <w:p w:rsidR="00006A65" w:rsidRDefault="00006A65" w:rsidP="00006A65">
      <w:pPr>
        <w:rPr>
          <w:b/>
          <w:sz w:val="24"/>
        </w:rPr>
      </w:pPr>
    </w:p>
    <w:p w:rsidR="00006A65" w:rsidRDefault="00006A65" w:rsidP="00006A65">
      <w:r>
        <w:t>REVISED</w:t>
      </w:r>
    </w:p>
    <w:p w:rsidR="00006A65" w:rsidRDefault="00006A65" w:rsidP="00006A65"/>
    <w:p w:rsidR="00006A65" w:rsidRDefault="00006A65" w:rsidP="00006A65">
      <w:r>
        <w:t>Make the changes shown under “Proposed changes” for CID xxx in &lt;this document</w:t>
      </w:r>
      <w:r>
        <w:t xml:space="preserve"> URL</w:t>
      </w:r>
      <w:r>
        <w:t xml:space="preserve">&gt;, which xxx </w:t>
      </w:r>
    </w:p>
    <w:p w:rsidR="00006A65" w:rsidRDefault="00006A65" w:rsidP="00006A65">
      <w:r>
        <w:br w:type="page"/>
      </w:r>
    </w:p>
    <w:p w:rsidR="00006A65" w:rsidRPr="00773933" w:rsidRDefault="00006A65" w:rsidP="00006A65">
      <w:r>
        <w:rPr>
          <w:b/>
          <w:sz w:val="24"/>
        </w:rPr>
        <w:lastRenderedPageBreak/>
        <w:t>References:</w:t>
      </w:r>
    </w:p>
    <w:p w:rsidR="00006A65" w:rsidRDefault="00006A65" w:rsidP="00006A65"/>
    <w:p w:rsidR="00006A65" w:rsidRDefault="00006A65" w:rsidP="00006A65">
      <w:r>
        <w:t>802.11me/D4</w:t>
      </w:r>
      <w:r>
        <w:t>.0 except where otherwise specified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9273F6">
      <w:headerReference w:type="default" r:id="rId6"/>
      <w:footerReference w:type="default" r:id="rId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C9" w:rsidRDefault="007D64C9">
      <w:r>
        <w:separator/>
      </w:r>
    </w:p>
  </w:endnote>
  <w:endnote w:type="continuationSeparator" w:id="0">
    <w:p w:rsidR="007D64C9" w:rsidRDefault="007D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D64C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06A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C0B01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06A65">
      <w:t>Mark RISON (Samsung)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C9" w:rsidRDefault="007D64C9">
      <w:r>
        <w:separator/>
      </w:r>
    </w:p>
  </w:footnote>
  <w:footnote w:type="continuationSeparator" w:id="0">
    <w:p w:rsidR="007D64C9" w:rsidRDefault="007D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D64C9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06A65">
      <w:t>October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D584C">
      <w:t>doc.: IEEE 802.11-23/1750r0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5"/>
    <w:rsid w:val="0000216F"/>
    <w:rsid w:val="00006A65"/>
    <w:rsid w:val="00053EBC"/>
    <w:rsid w:val="00107547"/>
    <w:rsid w:val="00110274"/>
    <w:rsid w:val="001D723B"/>
    <w:rsid w:val="00235919"/>
    <w:rsid w:val="0029020B"/>
    <w:rsid w:val="002B49CC"/>
    <w:rsid w:val="002D44BE"/>
    <w:rsid w:val="00382812"/>
    <w:rsid w:val="003D6A1A"/>
    <w:rsid w:val="00442037"/>
    <w:rsid w:val="004B064B"/>
    <w:rsid w:val="004C366C"/>
    <w:rsid w:val="004D584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74773B"/>
    <w:rsid w:val="00754F61"/>
    <w:rsid w:val="00770572"/>
    <w:rsid w:val="007D64C9"/>
    <w:rsid w:val="008D5345"/>
    <w:rsid w:val="00907110"/>
    <w:rsid w:val="009273F6"/>
    <w:rsid w:val="0097229A"/>
    <w:rsid w:val="009F2FBC"/>
    <w:rsid w:val="00A10DBF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D14A57"/>
    <w:rsid w:val="00D17890"/>
    <w:rsid w:val="00D64FED"/>
    <w:rsid w:val="00DC5A7B"/>
    <w:rsid w:val="00EF08D1"/>
    <w:rsid w:val="00EF7BDE"/>
    <w:rsid w:val="00F00517"/>
    <w:rsid w:val="00F92E2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71BBF"/>
  <w15:chartTrackingRefBased/>
  <w15:docId w15:val="{64B086BB-25E5-4448-80DE-7BF0EA4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6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6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6A65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006A65"/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06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A65"/>
    <w:rPr>
      <w:rFonts w:eastAsiaTheme="minorEastAsia"/>
      <w:sz w:val="20"/>
    </w:rPr>
  </w:style>
  <w:style w:type="character" w:customStyle="1" w:styleId="CommentTextChar">
    <w:name w:val="Comment Text Char"/>
    <w:basedOn w:val="DefaultParagraphFont"/>
    <w:link w:val="CommentText"/>
    <w:rsid w:val="00006A65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802-11-submission(1).dotx</Template>
  <TotalTime>270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802.11-23/1750r0</dc:title>
  <dc:subject>Submission</dc:subject>
  <dc:creator>Mark Rison</dc:creator>
  <cp:keywords>October 2023</cp:keywords>
  <dc:description>Mark RISON (Samsung)</dc:description>
  <cp:lastModifiedBy>Mark Rison</cp:lastModifiedBy>
  <cp:revision>3</cp:revision>
  <cp:lastPrinted>1900-01-01T08:00:00Z</cp:lastPrinted>
  <dcterms:created xsi:type="dcterms:W3CDTF">2023-10-12T07:25:00Z</dcterms:created>
  <dcterms:modified xsi:type="dcterms:W3CDTF">2023-10-12T13:31:00Z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