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9953873" w:rsidR="00CA09B2" w:rsidRPr="00CF09FE" w:rsidRDefault="00DB091C">
            <w:pPr>
              <w:pStyle w:val="T2"/>
              <w:rPr>
                <w:lang w:val="en-US"/>
              </w:rPr>
            </w:pPr>
            <w:r w:rsidRPr="00CF09FE">
              <w:rPr>
                <w:lang w:val="en-US"/>
              </w:rPr>
              <w:t xml:space="preserve">Resolutions for </w:t>
            </w:r>
            <w:r w:rsidR="006B25D6">
              <w:rPr>
                <w:lang w:val="en-US"/>
              </w:rPr>
              <w:t>DMG</w:t>
            </w:r>
            <w:r w:rsidR="0050735B">
              <w:rPr>
                <w:lang w:val="en-US"/>
              </w:rPr>
              <w:t xml:space="preserve"> Comments</w:t>
            </w:r>
            <w:r w:rsidRPr="00CF09FE">
              <w:rPr>
                <w:lang w:val="en-US"/>
              </w:rPr>
              <w:t xml:space="preserve"> in </w:t>
            </w:r>
            <w:r w:rsidR="00441B13">
              <w:rPr>
                <w:lang w:val="en-US"/>
              </w:rPr>
              <w:t>LB27</w:t>
            </w:r>
            <w:r w:rsidR="00CA55D6">
              <w:rPr>
                <w:lang w:val="en-US"/>
              </w:rPr>
              <w:t>6</w:t>
            </w:r>
          </w:p>
        </w:tc>
      </w:tr>
      <w:tr w:rsidR="00CA09B2" w:rsidRPr="00CF09FE" w14:paraId="4D274C0E" w14:textId="77777777" w:rsidTr="000F7435">
        <w:trPr>
          <w:trHeight w:val="359"/>
          <w:jc w:val="center"/>
        </w:trPr>
        <w:tc>
          <w:tcPr>
            <w:tcW w:w="9576" w:type="dxa"/>
            <w:gridSpan w:val="5"/>
            <w:vAlign w:val="center"/>
          </w:tcPr>
          <w:p w14:paraId="6DFAE4C5" w14:textId="58DB9DA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6B25D6">
              <w:rPr>
                <w:b w:val="0"/>
                <w:sz w:val="20"/>
                <w:lang w:val="en-US"/>
              </w:rPr>
              <w:t>12</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2BC240A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6B25D6">
                              <w:t>DMG</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139E3586" w:rsidR="0093015E" w:rsidRDefault="0093015E" w:rsidP="003C21F6">
                            <w:pPr>
                              <w:jc w:val="both"/>
                            </w:pPr>
                            <w:r w:rsidRPr="0093015E">
                              <w:t xml:space="preserve">CIDs: </w:t>
                            </w:r>
                            <w:r w:rsidR="006B25D6">
                              <w:t xml:space="preserve">3353 3408 3409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2BC240A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6B25D6">
                        <w:t>DMG</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139E3586" w:rsidR="0093015E" w:rsidRDefault="0093015E" w:rsidP="003C21F6">
                      <w:pPr>
                        <w:jc w:val="both"/>
                      </w:pPr>
                      <w:r w:rsidRPr="0093015E">
                        <w:t xml:space="preserve">CIDs: </w:t>
                      </w:r>
                      <w:r w:rsidR="006B25D6">
                        <w:t xml:space="preserve">3353 3408 3409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630"/>
        <w:gridCol w:w="2610"/>
        <w:gridCol w:w="2430"/>
        <w:gridCol w:w="2133"/>
      </w:tblGrid>
      <w:tr w:rsidR="009C000C" w:rsidRPr="00B236C2" w14:paraId="431E890D" w14:textId="58939BEC" w:rsidTr="00A17BB2">
        <w:trPr>
          <w:trHeight w:val="205"/>
        </w:trPr>
        <w:tc>
          <w:tcPr>
            <w:tcW w:w="715" w:type="dxa"/>
            <w:shd w:val="clear" w:color="auto" w:fill="auto"/>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810" w:type="dxa"/>
            <w:shd w:val="clear" w:color="auto" w:fill="auto"/>
          </w:tcPr>
          <w:p w14:paraId="465F4395" w14:textId="77777777" w:rsidR="009C000C" w:rsidRPr="00B236C2" w:rsidRDefault="009C000C" w:rsidP="00AD6163">
            <w:pPr>
              <w:widowControl w:val="0"/>
              <w:suppressAutoHyphens/>
              <w:rPr>
                <w:b/>
                <w:szCs w:val="22"/>
                <w:lang w:val="en-US"/>
              </w:rPr>
            </w:pPr>
            <w:r w:rsidRPr="00B236C2">
              <w:rPr>
                <w:b/>
                <w:szCs w:val="22"/>
                <w:lang w:val="en-US"/>
              </w:rPr>
              <w:t>Clause</w:t>
            </w:r>
          </w:p>
        </w:tc>
        <w:tc>
          <w:tcPr>
            <w:tcW w:w="630" w:type="dxa"/>
            <w:shd w:val="clear" w:color="auto" w:fill="auto"/>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10" w:type="dxa"/>
            <w:shd w:val="clear" w:color="auto" w:fill="auto"/>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30" w:type="dxa"/>
            <w:shd w:val="clear" w:color="auto" w:fill="auto"/>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133" w:type="dxa"/>
          </w:tcPr>
          <w:p w14:paraId="31D1A1D9" w14:textId="4ED13499" w:rsidR="009C000C" w:rsidRPr="00B236C2" w:rsidRDefault="00CC715C" w:rsidP="00AD6163">
            <w:pPr>
              <w:widowControl w:val="0"/>
              <w:suppressAutoHyphens/>
              <w:rPr>
                <w:b/>
                <w:szCs w:val="22"/>
                <w:lang w:val="en-US"/>
              </w:rPr>
            </w:pPr>
            <w:r>
              <w:rPr>
                <w:b/>
                <w:szCs w:val="22"/>
                <w:lang w:val="en-US"/>
              </w:rPr>
              <w:t>Proposed resolution</w:t>
            </w:r>
          </w:p>
        </w:tc>
      </w:tr>
      <w:tr w:rsidR="00D57E1D" w:rsidRPr="00831251" w14:paraId="281DBE2D" w14:textId="77777777" w:rsidTr="00A17BB2">
        <w:trPr>
          <w:trHeight w:val="1485"/>
        </w:trPr>
        <w:tc>
          <w:tcPr>
            <w:tcW w:w="715" w:type="dxa"/>
            <w:shd w:val="clear" w:color="auto" w:fill="auto"/>
          </w:tcPr>
          <w:p w14:paraId="4F309ADA" w14:textId="2AA13D4F" w:rsidR="00D57E1D" w:rsidRDefault="00D57E1D" w:rsidP="00D57E1D">
            <w:pPr>
              <w:widowControl w:val="0"/>
              <w:suppressAutoHyphens/>
              <w:rPr>
                <w:szCs w:val="22"/>
                <w:lang w:val="en-US"/>
              </w:rPr>
            </w:pPr>
            <w:r>
              <w:rPr>
                <w:szCs w:val="22"/>
                <w:lang w:val="en-US"/>
              </w:rPr>
              <w:t>3353</w:t>
            </w:r>
          </w:p>
        </w:tc>
        <w:tc>
          <w:tcPr>
            <w:tcW w:w="810" w:type="dxa"/>
            <w:shd w:val="clear" w:color="auto" w:fill="auto"/>
          </w:tcPr>
          <w:p w14:paraId="16B180C7" w14:textId="482682DA" w:rsidR="00D57E1D" w:rsidRPr="00823E03" w:rsidRDefault="00D57E1D" w:rsidP="00D57E1D">
            <w:pPr>
              <w:widowControl w:val="0"/>
              <w:suppressAutoHyphens/>
              <w:jc w:val="center"/>
              <w:rPr>
                <w:rFonts w:ascii="Arial" w:hAnsi="Arial" w:cs="Arial"/>
                <w:sz w:val="20"/>
              </w:rPr>
            </w:pPr>
            <w:r>
              <w:rPr>
                <w:rFonts w:ascii="Arial" w:hAnsi="Arial" w:cs="Arial"/>
                <w:sz w:val="20"/>
              </w:rPr>
              <w:t>11.55.4</w:t>
            </w:r>
          </w:p>
        </w:tc>
        <w:tc>
          <w:tcPr>
            <w:tcW w:w="630" w:type="dxa"/>
            <w:shd w:val="clear" w:color="auto" w:fill="auto"/>
          </w:tcPr>
          <w:p w14:paraId="32A61521" w14:textId="0538524D" w:rsidR="00D57E1D" w:rsidRDefault="00D57E1D" w:rsidP="00D57E1D">
            <w:pPr>
              <w:widowControl w:val="0"/>
              <w:suppressAutoHyphens/>
              <w:rPr>
                <w:rFonts w:ascii="Arial" w:hAnsi="Arial" w:cs="Arial"/>
                <w:sz w:val="20"/>
              </w:rPr>
            </w:pPr>
            <w:r>
              <w:rPr>
                <w:rFonts w:ascii="Arial" w:hAnsi="Arial" w:cs="Arial"/>
                <w:sz w:val="20"/>
              </w:rPr>
              <w:t>188.55</w:t>
            </w:r>
          </w:p>
        </w:tc>
        <w:tc>
          <w:tcPr>
            <w:tcW w:w="2610" w:type="dxa"/>
            <w:shd w:val="clear" w:color="auto" w:fill="auto"/>
          </w:tcPr>
          <w:p w14:paraId="28856DBA" w14:textId="210257FB" w:rsidR="00D57E1D" w:rsidRDefault="00D57E1D" w:rsidP="00D57E1D">
            <w:pPr>
              <w:widowControl w:val="0"/>
              <w:suppressAutoHyphens/>
              <w:rPr>
                <w:rFonts w:ascii="Arial" w:hAnsi="Arial" w:cs="Arial"/>
                <w:sz w:val="20"/>
              </w:rPr>
            </w:pPr>
            <w:r>
              <w:rPr>
                <w:rFonts w:ascii="Arial" w:hAnsi="Arial" w:cs="Arial"/>
                <w:sz w:val="20"/>
              </w:rPr>
              <w:t xml:space="preserve">In D2.0, we have added a few changes to the SBP procedure in sub-7 GHz, including the new SBP Specific </w:t>
            </w:r>
            <w:proofErr w:type="spellStart"/>
            <w:r>
              <w:rPr>
                <w:rFonts w:ascii="Arial" w:hAnsi="Arial" w:cs="Arial"/>
                <w:sz w:val="20"/>
              </w:rPr>
              <w:t>subelement</w:t>
            </w:r>
            <w:proofErr w:type="spellEnd"/>
            <w:r>
              <w:rPr>
                <w:rFonts w:ascii="Arial" w:hAnsi="Arial" w:cs="Arial"/>
                <w:sz w:val="20"/>
              </w:rPr>
              <w:t xml:space="preserve"> including the AID/USID of the SBP initiator, as well as rules saying the SBP responder shall initiate a new sensing procedure to satisfy an SBP request instead of reusing existing sensing measurement sessions. Similar changes should also be done in DMG SBP procedure to keep it consistent with the SBP procedure in sub-7 GHz.</w:t>
            </w:r>
          </w:p>
        </w:tc>
        <w:tc>
          <w:tcPr>
            <w:tcW w:w="2430" w:type="dxa"/>
            <w:shd w:val="clear" w:color="auto" w:fill="auto"/>
          </w:tcPr>
          <w:p w14:paraId="21CF5123" w14:textId="71F5EB6F" w:rsidR="00D57E1D" w:rsidRDefault="00D57E1D" w:rsidP="00D57E1D">
            <w:pPr>
              <w:widowControl w:val="0"/>
              <w:suppressAutoHyphens/>
              <w:rPr>
                <w:rFonts w:ascii="Arial" w:hAnsi="Arial" w:cs="Arial"/>
                <w:sz w:val="20"/>
              </w:rPr>
            </w:pPr>
            <w:r>
              <w:rPr>
                <w:rFonts w:ascii="Arial" w:hAnsi="Arial" w:cs="Arial"/>
                <w:sz w:val="20"/>
              </w:rPr>
              <w:t>Apply the changes done on the SBP procedure in sub-7 GHz to DMG SBP procedure and keep the two protocols consistent. Specifically, refer to  https://mentor.ieee.org/802.11/dcn/23/11-23-0749-02-00bf-resolutions-for-sbp-comments-in-lb272-part-2-sbp-security-privacy.docx.</w:t>
            </w:r>
          </w:p>
        </w:tc>
        <w:tc>
          <w:tcPr>
            <w:tcW w:w="2133" w:type="dxa"/>
          </w:tcPr>
          <w:p w14:paraId="29687A04" w14:textId="0E207C2D" w:rsidR="00D57E1D" w:rsidRDefault="00D57E1D" w:rsidP="00D57E1D">
            <w:pPr>
              <w:widowControl w:val="0"/>
              <w:suppressAutoHyphens/>
              <w:rPr>
                <w:rFonts w:ascii="Arial" w:hAnsi="Arial" w:cs="Arial"/>
                <w:sz w:val="20"/>
              </w:rPr>
            </w:pPr>
            <w:r>
              <w:rPr>
                <w:rFonts w:ascii="Arial" w:hAnsi="Arial" w:cs="Arial"/>
                <w:sz w:val="20"/>
              </w:rPr>
              <w:t>Revised, see proposed resolution below in &lt;DCN1</w:t>
            </w:r>
            <w:r w:rsidR="00770417">
              <w:rPr>
                <w:rFonts w:ascii="Arial" w:hAnsi="Arial" w:cs="Arial"/>
                <w:sz w:val="20"/>
              </w:rPr>
              <w:t>619</w:t>
            </w:r>
            <w:r>
              <w:rPr>
                <w:rFonts w:ascii="Arial" w:hAnsi="Arial" w:cs="Arial"/>
                <w:sz w:val="20"/>
              </w:rPr>
              <w:t>r</w:t>
            </w:r>
            <w:r w:rsidR="00770417">
              <w:rPr>
                <w:rFonts w:ascii="Arial" w:hAnsi="Arial" w:cs="Arial"/>
                <w:sz w:val="20"/>
              </w:rPr>
              <w:t>0</w:t>
            </w:r>
            <w:r>
              <w:rPr>
                <w:rFonts w:ascii="Arial" w:hAnsi="Arial" w:cs="Arial"/>
                <w:sz w:val="20"/>
              </w:rPr>
              <w:t>&gt;.</w:t>
            </w:r>
          </w:p>
        </w:tc>
      </w:tr>
      <w:tr w:rsidR="008E3B76" w:rsidRPr="00831251" w14:paraId="7934D1C9" w14:textId="77777777" w:rsidTr="00A17BB2">
        <w:trPr>
          <w:trHeight w:val="1485"/>
        </w:trPr>
        <w:tc>
          <w:tcPr>
            <w:tcW w:w="715" w:type="dxa"/>
            <w:shd w:val="clear" w:color="auto" w:fill="auto"/>
          </w:tcPr>
          <w:p w14:paraId="21F255DE" w14:textId="4F9C2EFC" w:rsidR="008E3B76" w:rsidRDefault="008E3B76" w:rsidP="008E3B76">
            <w:pPr>
              <w:widowControl w:val="0"/>
              <w:suppressAutoHyphens/>
              <w:rPr>
                <w:szCs w:val="22"/>
                <w:lang w:val="en-US"/>
              </w:rPr>
            </w:pPr>
            <w:r>
              <w:rPr>
                <w:szCs w:val="22"/>
                <w:lang w:val="en-US"/>
              </w:rPr>
              <w:t>3408</w:t>
            </w:r>
          </w:p>
        </w:tc>
        <w:tc>
          <w:tcPr>
            <w:tcW w:w="810" w:type="dxa"/>
            <w:shd w:val="clear" w:color="auto" w:fill="auto"/>
          </w:tcPr>
          <w:p w14:paraId="68D4D9CC" w14:textId="3306B21A" w:rsidR="008E3B76" w:rsidRPr="00823E03" w:rsidRDefault="008E3B76" w:rsidP="008E3B76">
            <w:pPr>
              <w:widowControl w:val="0"/>
              <w:suppressAutoHyphens/>
              <w:jc w:val="center"/>
              <w:rPr>
                <w:rFonts w:ascii="Arial" w:hAnsi="Arial" w:cs="Arial"/>
                <w:sz w:val="20"/>
              </w:rPr>
            </w:pPr>
            <w:r>
              <w:rPr>
                <w:rFonts w:ascii="Arial" w:hAnsi="Arial" w:cs="Arial"/>
                <w:sz w:val="20"/>
              </w:rPr>
              <w:t>11.55.4.2</w:t>
            </w:r>
          </w:p>
        </w:tc>
        <w:tc>
          <w:tcPr>
            <w:tcW w:w="630" w:type="dxa"/>
            <w:shd w:val="clear" w:color="auto" w:fill="auto"/>
          </w:tcPr>
          <w:p w14:paraId="48B45122" w14:textId="0FEB8A85" w:rsidR="008E3B76" w:rsidRDefault="008E3B76" w:rsidP="008E3B76">
            <w:pPr>
              <w:widowControl w:val="0"/>
              <w:suppressAutoHyphens/>
              <w:rPr>
                <w:rFonts w:ascii="Arial" w:hAnsi="Arial" w:cs="Arial"/>
                <w:sz w:val="20"/>
              </w:rPr>
            </w:pPr>
            <w:r>
              <w:rPr>
                <w:rFonts w:ascii="Arial" w:hAnsi="Arial" w:cs="Arial"/>
                <w:sz w:val="20"/>
              </w:rPr>
              <w:t>189.44</w:t>
            </w:r>
          </w:p>
        </w:tc>
        <w:tc>
          <w:tcPr>
            <w:tcW w:w="2610" w:type="dxa"/>
            <w:shd w:val="clear" w:color="auto" w:fill="auto"/>
          </w:tcPr>
          <w:p w14:paraId="48996004" w14:textId="0B2A14E8" w:rsidR="008E3B76" w:rsidRDefault="008E3B76" w:rsidP="008E3B76">
            <w:pPr>
              <w:widowControl w:val="0"/>
              <w:suppressAutoHyphens/>
              <w:rPr>
                <w:rFonts w:ascii="Arial" w:hAnsi="Arial" w:cs="Arial"/>
                <w:sz w:val="20"/>
              </w:rPr>
            </w:pPr>
            <w:r>
              <w:rPr>
                <w:rFonts w:ascii="Arial" w:hAnsi="Arial" w:cs="Arial"/>
                <w:sz w:val="20"/>
              </w:rPr>
              <w:t>A non-AP/non-PCP sensing responder does not know whether a sensing measurement setup is initiated by the AP/PCP or by a non-AP/non-PCP STA in the form of a SBP procedure.</w:t>
            </w:r>
          </w:p>
        </w:tc>
        <w:tc>
          <w:tcPr>
            <w:tcW w:w="2430" w:type="dxa"/>
            <w:shd w:val="clear" w:color="auto" w:fill="auto"/>
          </w:tcPr>
          <w:p w14:paraId="3F054B0D" w14:textId="6870B7A2" w:rsidR="008E3B76" w:rsidRDefault="008E3B76" w:rsidP="008E3B76">
            <w:pPr>
              <w:widowControl w:val="0"/>
              <w:suppressAutoHyphens/>
              <w:rPr>
                <w:rFonts w:ascii="Arial" w:hAnsi="Arial" w:cs="Arial"/>
                <w:sz w:val="20"/>
              </w:rPr>
            </w:pPr>
            <w:r>
              <w:rPr>
                <w:rFonts w:ascii="Arial" w:hAnsi="Arial" w:cs="Arial"/>
                <w:sz w:val="20"/>
              </w:rPr>
              <w:t>Include a bit in the sensing measurement parameter field that indicates whether the setup is on behalf of a DMG SBP session. For non-DMG, a solution to this problem was introduced that can be leveraged for DMG as well.</w:t>
            </w:r>
          </w:p>
        </w:tc>
        <w:tc>
          <w:tcPr>
            <w:tcW w:w="2133" w:type="dxa"/>
          </w:tcPr>
          <w:p w14:paraId="491D0425" w14:textId="422667D0" w:rsidR="008E3B76" w:rsidRDefault="00770417" w:rsidP="008E3B76">
            <w:pPr>
              <w:widowControl w:val="0"/>
              <w:suppressAutoHyphens/>
              <w:rPr>
                <w:rFonts w:ascii="Arial" w:hAnsi="Arial" w:cs="Arial"/>
                <w:sz w:val="20"/>
              </w:rPr>
            </w:pPr>
            <w:r>
              <w:rPr>
                <w:rFonts w:ascii="Arial" w:hAnsi="Arial" w:cs="Arial"/>
                <w:sz w:val="20"/>
              </w:rPr>
              <w:t>Revised, see proposed resolution below in &lt;DCN1619r0&gt;.</w:t>
            </w:r>
          </w:p>
        </w:tc>
      </w:tr>
      <w:tr w:rsidR="00A17BB2" w:rsidRPr="00831251" w14:paraId="4B4F4906" w14:textId="77777777" w:rsidTr="00A17BB2">
        <w:trPr>
          <w:trHeight w:val="1485"/>
        </w:trPr>
        <w:tc>
          <w:tcPr>
            <w:tcW w:w="715" w:type="dxa"/>
            <w:shd w:val="clear" w:color="auto" w:fill="auto"/>
          </w:tcPr>
          <w:p w14:paraId="123DD78B" w14:textId="2B086D21" w:rsidR="00A17BB2" w:rsidRDefault="00A17BB2" w:rsidP="00A17BB2">
            <w:pPr>
              <w:widowControl w:val="0"/>
              <w:suppressAutoHyphens/>
              <w:rPr>
                <w:szCs w:val="22"/>
                <w:lang w:val="en-US"/>
              </w:rPr>
            </w:pPr>
            <w:r>
              <w:rPr>
                <w:szCs w:val="22"/>
                <w:lang w:val="en-US"/>
              </w:rPr>
              <w:t>3409</w:t>
            </w:r>
          </w:p>
        </w:tc>
        <w:tc>
          <w:tcPr>
            <w:tcW w:w="810" w:type="dxa"/>
            <w:shd w:val="clear" w:color="auto" w:fill="auto"/>
          </w:tcPr>
          <w:p w14:paraId="698298DB" w14:textId="305D6277" w:rsidR="00A17BB2" w:rsidRPr="00823E03" w:rsidRDefault="00A17BB2" w:rsidP="00A17BB2">
            <w:pPr>
              <w:widowControl w:val="0"/>
              <w:suppressAutoHyphens/>
              <w:jc w:val="center"/>
              <w:rPr>
                <w:rFonts w:ascii="Arial" w:hAnsi="Arial" w:cs="Arial"/>
                <w:sz w:val="20"/>
              </w:rPr>
            </w:pPr>
            <w:r>
              <w:rPr>
                <w:rFonts w:ascii="Arial" w:hAnsi="Arial" w:cs="Arial"/>
                <w:sz w:val="20"/>
              </w:rPr>
              <w:t>11.55.4.2</w:t>
            </w:r>
          </w:p>
        </w:tc>
        <w:tc>
          <w:tcPr>
            <w:tcW w:w="630" w:type="dxa"/>
            <w:shd w:val="clear" w:color="auto" w:fill="auto"/>
          </w:tcPr>
          <w:p w14:paraId="522EED96" w14:textId="0D358154" w:rsidR="00A17BB2" w:rsidRDefault="00A17BB2" w:rsidP="00A17BB2">
            <w:pPr>
              <w:widowControl w:val="0"/>
              <w:suppressAutoHyphens/>
              <w:rPr>
                <w:rFonts w:ascii="Arial" w:hAnsi="Arial" w:cs="Arial"/>
                <w:sz w:val="20"/>
              </w:rPr>
            </w:pPr>
            <w:r>
              <w:rPr>
                <w:rFonts w:ascii="Arial" w:hAnsi="Arial" w:cs="Arial"/>
                <w:sz w:val="20"/>
              </w:rPr>
              <w:t>189.44</w:t>
            </w:r>
          </w:p>
        </w:tc>
        <w:tc>
          <w:tcPr>
            <w:tcW w:w="2610" w:type="dxa"/>
            <w:shd w:val="clear" w:color="auto" w:fill="auto"/>
          </w:tcPr>
          <w:p w14:paraId="6D5D8023" w14:textId="25190910" w:rsidR="00A17BB2" w:rsidRDefault="00A17BB2" w:rsidP="00A17BB2">
            <w:pPr>
              <w:widowControl w:val="0"/>
              <w:suppressAutoHyphens/>
              <w:rPr>
                <w:rFonts w:ascii="Arial" w:hAnsi="Arial" w:cs="Arial"/>
                <w:sz w:val="20"/>
              </w:rPr>
            </w:pPr>
            <w:r>
              <w:rPr>
                <w:rFonts w:ascii="Arial" w:hAnsi="Arial" w:cs="Arial"/>
                <w:sz w:val="20"/>
              </w:rPr>
              <w:t>In a DMG sensing measurement setup that is part of a DMG SBP procedure, a non-AP/non-PCP sensing responder can't determine the identity of the DMG SBP initiator.</w:t>
            </w:r>
          </w:p>
        </w:tc>
        <w:tc>
          <w:tcPr>
            <w:tcW w:w="2430" w:type="dxa"/>
            <w:shd w:val="clear" w:color="auto" w:fill="auto"/>
          </w:tcPr>
          <w:p w14:paraId="3709A717" w14:textId="4C7D6FD2" w:rsidR="00A17BB2" w:rsidRDefault="00A17BB2" w:rsidP="00A17BB2">
            <w:pPr>
              <w:widowControl w:val="0"/>
              <w:suppressAutoHyphens/>
              <w:rPr>
                <w:rFonts w:ascii="Arial" w:hAnsi="Arial" w:cs="Arial"/>
                <w:sz w:val="20"/>
              </w:rPr>
            </w:pPr>
            <w:r>
              <w:rPr>
                <w:rFonts w:ascii="Arial" w:hAnsi="Arial" w:cs="Arial"/>
                <w:sz w:val="20"/>
              </w:rPr>
              <w:t>Include a new field in the DMG measurement setup request frame to indicate the DMG SBP initiator's identity. Additionally, include a parameter in the DMG SBP Parameters element to indicate whether the DMG SBP responder is allowed to share the identity of the DMG SBP initiator with the sensing responder(s). For non-DMG, a solution to this problem was introduced that can be leveraged for DMG as well.</w:t>
            </w:r>
          </w:p>
        </w:tc>
        <w:tc>
          <w:tcPr>
            <w:tcW w:w="2133" w:type="dxa"/>
          </w:tcPr>
          <w:p w14:paraId="085BF83F" w14:textId="566977E5" w:rsidR="00A17BB2" w:rsidRDefault="00770417" w:rsidP="00A17BB2">
            <w:pPr>
              <w:widowControl w:val="0"/>
              <w:suppressAutoHyphens/>
              <w:rPr>
                <w:rFonts w:ascii="Arial" w:hAnsi="Arial" w:cs="Arial"/>
                <w:sz w:val="20"/>
              </w:rPr>
            </w:pPr>
            <w:r>
              <w:rPr>
                <w:rFonts w:ascii="Arial" w:hAnsi="Arial" w:cs="Arial"/>
                <w:sz w:val="20"/>
              </w:rPr>
              <w:t>Revised, see proposed resolution below in &lt;DCN1619r0&gt;.</w:t>
            </w:r>
          </w:p>
        </w:tc>
      </w:tr>
    </w:tbl>
    <w:p w14:paraId="69D114BE" w14:textId="1094D53F" w:rsidR="00021D54" w:rsidRDefault="00021D54" w:rsidP="00021D54">
      <w:pPr>
        <w:rPr>
          <w:szCs w:val="22"/>
          <w:lang w:val="en-US"/>
        </w:rPr>
      </w:pPr>
    </w:p>
    <w:p w14:paraId="0A11E00D" w14:textId="118A1D5A" w:rsidR="000C442D"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Pr>
          <w:szCs w:val="22"/>
          <w:lang w:val="en-US"/>
        </w:rPr>
        <w:t>.</w:t>
      </w:r>
    </w:p>
    <w:p w14:paraId="5C2F045E" w14:textId="77777777" w:rsidR="003D4141" w:rsidRDefault="003D4141" w:rsidP="000C442D">
      <w:pPr>
        <w:rPr>
          <w:szCs w:val="22"/>
          <w:lang w:val="en-US"/>
        </w:rPr>
      </w:pPr>
    </w:p>
    <w:p w14:paraId="086D3A67" w14:textId="0AF06202" w:rsidR="003D4141" w:rsidRPr="00CF09FE" w:rsidRDefault="003D4141" w:rsidP="000C442D">
      <w:pPr>
        <w:rPr>
          <w:szCs w:val="22"/>
          <w:lang w:val="en-US"/>
        </w:rPr>
      </w:pPr>
      <w:r>
        <w:rPr>
          <w:b/>
          <w:szCs w:val="22"/>
          <w:lang w:val="en-US"/>
        </w:rPr>
        <w:t>Discussion</w:t>
      </w:r>
      <w:r w:rsidRPr="00CF09FE">
        <w:rPr>
          <w:szCs w:val="22"/>
          <w:lang w:val="en-US"/>
        </w:rPr>
        <w:t>:</w:t>
      </w:r>
      <w:r>
        <w:rPr>
          <w:szCs w:val="22"/>
          <w:lang w:val="en-US"/>
        </w:rPr>
        <w:t xml:space="preserve"> In </w:t>
      </w:r>
      <w:r w:rsidR="006D3CFB">
        <w:rPr>
          <w:szCs w:val="22"/>
          <w:lang w:val="en-US"/>
        </w:rPr>
        <w:t>11bf D2.0</w:t>
      </w:r>
      <w:r>
        <w:rPr>
          <w:szCs w:val="22"/>
          <w:lang w:val="en-US"/>
        </w:rPr>
        <w:t xml:space="preserve">, we </w:t>
      </w:r>
      <w:r w:rsidR="00090E8D">
        <w:rPr>
          <w:szCs w:val="22"/>
          <w:lang w:val="en-US"/>
        </w:rPr>
        <w:t>define</w:t>
      </w:r>
      <w:r>
        <w:rPr>
          <w:szCs w:val="22"/>
          <w:lang w:val="en-US"/>
        </w:rPr>
        <w:t xml:space="preserve">d an SBP Specific </w:t>
      </w:r>
      <w:proofErr w:type="spellStart"/>
      <w:r>
        <w:rPr>
          <w:szCs w:val="22"/>
          <w:lang w:val="en-US"/>
        </w:rPr>
        <w:t>subelement</w:t>
      </w:r>
      <w:proofErr w:type="spellEnd"/>
      <w:r w:rsidR="00090E8D">
        <w:rPr>
          <w:szCs w:val="22"/>
          <w:lang w:val="en-US"/>
        </w:rPr>
        <w:t xml:space="preserve">, which </w:t>
      </w:r>
      <w:r w:rsidR="00E01ECA">
        <w:rPr>
          <w:szCs w:val="22"/>
          <w:lang w:val="en-US"/>
        </w:rPr>
        <w:t>is</w:t>
      </w:r>
      <w:r w:rsidR="00090E8D">
        <w:rPr>
          <w:szCs w:val="22"/>
          <w:lang w:val="en-US"/>
        </w:rPr>
        <w:t xml:space="preserve"> included in the </w:t>
      </w:r>
      <w:r w:rsidR="00E01ECA">
        <w:rPr>
          <w:szCs w:val="22"/>
          <w:lang w:val="en-US"/>
        </w:rPr>
        <w:t xml:space="preserve">Sensing Measurement Request frame if it is transmitted to satisfy an SBP request. The SBP Specific </w:t>
      </w:r>
      <w:proofErr w:type="spellStart"/>
      <w:r w:rsidR="00E01ECA">
        <w:rPr>
          <w:szCs w:val="22"/>
          <w:lang w:val="en-US"/>
        </w:rPr>
        <w:t>subelement</w:t>
      </w:r>
      <w:proofErr w:type="spellEnd"/>
      <w:r w:rsidR="00E01ECA">
        <w:rPr>
          <w:szCs w:val="22"/>
          <w:lang w:val="en-US"/>
        </w:rPr>
        <w:t xml:space="preserve"> includes the AID/USID of the SBP initiator. In this case, a sensing responder will be able to differentiate</w:t>
      </w:r>
      <w:r w:rsidR="000117ED">
        <w:rPr>
          <w:szCs w:val="22"/>
          <w:lang w:val="en-US"/>
        </w:rPr>
        <w:t xml:space="preserve"> between a sensing procedure initiated by the AP itself and a sensing procedure used to satisfy an SBP </w:t>
      </w:r>
      <w:r w:rsidR="000117ED">
        <w:rPr>
          <w:szCs w:val="22"/>
          <w:lang w:val="en-US"/>
        </w:rPr>
        <w:lastRenderedPageBreak/>
        <w:t xml:space="preserve">request initiated by the SBP initiator. </w:t>
      </w:r>
      <w:r w:rsidR="006D3CFB">
        <w:rPr>
          <w:szCs w:val="22"/>
          <w:lang w:val="en-US"/>
        </w:rPr>
        <w:t xml:space="preserve">Moreover, we clarified that an SBP responder cannot reuse existing sensing measurement sessions to satisfy a new SBP request. </w:t>
      </w:r>
      <w:r w:rsidR="000117ED">
        <w:rPr>
          <w:szCs w:val="22"/>
          <w:lang w:val="en-US"/>
        </w:rPr>
        <w:t>For DMG SBP procedure, we can follow the same ideas.</w:t>
      </w:r>
    </w:p>
    <w:p w14:paraId="1F2CD146" w14:textId="15653403" w:rsidR="00F45E05" w:rsidRPr="00090E8D" w:rsidRDefault="00F45E05" w:rsidP="009B1D1B">
      <w:pPr>
        <w:rPr>
          <w:lang w:val="en-US"/>
        </w:rPr>
      </w:pPr>
    </w:p>
    <w:p w14:paraId="668918CD" w14:textId="237342D5" w:rsidR="00F45E05" w:rsidRDefault="00F45E05" w:rsidP="009B1D1B">
      <w:pPr>
        <w:rPr>
          <w:b/>
          <w:bCs/>
          <w:i/>
          <w:iCs/>
        </w:rPr>
      </w:pPr>
      <w:proofErr w:type="spellStart"/>
      <w:r>
        <w:rPr>
          <w:b/>
          <w:bCs/>
          <w:i/>
          <w:iCs/>
        </w:rPr>
        <w:t>TGbf</w:t>
      </w:r>
      <w:proofErr w:type="spellEnd"/>
      <w:r>
        <w:rPr>
          <w:b/>
          <w:bCs/>
          <w:i/>
          <w:iCs/>
        </w:rPr>
        <w:t xml:space="preserve"> editor, </w:t>
      </w:r>
      <w:r w:rsidR="00464C7D">
        <w:rPr>
          <w:b/>
          <w:bCs/>
          <w:i/>
          <w:iCs/>
        </w:rPr>
        <w:t>modify Table 9-401z and add the following paragraphs</w:t>
      </w:r>
      <w:r>
        <w:rPr>
          <w:b/>
          <w:bCs/>
          <w:i/>
          <w:iCs/>
        </w:rPr>
        <w:t xml:space="preserve"> </w:t>
      </w:r>
      <w:r w:rsidR="00173B5C">
        <w:rPr>
          <w:b/>
          <w:bCs/>
          <w:i/>
          <w:iCs/>
        </w:rPr>
        <w:t>at the end of</w:t>
      </w:r>
      <w:r w:rsidR="00591228">
        <w:rPr>
          <w:b/>
          <w:bCs/>
          <w:i/>
          <w:iCs/>
        </w:rPr>
        <w:t xml:space="preserve"> </w:t>
      </w:r>
      <w:r w:rsidR="001A05CF">
        <w:rPr>
          <w:b/>
          <w:bCs/>
          <w:i/>
          <w:iCs/>
        </w:rPr>
        <w:t>9.4.2.326</w:t>
      </w:r>
      <w:r>
        <w:rPr>
          <w:b/>
          <w:bCs/>
          <w:i/>
          <w:iCs/>
        </w:rPr>
        <w:t xml:space="preserve"> </w:t>
      </w:r>
      <w:r w:rsidR="002E3AF0">
        <w:rPr>
          <w:b/>
          <w:bCs/>
          <w:i/>
          <w:iCs/>
        </w:rPr>
        <w:t>D</w:t>
      </w:r>
      <w:r w:rsidR="00591228">
        <w:rPr>
          <w:b/>
          <w:bCs/>
          <w:i/>
          <w:iCs/>
        </w:rPr>
        <w:t>2</w:t>
      </w:r>
      <w:r w:rsidR="002E3AF0">
        <w:rPr>
          <w:b/>
          <w:bCs/>
          <w:i/>
          <w:iCs/>
        </w:rPr>
        <w:t>.0</w:t>
      </w:r>
      <w:r>
        <w:rPr>
          <w:b/>
          <w:bCs/>
          <w:i/>
          <w:iCs/>
        </w:rPr>
        <w:t>:</w:t>
      </w:r>
    </w:p>
    <w:p w14:paraId="34E05FB9" w14:textId="77777777" w:rsidR="00D83CBF" w:rsidRDefault="00D83CBF" w:rsidP="00A63232">
      <w:pPr>
        <w:rPr>
          <w:color w:val="FF0000"/>
          <w:szCs w:val="22"/>
          <w:u w:val="single"/>
          <w:lang w:val="en-US"/>
        </w:rPr>
      </w:pPr>
    </w:p>
    <w:p w14:paraId="3BED5F0C" w14:textId="4F440CD0" w:rsidR="006B5C00" w:rsidRDefault="006B5C00" w:rsidP="006B5C00">
      <w:pPr>
        <w:jc w:val="center"/>
        <w:rPr>
          <w:szCs w:val="22"/>
          <w:lang w:val="en-US"/>
        </w:rPr>
      </w:pPr>
      <w:r>
        <w:rPr>
          <w:szCs w:val="22"/>
          <w:lang w:val="en-US"/>
        </w:rPr>
        <w:t xml:space="preserve">Table 9-401z --- </w:t>
      </w:r>
      <w:proofErr w:type="spellStart"/>
      <w:r>
        <w:rPr>
          <w:szCs w:val="22"/>
          <w:lang w:val="en-US"/>
        </w:rPr>
        <w:t>Subelements</w:t>
      </w:r>
      <w:proofErr w:type="spellEnd"/>
      <w:r>
        <w:rPr>
          <w:szCs w:val="22"/>
          <w:lang w:val="en-US"/>
        </w:rPr>
        <w:t xml:space="preserve"> of DMG Sensing Measurement Session definition</w:t>
      </w:r>
    </w:p>
    <w:tbl>
      <w:tblPr>
        <w:tblStyle w:val="TableGrid"/>
        <w:tblW w:w="0" w:type="auto"/>
        <w:tblLook w:val="04A0" w:firstRow="1" w:lastRow="0" w:firstColumn="1" w:lastColumn="0" w:noHBand="0" w:noVBand="1"/>
      </w:tblPr>
      <w:tblGrid>
        <w:gridCol w:w="3116"/>
        <w:gridCol w:w="3117"/>
        <w:gridCol w:w="3117"/>
      </w:tblGrid>
      <w:tr w:rsidR="005B4239" w14:paraId="72E8A157" w14:textId="77777777" w:rsidTr="005B4239">
        <w:tc>
          <w:tcPr>
            <w:tcW w:w="3116" w:type="dxa"/>
          </w:tcPr>
          <w:p w14:paraId="6B7B7A39" w14:textId="73EFD2F9" w:rsidR="005B4239" w:rsidRDefault="005B4239" w:rsidP="006B5C00">
            <w:pPr>
              <w:rPr>
                <w:szCs w:val="22"/>
                <w:lang w:val="en-US"/>
              </w:rPr>
            </w:pPr>
            <w:proofErr w:type="spellStart"/>
            <w:r>
              <w:rPr>
                <w:szCs w:val="22"/>
                <w:lang w:val="en-US"/>
              </w:rPr>
              <w:t>Subelement</w:t>
            </w:r>
            <w:proofErr w:type="spellEnd"/>
            <w:r>
              <w:rPr>
                <w:szCs w:val="22"/>
                <w:lang w:val="en-US"/>
              </w:rPr>
              <w:t xml:space="preserve"> ID</w:t>
            </w:r>
          </w:p>
        </w:tc>
        <w:tc>
          <w:tcPr>
            <w:tcW w:w="3117" w:type="dxa"/>
          </w:tcPr>
          <w:p w14:paraId="7B0CC694" w14:textId="78FC3BA1" w:rsidR="005B4239" w:rsidRDefault="005B4239" w:rsidP="006B5C00">
            <w:pPr>
              <w:rPr>
                <w:szCs w:val="22"/>
                <w:lang w:val="en-US"/>
              </w:rPr>
            </w:pPr>
            <w:proofErr w:type="spellStart"/>
            <w:r>
              <w:rPr>
                <w:szCs w:val="22"/>
                <w:lang w:val="en-US"/>
              </w:rPr>
              <w:t>Subelement</w:t>
            </w:r>
            <w:proofErr w:type="spellEnd"/>
            <w:r>
              <w:rPr>
                <w:szCs w:val="22"/>
                <w:lang w:val="en-US"/>
              </w:rPr>
              <w:t xml:space="preserve"> Name</w:t>
            </w:r>
          </w:p>
        </w:tc>
        <w:tc>
          <w:tcPr>
            <w:tcW w:w="3117" w:type="dxa"/>
          </w:tcPr>
          <w:p w14:paraId="342B0EEE" w14:textId="00E2ADFF" w:rsidR="005B4239" w:rsidRDefault="005B4239" w:rsidP="006B5C00">
            <w:pPr>
              <w:rPr>
                <w:szCs w:val="22"/>
                <w:lang w:val="en-US"/>
              </w:rPr>
            </w:pPr>
            <w:r>
              <w:rPr>
                <w:szCs w:val="22"/>
                <w:lang w:val="en-US"/>
              </w:rPr>
              <w:t>Extensible</w:t>
            </w:r>
          </w:p>
        </w:tc>
      </w:tr>
      <w:tr w:rsidR="005B4239" w14:paraId="1D7E5740" w14:textId="77777777" w:rsidTr="005B4239">
        <w:tc>
          <w:tcPr>
            <w:tcW w:w="3116" w:type="dxa"/>
          </w:tcPr>
          <w:p w14:paraId="6182817C" w14:textId="19EDA2A8" w:rsidR="005B4239" w:rsidRDefault="005B4239" w:rsidP="006B5C00">
            <w:pPr>
              <w:rPr>
                <w:szCs w:val="22"/>
                <w:lang w:val="en-US"/>
              </w:rPr>
            </w:pPr>
            <w:r>
              <w:rPr>
                <w:szCs w:val="22"/>
                <w:lang w:val="en-US"/>
              </w:rPr>
              <w:t>1</w:t>
            </w:r>
          </w:p>
        </w:tc>
        <w:tc>
          <w:tcPr>
            <w:tcW w:w="3117" w:type="dxa"/>
          </w:tcPr>
          <w:p w14:paraId="66AE6E0D" w14:textId="3A559492" w:rsidR="005B4239" w:rsidRDefault="004F47F7" w:rsidP="006B5C00">
            <w:pPr>
              <w:rPr>
                <w:szCs w:val="22"/>
                <w:lang w:val="en-US"/>
              </w:rPr>
            </w:pPr>
            <w:r>
              <w:rPr>
                <w:szCs w:val="22"/>
                <w:lang w:val="en-US"/>
              </w:rPr>
              <w:t>TX Beam List</w:t>
            </w:r>
          </w:p>
        </w:tc>
        <w:tc>
          <w:tcPr>
            <w:tcW w:w="3117" w:type="dxa"/>
          </w:tcPr>
          <w:p w14:paraId="4CC0DA2A" w14:textId="496830FC" w:rsidR="005B4239" w:rsidRDefault="004F47F7" w:rsidP="006B5C00">
            <w:pPr>
              <w:rPr>
                <w:szCs w:val="22"/>
                <w:lang w:val="en-US"/>
              </w:rPr>
            </w:pPr>
            <w:r>
              <w:rPr>
                <w:szCs w:val="22"/>
                <w:lang w:val="en-US"/>
              </w:rPr>
              <w:t>Yes</w:t>
            </w:r>
          </w:p>
        </w:tc>
      </w:tr>
      <w:tr w:rsidR="005B4239" w14:paraId="5E6627D8" w14:textId="77777777" w:rsidTr="005B4239">
        <w:tc>
          <w:tcPr>
            <w:tcW w:w="3116" w:type="dxa"/>
          </w:tcPr>
          <w:p w14:paraId="12E5EB80" w14:textId="4C85B796" w:rsidR="005B4239" w:rsidRDefault="005B4239" w:rsidP="006B5C00">
            <w:pPr>
              <w:rPr>
                <w:szCs w:val="22"/>
                <w:lang w:val="en-US"/>
              </w:rPr>
            </w:pPr>
            <w:r>
              <w:rPr>
                <w:szCs w:val="22"/>
                <w:lang w:val="en-US"/>
              </w:rPr>
              <w:t>2</w:t>
            </w:r>
          </w:p>
        </w:tc>
        <w:tc>
          <w:tcPr>
            <w:tcW w:w="3117" w:type="dxa"/>
          </w:tcPr>
          <w:p w14:paraId="19883849" w14:textId="5DF121C7" w:rsidR="005B4239" w:rsidRDefault="004F47F7" w:rsidP="006B5C00">
            <w:pPr>
              <w:rPr>
                <w:szCs w:val="22"/>
                <w:lang w:val="en-US"/>
              </w:rPr>
            </w:pPr>
            <w:r>
              <w:rPr>
                <w:szCs w:val="22"/>
                <w:lang w:val="en-US"/>
              </w:rPr>
              <w:t>RX Beam List</w:t>
            </w:r>
          </w:p>
        </w:tc>
        <w:tc>
          <w:tcPr>
            <w:tcW w:w="3117" w:type="dxa"/>
          </w:tcPr>
          <w:p w14:paraId="19E4177F" w14:textId="2385C40A" w:rsidR="005B4239" w:rsidRDefault="004F47F7" w:rsidP="006B5C00">
            <w:pPr>
              <w:rPr>
                <w:szCs w:val="22"/>
                <w:lang w:val="en-US"/>
              </w:rPr>
            </w:pPr>
            <w:r>
              <w:rPr>
                <w:szCs w:val="22"/>
                <w:lang w:val="en-US"/>
              </w:rPr>
              <w:t>Yes</w:t>
            </w:r>
          </w:p>
        </w:tc>
      </w:tr>
      <w:tr w:rsidR="005B4239" w14:paraId="13676EBF" w14:textId="77777777" w:rsidTr="005B4239">
        <w:tc>
          <w:tcPr>
            <w:tcW w:w="3116" w:type="dxa"/>
          </w:tcPr>
          <w:p w14:paraId="101378F7" w14:textId="40E0C3F1" w:rsidR="005B4239" w:rsidRDefault="005B4239" w:rsidP="006B5C00">
            <w:pPr>
              <w:rPr>
                <w:szCs w:val="22"/>
                <w:lang w:val="en-US"/>
              </w:rPr>
            </w:pPr>
            <w:r>
              <w:rPr>
                <w:szCs w:val="22"/>
                <w:lang w:val="en-US"/>
              </w:rPr>
              <w:t>3</w:t>
            </w:r>
          </w:p>
        </w:tc>
        <w:tc>
          <w:tcPr>
            <w:tcW w:w="3117" w:type="dxa"/>
          </w:tcPr>
          <w:p w14:paraId="561459FF" w14:textId="0455D39B" w:rsidR="005B4239" w:rsidRDefault="004F47F7" w:rsidP="006B5C00">
            <w:pPr>
              <w:rPr>
                <w:szCs w:val="22"/>
                <w:lang w:val="en-US"/>
              </w:rPr>
            </w:pPr>
            <w:r>
              <w:rPr>
                <w:szCs w:val="22"/>
                <w:lang w:val="en-US"/>
              </w:rPr>
              <w:t>DMG Sensing Scheduling</w:t>
            </w:r>
          </w:p>
        </w:tc>
        <w:tc>
          <w:tcPr>
            <w:tcW w:w="3117" w:type="dxa"/>
          </w:tcPr>
          <w:p w14:paraId="65CD634D" w14:textId="1BA31127" w:rsidR="005B4239" w:rsidRDefault="004F47F7" w:rsidP="006B5C00">
            <w:pPr>
              <w:rPr>
                <w:szCs w:val="22"/>
                <w:lang w:val="en-US"/>
              </w:rPr>
            </w:pPr>
            <w:r>
              <w:rPr>
                <w:szCs w:val="22"/>
                <w:lang w:val="en-US"/>
              </w:rPr>
              <w:t>Yes</w:t>
            </w:r>
          </w:p>
        </w:tc>
      </w:tr>
      <w:tr w:rsidR="005B4239" w14:paraId="325F01AB" w14:textId="77777777" w:rsidTr="005B4239">
        <w:tc>
          <w:tcPr>
            <w:tcW w:w="3116" w:type="dxa"/>
          </w:tcPr>
          <w:p w14:paraId="02104CD6" w14:textId="09C9D536" w:rsidR="005B4239" w:rsidRDefault="005B4239" w:rsidP="006B5C00">
            <w:pPr>
              <w:rPr>
                <w:szCs w:val="22"/>
                <w:lang w:val="en-US"/>
              </w:rPr>
            </w:pPr>
            <w:r>
              <w:rPr>
                <w:szCs w:val="22"/>
                <w:lang w:val="en-US"/>
              </w:rPr>
              <w:t>4</w:t>
            </w:r>
          </w:p>
        </w:tc>
        <w:tc>
          <w:tcPr>
            <w:tcW w:w="3117" w:type="dxa"/>
          </w:tcPr>
          <w:p w14:paraId="4660711A" w14:textId="419C87BE" w:rsidR="005B4239" w:rsidRDefault="0083316D" w:rsidP="006B5C00">
            <w:pPr>
              <w:rPr>
                <w:szCs w:val="22"/>
                <w:lang w:val="en-US"/>
              </w:rPr>
            </w:pPr>
            <w:r>
              <w:rPr>
                <w:szCs w:val="22"/>
                <w:lang w:val="en-US"/>
              </w:rPr>
              <w:t>Burst Response Delay</w:t>
            </w:r>
          </w:p>
        </w:tc>
        <w:tc>
          <w:tcPr>
            <w:tcW w:w="3117" w:type="dxa"/>
          </w:tcPr>
          <w:p w14:paraId="7CDFD799" w14:textId="02C79380" w:rsidR="005B4239" w:rsidRDefault="0083316D" w:rsidP="006B5C00">
            <w:pPr>
              <w:rPr>
                <w:szCs w:val="22"/>
                <w:lang w:val="en-US"/>
              </w:rPr>
            </w:pPr>
            <w:r>
              <w:rPr>
                <w:szCs w:val="22"/>
                <w:lang w:val="en-US"/>
              </w:rPr>
              <w:t>Yes</w:t>
            </w:r>
          </w:p>
        </w:tc>
      </w:tr>
      <w:tr w:rsidR="005B4239" w14:paraId="5C6384BE" w14:textId="77777777" w:rsidTr="005B4239">
        <w:tc>
          <w:tcPr>
            <w:tcW w:w="3116" w:type="dxa"/>
          </w:tcPr>
          <w:p w14:paraId="01CFC4FB" w14:textId="07ACFD01" w:rsidR="005B4239" w:rsidRPr="005B55A0" w:rsidRDefault="005B55A0" w:rsidP="006B5C00">
            <w:pPr>
              <w:rPr>
                <w:color w:val="FF0000"/>
                <w:szCs w:val="22"/>
                <w:u w:val="single"/>
                <w:lang w:val="en-US"/>
              </w:rPr>
            </w:pPr>
            <w:r>
              <w:rPr>
                <w:color w:val="FF0000"/>
                <w:szCs w:val="22"/>
                <w:u w:val="single"/>
                <w:lang w:val="en-US"/>
              </w:rPr>
              <w:t>5</w:t>
            </w:r>
          </w:p>
        </w:tc>
        <w:tc>
          <w:tcPr>
            <w:tcW w:w="3117" w:type="dxa"/>
          </w:tcPr>
          <w:p w14:paraId="1AC48C14" w14:textId="03E0BFF8" w:rsidR="005B4239" w:rsidRPr="005B55A0" w:rsidRDefault="005B55A0" w:rsidP="006B5C00">
            <w:pPr>
              <w:rPr>
                <w:color w:val="FF0000"/>
                <w:szCs w:val="22"/>
                <w:u w:val="single"/>
                <w:lang w:val="en-US"/>
              </w:rPr>
            </w:pPr>
            <w:r w:rsidRPr="005B55A0">
              <w:rPr>
                <w:color w:val="FF0000"/>
                <w:szCs w:val="22"/>
                <w:u w:val="single"/>
                <w:lang w:val="en-US"/>
              </w:rPr>
              <w:t xml:space="preserve">DMG SBP Specific </w:t>
            </w:r>
          </w:p>
        </w:tc>
        <w:tc>
          <w:tcPr>
            <w:tcW w:w="3117" w:type="dxa"/>
          </w:tcPr>
          <w:p w14:paraId="013EAC45" w14:textId="0370D409" w:rsidR="005B4239" w:rsidRPr="005B55A0" w:rsidRDefault="005B55A0" w:rsidP="006B5C00">
            <w:pPr>
              <w:rPr>
                <w:color w:val="FF0000"/>
                <w:szCs w:val="22"/>
                <w:u w:val="single"/>
                <w:lang w:val="en-US"/>
              </w:rPr>
            </w:pPr>
            <w:r w:rsidRPr="005B55A0">
              <w:rPr>
                <w:color w:val="FF0000"/>
                <w:szCs w:val="22"/>
                <w:u w:val="single"/>
                <w:lang w:val="en-US"/>
              </w:rPr>
              <w:t>Yes</w:t>
            </w:r>
          </w:p>
        </w:tc>
      </w:tr>
      <w:tr w:rsidR="005B55A0" w14:paraId="009DEB57" w14:textId="77777777" w:rsidTr="005B4239">
        <w:tc>
          <w:tcPr>
            <w:tcW w:w="3116" w:type="dxa"/>
          </w:tcPr>
          <w:p w14:paraId="70E85745" w14:textId="382067CC" w:rsidR="005B55A0" w:rsidRDefault="005B55A0" w:rsidP="005B55A0">
            <w:pPr>
              <w:rPr>
                <w:szCs w:val="22"/>
                <w:lang w:val="en-US"/>
              </w:rPr>
            </w:pPr>
            <w:r w:rsidRPr="005B55A0">
              <w:rPr>
                <w:strike/>
                <w:color w:val="FF0000"/>
                <w:szCs w:val="22"/>
                <w:lang w:val="en-US"/>
              </w:rPr>
              <w:t>5</w:t>
            </w:r>
            <w:r>
              <w:rPr>
                <w:color w:val="FF0000"/>
                <w:szCs w:val="22"/>
                <w:u w:val="single"/>
                <w:lang w:val="en-US"/>
              </w:rPr>
              <w:t>6</w:t>
            </w:r>
            <w:r>
              <w:rPr>
                <w:szCs w:val="22"/>
                <w:lang w:val="en-US"/>
              </w:rPr>
              <w:t>-255</w:t>
            </w:r>
          </w:p>
        </w:tc>
        <w:tc>
          <w:tcPr>
            <w:tcW w:w="3117" w:type="dxa"/>
          </w:tcPr>
          <w:p w14:paraId="1C68ED1A" w14:textId="48B4B5E8" w:rsidR="005B55A0" w:rsidRDefault="005B55A0" w:rsidP="005B55A0">
            <w:pPr>
              <w:rPr>
                <w:szCs w:val="22"/>
                <w:lang w:val="en-US"/>
              </w:rPr>
            </w:pPr>
            <w:r>
              <w:rPr>
                <w:szCs w:val="22"/>
                <w:lang w:val="en-US"/>
              </w:rPr>
              <w:t>Reserved</w:t>
            </w:r>
          </w:p>
        </w:tc>
        <w:tc>
          <w:tcPr>
            <w:tcW w:w="3117" w:type="dxa"/>
          </w:tcPr>
          <w:p w14:paraId="005CBBD1" w14:textId="57B35873" w:rsidR="005B55A0" w:rsidRDefault="005B55A0" w:rsidP="005B55A0">
            <w:pPr>
              <w:rPr>
                <w:szCs w:val="22"/>
                <w:lang w:val="en-US"/>
              </w:rPr>
            </w:pPr>
            <w:r>
              <w:rPr>
                <w:szCs w:val="22"/>
                <w:lang w:val="en-US"/>
              </w:rPr>
              <w:t>No</w:t>
            </w:r>
          </w:p>
        </w:tc>
      </w:tr>
    </w:tbl>
    <w:p w14:paraId="6F07CAC3" w14:textId="77777777" w:rsidR="006B5C00" w:rsidRDefault="006B5C00" w:rsidP="006B5C00">
      <w:pPr>
        <w:rPr>
          <w:szCs w:val="22"/>
          <w:lang w:val="en-US"/>
        </w:rPr>
      </w:pPr>
    </w:p>
    <w:p w14:paraId="25495B80" w14:textId="455D1E0C" w:rsidR="00464C7D" w:rsidRDefault="00464C7D" w:rsidP="00464C7D">
      <w:pPr>
        <w:rPr>
          <w:color w:val="FF0000"/>
          <w:szCs w:val="22"/>
          <w:u w:val="single"/>
        </w:rPr>
      </w:pPr>
      <w:r>
        <w:rPr>
          <w:color w:val="FF0000"/>
          <w:szCs w:val="22"/>
          <w:u w:val="single"/>
        </w:rPr>
        <w:t>If the sensing initiator is a</w:t>
      </w:r>
      <w:r w:rsidR="00091C1D">
        <w:rPr>
          <w:color w:val="FF0000"/>
          <w:szCs w:val="22"/>
          <w:u w:val="single"/>
        </w:rPr>
        <w:t xml:space="preserve"> DMG PCP/</w:t>
      </w:r>
      <w:r>
        <w:rPr>
          <w:color w:val="FF0000"/>
          <w:szCs w:val="22"/>
          <w:u w:val="single"/>
        </w:rPr>
        <w:t xml:space="preserve">AP, and if the </w:t>
      </w:r>
      <w:r w:rsidR="00DC24D2">
        <w:rPr>
          <w:color w:val="FF0000"/>
          <w:szCs w:val="22"/>
          <w:u w:val="single"/>
        </w:rPr>
        <w:t xml:space="preserve">DMG </w:t>
      </w:r>
      <w:r>
        <w:rPr>
          <w:color w:val="FF0000"/>
          <w:szCs w:val="22"/>
          <w:u w:val="single"/>
        </w:rPr>
        <w:t>Sensing Measurement Request frame is transmitted to satisfy a</w:t>
      </w:r>
      <w:r w:rsidR="003C0E88">
        <w:rPr>
          <w:color w:val="FF0000"/>
          <w:szCs w:val="22"/>
          <w:u w:val="single"/>
        </w:rPr>
        <w:t xml:space="preserve"> DMG </w:t>
      </w:r>
      <w:r>
        <w:rPr>
          <w:color w:val="FF0000"/>
          <w:szCs w:val="22"/>
          <w:u w:val="single"/>
        </w:rPr>
        <w:t>SBP request, it also includes a</w:t>
      </w:r>
      <w:r w:rsidR="003C0E88">
        <w:rPr>
          <w:color w:val="FF0000"/>
          <w:szCs w:val="22"/>
          <w:u w:val="single"/>
        </w:rPr>
        <w:t xml:space="preserve"> DMG</w:t>
      </w:r>
      <w:r>
        <w:rPr>
          <w:color w:val="FF0000"/>
          <w:szCs w:val="22"/>
          <w:u w:val="single"/>
        </w:rPr>
        <w:t xml:space="preserve"> SBP Specific </w:t>
      </w:r>
      <w:proofErr w:type="spellStart"/>
      <w:r>
        <w:rPr>
          <w:color w:val="FF0000"/>
          <w:szCs w:val="22"/>
          <w:u w:val="single"/>
        </w:rPr>
        <w:t>subelement</w:t>
      </w:r>
      <w:proofErr w:type="spellEnd"/>
      <w:r>
        <w:rPr>
          <w:color w:val="FF0000"/>
          <w:szCs w:val="22"/>
          <w:u w:val="single"/>
        </w:rPr>
        <w:t xml:space="preserve"> in the </w:t>
      </w:r>
      <w:r w:rsidR="003C0E88">
        <w:rPr>
          <w:color w:val="FF0000"/>
          <w:szCs w:val="22"/>
          <w:u w:val="single"/>
        </w:rPr>
        <w:t xml:space="preserve">DMG </w:t>
      </w:r>
      <w:r>
        <w:rPr>
          <w:color w:val="FF0000"/>
          <w:szCs w:val="22"/>
          <w:u w:val="single"/>
        </w:rPr>
        <w:t xml:space="preserve">Sensing Measurement Request frame to describe the set of parameters associated with the </w:t>
      </w:r>
      <w:r w:rsidR="003C0E88">
        <w:rPr>
          <w:color w:val="FF0000"/>
          <w:szCs w:val="22"/>
          <w:u w:val="single"/>
        </w:rPr>
        <w:t xml:space="preserve">DMG </w:t>
      </w:r>
      <w:r>
        <w:rPr>
          <w:color w:val="FF0000"/>
          <w:szCs w:val="22"/>
          <w:u w:val="single"/>
        </w:rPr>
        <w:t xml:space="preserve">SBP request. The format of the </w:t>
      </w:r>
      <w:r w:rsidR="003C0E88">
        <w:rPr>
          <w:color w:val="FF0000"/>
          <w:szCs w:val="22"/>
          <w:u w:val="single"/>
        </w:rPr>
        <w:t xml:space="preserve">DMG </w:t>
      </w:r>
      <w:r>
        <w:rPr>
          <w:color w:val="FF0000"/>
          <w:szCs w:val="22"/>
          <w:u w:val="single"/>
        </w:rPr>
        <w:t xml:space="preserve">SBP Specific </w:t>
      </w:r>
      <w:proofErr w:type="spellStart"/>
      <w:r>
        <w:rPr>
          <w:color w:val="FF0000"/>
          <w:szCs w:val="22"/>
          <w:u w:val="single"/>
        </w:rPr>
        <w:t>subelement</w:t>
      </w:r>
      <w:proofErr w:type="spellEnd"/>
      <w:r>
        <w:rPr>
          <w:color w:val="FF0000"/>
          <w:szCs w:val="22"/>
          <w:u w:val="single"/>
        </w:rPr>
        <w:t xml:space="preserve"> is as shown in Figure 9-xxx (</w:t>
      </w:r>
      <w:r w:rsidR="003C0E88">
        <w:rPr>
          <w:color w:val="FF0000"/>
          <w:szCs w:val="22"/>
          <w:u w:val="single"/>
        </w:rPr>
        <w:t xml:space="preserve">DMG </w:t>
      </w:r>
      <w:r>
        <w:rPr>
          <w:color w:val="FF0000"/>
          <w:szCs w:val="22"/>
          <w:u w:val="single"/>
        </w:rPr>
        <w:t xml:space="preserve">SBP Specific </w:t>
      </w:r>
      <w:proofErr w:type="spellStart"/>
      <w:r>
        <w:rPr>
          <w:color w:val="FF0000"/>
          <w:szCs w:val="22"/>
          <w:u w:val="single"/>
        </w:rPr>
        <w:t>subelement</w:t>
      </w:r>
      <w:proofErr w:type="spellEnd"/>
      <w:r>
        <w:rPr>
          <w:color w:val="FF0000"/>
          <w:szCs w:val="22"/>
          <w:u w:val="single"/>
        </w:rPr>
        <w:t xml:space="preserve"> format).</w:t>
      </w:r>
    </w:p>
    <w:p w14:paraId="1D2B6834" w14:textId="77777777" w:rsidR="00464C7D" w:rsidRPr="00464C7D" w:rsidRDefault="00464C7D" w:rsidP="006B5C00">
      <w:pPr>
        <w:rPr>
          <w:szCs w:val="22"/>
        </w:rPr>
      </w:pPr>
    </w:p>
    <w:tbl>
      <w:tblPr>
        <w:tblStyle w:val="TableGrid"/>
        <w:tblW w:w="0" w:type="auto"/>
        <w:tblInd w:w="720" w:type="dxa"/>
        <w:tblLook w:val="04A0" w:firstRow="1" w:lastRow="0" w:firstColumn="1" w:lastColumn="0" w:noHBand="0" w:noVBand="1"/>
      </w:tblPr>
      <w:tblGrid>
        <w:gridCol w:w="1637"/>
        <w:gridCol w:w="1760"/>
        <w:gridCol w:w="1686"/>
        <w:gridCol w:w="1826"/>
      </w:tblGrid>
      <w:tr w:rsidR="00F849FA" w14:paraId="5BCE8F56" w14:textId="77777777" w:rsidTr="00F849FA">
        <w:tc>
          <w:tcPr>
            <w:tcW w:w="1637" w:type="dxa"/>
          </w:tcPr>
          <w:p w14:paraId="76AED7ED" w14:textId="77777777" w:rsidR="00F849FA" w:rsidRPr="00EA7056" w:rsidRDefault="00F849FA" w:rsidP="00DD64C9">
            <w:pPr>
              <w:pStyle w:val="ListParagraph"/>
              <w:ind w:left="0"/>
              <w:rPr>
                <w:color w:val="FF0000"/>
                <w:szCs w:val="22"/>
                <w:u w:val="single"/>
                <w:lang w:val="en-US"/>
              </w:rPr>
            </w:pPr>
          </w:p>
        </w:tc>
        <w:tc>
          <w:tcPr>
            <w:tcW w:w="1760" w:type="dxa"/>
          </w:tcPr>
          <w:p w14:paraId="2C9E9E67" w14:textId="77777777" w:rsidR="00F849FA" w:rsidRPr="00EA7056" w:rsidRDefault="00F849FA" w:rsidP="00DD64C9">
            <w:pPr>
              <w:pStyle w:val="ListParagraph"/>
              <w:ind w:left="0"/>
              <w:rPr>
                <w:color w:val="FF0000"/>
                <w:szCs w:val="22"/>
                <w:u w:val="single"/>
                <w:lang w:val="en-US"/>
              </w:rPr>
            </w:pPr>
            <w:proofErr w:type="spellStart"/>
            <w:r w:rsidRPr="00EA7056">
              <w:rPr>
                <w:color w:val="FF0000"/>
                <w:szCs w:val="22"/>
                <w:u w:val="single"/>
                <w:lang w:val="en-US"/>
              </w:rPr>
              <w:t>Subelement</w:t>
            </w:r>
            <w:proofErr w:type="spellEnd"/>
            <w:r w:rsidRPr="00EA7056">
              <w:rPr>
                <w:color w:val="FF0000"/>
                <w:szCs w:val="22"/>
                <w:u w:val="single"/>
                <w:lang w:val="en-US"/>
              </w:rPr>
              <w:t xml:space="preserve"> ID</w:t>
            </w:r>
          </w:p>
        </w:tc>
        <w:tc>
          <w:tcPr>
            <w:tcW w:w="1686" w:type="dxa"/>
          </w:tcPr>
          <w:p w14:paraId="5C2FA045" w14:textId="77777777" w:rsidR="00F849FA" w:rsidRPr="00EA7056" w:rsidRDefault="00F849FA" w:rsidP="00DD64C9">
            <w:pPr>
              <w:pStyle w:val="ListParagraph"/>
              <w:ind w:left="0"/>
              <w:rPr>
                <w:color w:val="FF0000"/>
                <w:szCs w:val="22"/>
                <w:u w:val="single"/>
                <w:lang w:val="en-US"/>
              </w:rPr>
            </w:pPr>
            <w:r w:rsidRPr="00EA7056">
              <w:rPr>
                <w:color w:val="FF0000"/>
                <w:szCs w:val="22"/>
                <w:u w:val="single"/>
                <w:lang w:val="en-US"/>
              </w:rPr>
              <w:t>Length</w:t>
            </w:r>
          </w:p>
        </w:tc>
        <w:tc>
          <w:tcPr>
            <w:tcW w:w="1826" w:type="dxa"/>
          </w:tcPr>
          <w:p w14:paraId="2A246284" w14:textId="587838D9" w:rsidR="00F849FA" w:rsidRPr="00EA7056" w:rsidRDefault="00F849FA" w:rsidP="00DD64C9">
            <w:pPr>
              <w:pStyle w:val="ListParagraph"/>
              <w:ind w:left="0"/>
              <w:rPr>
                <w:color w:val="FF0000"/>
                <w:szCs w:val="22"/>
                <w:u w:val="single"/>
                <w:lang w:val="en-US"/>
              </w:rPr>
            </w:pPr>
            <w:r>
              <w:rPr>
                <w:color w:val="FF0000"/>
                <w:szCs w:val="22"/>
                <w:u w:val="single"/>
                <w:lang w:val="en-US"/>
              </w:rPr>
              <w:t xml:space="preserve">DMG </w:t>
            </w:r>
            <w:r w:rsidRPr="00EA7056">
              <w:rPr>
                <w:color w:val="FF0000"/>
                <w:szCs w:val="22"/>
                <w:u w:val="single"/>
                <w:lang w:val="en-US"/>
              </w:rPr>
              <w:t>SBP Initiator AID/USID</w:t>
            </w:r>
          </w:p>
        </w:tc>
      </w:tr>
      <w:tr w:rsidR="00F849FA" w14:paraId="291458D2" w14:textId="77777777" w:rsidTr="00F849FA">
        <w:tc>
          <w:tcPr>
            <w:tcW w:w="1637" w:type="dxa"/>
          </w:tcPr>
          <w:p w14:paraId="1E5DAFC9" w14:textId="77777777" w:rsidR="00F849FA" w:rsidRPr="00EA7056" w:rsidRDefault="00F849FA" w:rsidP="00DD64C9">
            <w:pPr>
              <w:pStyle w:val="ListParagraph"/>
              <w:ind w:left="0"/>
              <w:rPr>
                <w:color w:val="FF0000"/>
                <w:szCs w:val="22"/>
                <w:u w:val="single"/>
                <w:lang w:val="en-US"/>
              </w:rPr>
            </w:pPr>
            <w:r w:rsidRPr="00EA7056">
              <w:rPr>
                <w:color w:val="FF0000"/>
                <w:szCs w:val="22"/>
                <w:u w:val="single"/>
                <w:lang w:val="en-US"/>
              </w:rPr>
              <w:t>Bits</w:t>
            </w:r>
          </w:p>
        </w:tc>
        <w:tc>
          <w:tcPr>
            <w:tcW w:w="1760" w:type="dxa"/>
          </w:tcPr>
          <w:p w14:paraId="0B2D67D2" w14:textId="77777777" w:rsidR="00F849FA" w:rsidRPr="00EA7056" w:rsidRDefault="00F849FA" w:rsidP="00DD64C9">
            <w:pPr>
              <w:pStyle w:val="ListParagraph"/>
              <w:ind w:left="0"/>
              <w:rPr>
                <w:color w:val="FF0000"/>
                <w:szCs w:val="22"/>
                <w:u w:val="single"/>
                <w:lang w:val="en-US"/>
              </w:rPr>
            </w:pPr>
            <w:r w:rsidRPr="00EA7056">
              <w:rPr>
                <w:color w:val="FF0000"/>
                <w:szCs w:val="22"/>
                <w:u w:val="single"/>
                <w:lang w:val="en-US"/>
              </w:rPr>
              <w:t>8</w:t>
            </w:r>
          </w:p>
        </w:tc>
        <w:tc>
          <w:tcPr>
            <w:tcW w:w="1686" w:type="dxa"/>
          </w:tcPr>
          <w:p w14:paraId="67F4A6CC" w14:textId="77777777" w:rsidR="00F849FA" w:rsidRPr="00EA7056" w:rsidRDefault="00F849FA" w:rsidP="00DD64C9">
            <w:pPr>
              <w:pStyle w:val="ListParagraph"/>
              <w:ind w:left="0"/>
              <w:rPr>
                <w:color w:val="FF0000"/>
                <w:szCs w:val="22"/>
                <w:u w:val="single"/>
                <w:lang w:val="en-US"/>
              </w:rPr>
            </w:pPr>
            <w:r w:rsidRPr="00EA7056">
              <w:rPr>
                <w:color w:val="FF0000"/>
                <w:szCs w:val="22"/>
                <w:u w:val="single"/>
                <w:lang w:val="en-US"/>
              </w:rPr>
              <w:t>8</w:t>
            </w:r>
          </w:p>
        </w:tc>
        <w:tc>
          <w:tcPr>
            <w:tcW w:w="1826" w:type="dxa"/>
          </w:tcPr>
          <w:p w14:paraId="2FAFD333" w14:textId="033FEBD0" w:rsidR="00F849FA" w:rsidRPr="00EA7056" w:rsidRDefault="00F849FA" w:rsidP="00DD64C9">
            <w:pPr>
              <w:pStyle w:val="ListParagraph"/>
              <w:ind w:left="0"/>
              <w:rPr>
                <w:color w:val="FF0000"/>
                <w:szCs w:val="22"/>
                <w:u w:val="single"/>
                <w:lang w:val="en-US"/>
              </w:rPr>
            </w:pPr>
            <w:r>
              <w:rPr>
                <w:color w:val="FF0000"/>
                <w:szCs w:val="22"/>
                <w:u w:val="single"/>
                <w:lang w:val="en-US"/>
              </w:rPr>
              <w:t>8</w:t>
            </w:r>
          </w:p>
        </w:tc>
      </w:tr>
    </w:tbl>
    <w:p w14:paraId="0CA049AF" w14:textId="29EBD261" w:rsidR="0065247D" w:rsidRDefault="0065247D" w:rsidP="0065247D">
      <w:pPr>
        <w:jc w:val="center"/>
        <w:rPr>
          <w:color w:val="FF0000"/>
          <w:szCs w:val="22"/>
          <w:u w:val="single"/>
        </w:rPr>
      </w:pPr>
      <w:r>
        <w:rPr>
          <w:color w:val="FF0000"/>
          <w:szCs w:val="22"/>
          <w:u w:val="single"/>
        </w:rPr>
        <w:t xml:space="preserve">Figure 9-xxx: </w:t>
      </w:r>
      <w:r w:rsidR="00F849FA">
        <w:rPr>
          <w:color w:val="FF0000"/>
          <w:szCs w:val="22"/>
          <w:u w:val="single"/>
        </w:rPr>
        <w:t xml:space="preserve">DMG </w:t>
      </w:r>
      <w:r>
        <w:rPr>
          <w:color w:val="FF0000"/>
          <w:szCs w:val="22"/>
          <w:u w:val="single"/>
        </w:rPr>
        <w:t xml:space="preserve">SBP Specific </w:t>
      </w:r>
      <w:proofErr w:type="spellStart"/>
      <w:r>
        <w:rPr>
          <w:color w:val="FF0000"/>
          <w:szCs w:val="22"/>
          <w:u w:val="single"/>
        </w:rPr>
        <w:t>subelement</w:t>
      </w:r>
      <w:proofErr w:type="spellEnd"/>
      <w:r>
        <w:rPr>
          <w:color w:val="FF0000"/>
          <w:szCs w:val="22"/>
          <w:u w:val="single"/>
        </w:rPr>
        <w:t xml:space="preserve"> format</w:t>
      </w:r>
    </w:p>
    <w:p w14:paraId="7C37666F" w14:textId="77777777" w:rsidR="0065247D" w:rsidRDefault="0065247D" w:rsidP="0065247D">
      <w:pPr>
        <w:jc w:val="center"/>
        <w:rPr>
          <w:color w:val="FF0000"/>
          <w:szCs w:val="22"/>
          <w:u w:val="single"/>
        </w:rPr>
      </w:pPr>
    </w:p>
    <w:p w14:paraId="7461A270" w14:textId="6E89FCDB" w:rsidR="0065247D" w:rsidRDefault="0065247D" w:rsidP="0065247D">
      <w:pPr>
        <w:rPr>
          <w:color w:val="FF0000"/>
          <w:szCs w:val="22"/>
          <w:u w:val="single"/>
        </w:rPr>
      </w:pPr>
      <w:r>
        <w:rPr>
          <w:color w:val="FF0000"/>
          <w:szCs w:val="22"/>
          <w:u w:val="single"/>
        </w:rPr>
        <w:t xml:space="preserve">The </w:t>
      </w:r>
      <w:r w:rsidR="00F849FA">
        <w:rPr>
          <w:color w:val="FF0000"/>
          <w:szCs w:val="22"/>
          <w:u w:val="single"/>
        </w:rPr>
        <w:t xml:space="preserve">DMG </w:t>
      </w:r>
      <w:r>
        <w:rPr>
          <w:color w:val="FF0000"/>
          <w:szCs w:val="22"/>
          <w:u w:val="single"/>
        </w:rPr>
        <w:t xml:space="preserve">SBP Initiator AID/USID field indicates either the AID or the USID for the </w:t>
      </w:r>
      <w:r w:rsidR="00F849FA">
        <w:rPr>
          <w:color w:val="FF0000"/>
          <w:szCs w:val="22"/>
          <w:u w:val="single"/>
        </w:rPr>
        <w:t xml:space="preserve">DMG </w:t>
      </w:r>
      <w:r>
        <w:rPr>
          <w:color w:val="FF0000"/>
          <w:szCs w:val="22"/>
          <w:u w:val="single"/>
        </w:rPr>
        <w:t xml:space="preserve">SBP initiator that triggers the </w:t>
      </w:r>
      <w:r w:rsidR="00F849FA">
        <w:rPr>
          <w:color w:val="FF0000"/>
          <w:szCs w:val="22"/>
          <w:u w:val="single"/>
        </w:rPr>
        <w:t>PCP/</w:t>
      </w:r>
      <w:r>
        <w:rPr>
          <w:color w:val="FF0000"/>
          <w:szCs w:val="22"/>
          <w:u w:val="single"/>
        </w:rPr>
        <w:t xml:space="preserve">AP to transmit the associated </w:t>
      </w:r>
      <w:r w:rsidR="00F849FA">
        <w:rPr>
          <w:color w:val="FF0000"/>
          <w:szCs w:val="22"/>
          <w:u w:val="single"/>
        </w:rPr>
        <w:t xml:space="preserve">DMG </w:t>
      </w:r>
      <w:r>
        <w:rPr>
          <w:color w:val="FF0000"/>
          <w:szCs w:val="22"/>
          <w:u w:val="single"/>
        </w:rPr>
        <w:t xml:space="preserve">Sensing Measurement Request frame to satisfy the </w:t>
      </w:r>
      <w:r w:rsidR="00FC4EB8">
        <w:rPr>
          <w:color w:val="FF0000"/>
          <w:szCs w:val="22"/>
          <w:u w:val="single"/>
        </w:rPr>
        <w:t xml:space="preserve">DMG </w:t>
      </w:r>
      <w:r>
        <w:rPr>
          <w:color w:val="FF0000"/>
          <w:szCs w:val="22"/>
          <w:u w:val="single"/>
        </w:rPr>
        <w:t xml:space="preserve">SBP request from the </w:t>
      </w:r>
      <w:r w:rsidR="00FC4EB8">
        <w:rPr>
          <w:color w:val="FF0000"/>
          <w:szCs w:val="22"/>
          <w:u w:val="single"/>
        </w:rPr>
        <w:t xml:space="preserve">DMG </w:t>
      </w:r>
      <w:r>
        <w:rPr>
          <w:color w:val="FF0000"/>
          <w:szCs w:val="22"/>
          <w:u w:val="single"/>
        </w:rPr>
        <w:t>SBP initiator.</w:t>
      </w:r>
    </w:p>
    <w:p w14:paraId="140EEDFD" w14:textId="77777777" w:rsidR="008A4BE7" w:rsidRDefault="008A4BE7" w:rsidP="0065247D">
      <w:pPr>
        <w:rPr>
          <w:color w:val="FF0000"/>
          <w:szCs w:val="22"/>
          <w:u w:val="single"/>
        </w:rPr>
      </w:pPr>
    </w:p>
    <w:p w14:paraId="5CC16B5F" w14:textId="691D39E0" w:rsidR="008A4BE7" w:rsidRDefault="008A4BE7" w:rsidP="008A4BE7">
      <w:pPr>
        <w:rPr>
          <w:szCs w:val="22"/>
        </w:rPr>
      </w:pPr>
      <w:proofErr w:type="spellStart"/>
      <w:r>
        <w:rPr>
          <w:b/>
          <w:bCs/>
          <w:i/>
          <w:iCs/>
        </w:rPr>
        <w:t>TGbf</w:t>
      </w:r>
      <w:proofErr w:type="spellEnd"/>
      <w:r>
        <w:rPr>
          <w:b/>
          <w:bCs/>
          <w:i/>
          <w:iCs/>
        </w:rPr>
        <w:t xml:space="preserve"> editor</w:t>
      </w:r>
      <w:r>
        <w:rPr>
          <w:b/>
          <w:bCs/>
          <w:i/>
          <w:iCs/>
        </w:rPr>
        <w:t>:</w:t>
      </w:r>
      <w:r>
        <w:rPr>
          <w:szCs w:val="22"/>
        </w:rPr>
        <w:t xml:space="preserve"> </w:t>
      </w:r>
      <w:r w:rsidRPr="008A4BE7">
        <w:rPr>
          <w:b/>
          <w:bCs/>
          <w:i/>
          <w:iCs/>
        </w:rPr>
        <w:t>Add the following paragraph in 11.55.</w:t>
      </w:r>
      <w:r>
        <w:rPr>
          <w:b/>
          <w:bCs/>
          <w:i/>
          <w:iCs/>
        </w:rPr>
        <w:t>4</w:t>
      </w:r>
      <w:r w:rsidRPr="008A4BE7">
        <w:rPr>
          <w:b/>
          <w:bCs/>
          <w:i/>
          <w:iCs/>
        </w:rPr>
        <w:t>.2</w:t>
      </w:r>
    </w:p>
    <w:p w14:paraId="6F86FE8D" w14:textId="45C6F956" w:rsidR="008A4BE7" w:rsidRDefault="005302A2" w:rsidP="008A4BE7">
      <w:pPr>
        <w:rPr>
          <w:rFonts w:ascii="TimesNewRoman" w:eastAsia="TimesNewRoman" w:hAnsi="TimesNewRoman"/>
          <w:color w:val="000000"/>
          <w:szCs w:val="22"/>
        </w:rPr>
      </w:pPr>
      <w:r w:rsidRPr="005302A2">
        <w:rPr>
          <w:rFonts w:ascii="TimesNewRoman" w:eastAsia="TimesNewRoman" w:hAnsi="TimesNewRoman"/>
          <w:color w:val="000000"/>
          <w:szCs w:val="22"/>
        </w:rPr>
        <w:t>If the SBP responder of a DMG SBP request that has resulted in an MLME-DMG-</w:t>
      </w:r>
      <w:proofErr w:type="spellStart"/>
      <w:r w:rsidRPr="005302A2">
        <w:rPr>
          <w:rFonts w:ascii="TimesNewRoman" w:eastAsia="TimesNewRoman" w:hAnsi="TimesNewRoman"/>
          <w:color w:val="000000"/>
          <w:szCs w:val="22"/>
        </w:rPr>
        <w:t>SBP.response</w:t>
      </w:r>
      <w:proofErr w:type="spellEnd"/>
      <w:r w:rsidRPr="005302A2">
        <w:rPr>
          <w:rFonts w:ascii="TimesNewRoman" w:eastAsia="TimesNewRoman" w:hAnsi="TimesNewRoman"/>
          <w:color w:val="000000"/>
          <w:szCs w:val="22"/>
        </w:rPr>
        <w:t xml:space="preserve"> primitive</w:t>
      </w:r>
      <w:r>
        <w:rPr>
          <w:rFonts w:ascii="TimesNewRoman" w:eastAsia="TimesNewRoman" w:hAnsi="TimesNewRoman"/>
          <w:color w:val="000000"/>
          <w:szCs w:val="22"/>
        </w:rPr>
        <w:t xml:space="preserve"> </w:t>
      </w:r>
      <w:r w:rsidRPr="005302A2">
        <w:rPr>
          <w:rFonts w:ascii="TimesNewRoman" w:eastAsia="TimesNewRoman" w:hAnsi="TimesNewRoman"/>
          <w:color w:val="000000"/>
          <w:szCs w:val="22"/>
        </w:rPr>
        <w:t xml:space="preserve">being issued with </w:t>
      </w:r>
      <w:proofErr w:type="spellStart"/>
      <w:r w:rsidRPr="005302A2">
        <w:rPr>
          <w:rFonts w:ascii="TimesNewRoman" w:eastAsia="TimesNewRoman" w:hAnsi="TimesNewRoman"/>
          <w:color w:val="000000"/>
          <w:szCs w:val="22"/>
        </w:rPr>
        <w:t>StatusCode</w:t>
      </w:r>
      <w:proofErr w:type="spellEnd"/>
      <w:r w:rsidRPr="005302A2">
        <w:rPr>
          <w:rFonts w:ascii="TimesNewRoman" w:eastAsia="TimesNewRoman" w:hAnsi="TimesNewRoman"/>
          <w:color w:val="000000"/>
          <w:szCs w:val="22"/>
        </w:rPr>
        <w:t xml:space="preserve"> parameter set to SUCCESS is not able to satisfy required parameters specified</w:t>
      </w:r>
      <w:r>
        <w:rPr>
          <w:rFonts w:ascii="TimesNewRoman" w:eastAsia="TimesNewRoman" w:hAnsi="TimesNewRoman"/>
          <w:color w:val="000000"/>
          <w:szCs w:val="22"/>
        </w:rPr>
        <w:t xml:space="preserve"> </w:t>
      </w:r>
      <w:r w:rsidRPr="005302A2">
        <w:rPr>
          <w:rFonts w:ascii="TimesNewRoman" w:eastAsia="TimesNewRoman" w:hAnsi="TimesNewRoman"/>
          <w:color w:val="000000"/>
          <w:szCs w:val="22"/>
        </w:rPr>
        <w:t>in the corresponding MLME-DMG-</w:t>
      </w:r>
      <w:proofErr w:type="spellStart"/>
      <w:r w:rsidRPr="005302A2">
        <w:rPr>
          <w:rFonts w:ascii="TimesNewRoman" w:eastAsia="TimesNewRoman" w:hAnsi="TimesNewRoman"/>
          <w:color w:val="000000"/>
          <w:szCs w:val="22"/>
        </w:rPr>
        <w:t>SBP.indication</w:t>
      </w:r>
      <w:proofErr w:type="spellEnd"/>
      <w:r w:rsidRPr="005302A2">
        <w:rPr>
          <w:rFonts w:ascii="TimesNewRoman" w:eastAsia="TimesNewRoman" w:hAnsi="TimesNewRoman"/>
          <w:color w:val="000000"/>
          <w:szCs w:val="22"/>
        </w:rPr>
        <w:t xml:space="preserve"> primitive after the MLME-DMG-</w:t>
      </w:r>
      <w:proofErr w:type="spellStart"/>
      <w:r w:rsidRPr="005302A2">
        <w:rPr>
          <w:rFonts w:ascii="TimesNewRoman" w:eastAsia="TimesNewRoman" w:hAnsi="TimesNewRoman"/>
          <w:color w:val="000000"/>
          <w:szCs w:val="22"/>
        </w:rPr>
        <w:t>SBP.response</w:t>
      </w:r>
      <w:proofErr w:type="spellEnd"/>
      <w:r w:rsidRPr="005302A2">
        <w:rPr>
          <w:rFonts w:ascii="TimesNewRoman" w:eastAsia="TimesNewRoman" w:hAnsi="TimesNewRoman"/>
          <w:color w:val="000000"/>
          <w:szCs w:val="22"/>
        </w:rPr>
        <w:t xml:space="preserve"> primitive was issued, it shall issue an MLME-DMG-</w:t>
      </w:r>
      <w:proofErr w:type="spellStart"/>
      <w:r w:rsidRPr="005302A2">
        <w:rPr>
          <w:rFonts w:ascii="TimesNewRoman" w:eastAsia="TimesNewRoman" w:hAnsi="TimesNewRoman"/>
          <w:color w:val="000000"/>
          <w:szCs w:val="22"/>
        </w:rPr>
        <w:t>SBPTERMINATION.request</w:t>
      </w:r>
      <w:proofErr w:type="spellEnd"/>
      <w:r w:rsidRPr="005302A2">
        <w:rPr>
          <w:rFonts w:ascii="TimesNewRoman" w:eastAsia="TimesNewRoman" w:hAnsi="TimesNewRoman"/>
          <w:color w:val="000000"/>
          <w:szCs w:val="22"/>
        </w:rPr>
        <w:t xml:space="preserve"> primitive with </w:t>
      </w:r>
      <w:proofErr w:type="spellStart"/>
      <w:r w:rsidRPr="005302A2">
        <w:rPr>
          <w:rFonts w:ascii="TimesNewRoman" w:eastAsia="TimesNewRoman" w:hAnsi="TimesNewRoman"/>
          <w:color w:val="000000"/>
          <w:szCs w:val="22"/>
        </w:rPr>
        <w:t>PeerSTAAddress</w:t>
      </w:r>
      <w:proofErr w:type="spellEnd"/>
      <w:r w:rsidRPr="005302A2">
        <w:rPr>
          <w:rFonts w:ascii="TimesNewRoman" w:eastAsia="TimesNewRoman" w:hAnsi="TimesNewRoman"/>
          <w:color w:val="000000"/>
          <w:szCs w:val="22"/>
        </w:rPr>
        <w:t xml:space="preserve"> parameter equal to the SBP initiator’s MAC address. The DMG Measurement Session ID within the</w:t>
      </w:r>
      <w:r>
        <w:rPr>
          <w:rFonts w:ascii="TimesNewRoman" w:eastAsia="TimesNewRoman" w:hAnsi="TimesNewRoman"/>
          <w:color w:val="000000"/>
          <w:szCs w:val="22"/>
        </w:rPr>
        <w:t xml:space="preserve"> </w:t>
      </w:r>
      <w:r w:rsidRPr="005302A2">
        <w:rPr>
          <w:rFonts w:ascii="TimesNewRoman" w:eastAsia="TimesNewRoman" w:hAnsi="TimesNewRoman"/>
          <w:color w:val="000000"/>
          <w:szCs w:val="22"/>
        </w:rPr>
        <w:t>MLME-DMG-</w:t>
      </w:r>
      <w:proofErr w:type="spellStart"/>
      <w:r w:rsidRPr="005302A2">
        <w:rPr>
          <w:rFonts w:ascii="TimesNewRoman" w:eastAsia="TimesNewRoman" w:hAnsi="TimesNewRoman"/>
          <w:color w:val="000000"/>
          <w:szCs w:val="22"/>
        </w:rPr>
        <w:t>SBPTERMINATION.request</w:t>
      </w:r>
      <w:proofErr w:type="spellEnd"/>
      <w:r w:rsidRPr="005302A2">
        <w:rPr>
          <w:rFonts w:ascii="TimesNewRoman" w:eastAsia="TimesNewRoman" w:hAnsi="TimesNewRoman"/>
          <w:color w:val="000000"/>
          <w:szCs w:val="22"/>
        </w:rPr>
        <w:t xml:space="preserve"> primitive issued by the SBP responder shall be identical to the</w:t>
      </w:r>
      <w:r>
        <w:rPr>
          <w:rFonts w:ascii="TimesNewRoman" w:eastAsia="TimesNewRoman" w:hAnsi="TimesNewRoman"/>
          <w:color w:val="000000"/>
          <w:szCs w:val="22"/>
        </w:rPr>
        <w:t xml:space="preserve"> </w:t>
      </w:r>
      <w:r w:rsidRPr="005302A2">
        <w:rPr>
          <w:rFonts w:ascii="TimesNewRoman" w:eastAsia="TimesNewRoman" w:hAnsi="TimesNewRoman"/>
          <w:color w:val="000000"/>
          <w:szCs w:val="22"/>
        </w:rPr>
        <w:t>DMG Measurement Session ID within the corresponding MLME-DMG-</w:t>
      </w:r>
      <w:proofErr w:type="spellStart"/>
      <w:r w:rsidRPr="005302A2">
        <w:rPr>
          <w:rFonts w:ascii="TimesNewRoman" w:eastAsia="TimesNewRoman" w:hAnsi="TimesNewRoman"/>
          <w:color w:val="000000"/>
          <w:szCs w:val="22"/>
        </w:rPr>
        <w:t>SBP.response</w:t>
      </w:r>
      <w:proofErr w:type="spellEnd"/>
      <w:r w:rsidRPr="005302A2">
        <w:rPr>
          <w:rFonts w:ascii="TimesNewRoman" w:eastAsia="TimesNewRoman" w:hAnsi="TimesNewRoman"/>
          <w:color w:val="000000"/>
          <w:szCs w:val="22"/>
        </w:rPr>
        <w:t xml:space="preserve"> primitive.</w:t>
      </w:r>
    </w:p>
    <w:p w14:paraId="39A8F6C5" w14:textId="77777777" w:rsidR="005302A2" w:rsidRDefault="005302A2" w:rsidP="008A4BE7">
      <w:pPr>
        <w:rPr>
          <w:rFonts w:ascii="TimesNewRoman" w:eastAsia="TimesNewRoman" w:hAnsi="TimesNewRoman"/>
          <w:color w:val="000000"/>
          <w:szCs w:val="22"/>
        </w:rPr>
      </w:pPr>
    </w:p>
    <w:p w14:paraId="28E06854" w14:textId="10B59E83" w:rsidR="008A4BE7" w:rsidRPr="005000D7" w:rsidRDefault="008A4BE7" w:rsidP="008A4BE7">
      <w:pPr>
        <w:rPr>
          <w:rFonts w:ascii="TimesNewRoman" w:eastAsia="TimesNewRoman" w:hAnsi="TimesNewRoman"/>
          <w:color w:val="FF0000"/>
          <w:u w:val="single"/>
          <w:lang w:val="en-US"/>
        </w:rPr>
      </w:pPr>
      <w:r>
        <w:rPr>
          <w:rFonts w:ascii="TimesNewRoman" w:eastAsia="TimesNewRoman" w:hAnsi="TimesNewRoman"/>
          <w:color w:val="FF0000"/>
          <w:szCs w:val="22"/>
          <w:u w:val="single"/>
        </w:rPr>
        <w:t>To satisfy a</w:t>
      </w:r>
      <w:r w:rsidR="005302A2">
        <w:rPr>
          <w:rFonts w:ascii="TimesNewRoman" w:eastAsia="TimesNewRoman" w:hAnsi="TimesNewRoman"/>
          <w:color w:val="FF0000"/>
          <w:szCs w:val="22"/>
          <w:u w:val="single"/>
        </w:rPr>
        <w:t xml:space="preserve"> DMG </w:t>
      </w:r>
      <w:r>
        <w:rPr>
          <w:rFonts w:ascii="TimesNewRoman" w:eastAsia="TimesNewRoman" w:hAnsi="TimesNewRoman"/>
          <w:color w:val="FF0000"/>
          <w:szCs w:val="22"/>
          <w:u w:val="single"/>
        </w:rPr>
        <w:t xml:space="preserve">SBP request, the </w:t>
      </w:r>
      <w:r w:rsidR="005302A2">
        <w:rPr>
          <w:rFonts w:ascii="TimesNewRoman" w:eastAsia="TimesNewRoman" w:hAnsi="TimesNewRoman"/>
          <w:color w:val="FF0000"/>
          <w:szCs w:val="22"/>
          <w:u w:val="single"/>
        </w:rPr>
        <w:t xml:space="preserve">DMG </w:t>
      </w:r>
      <w:r>
        <w:rPr>
          <w:rFonts w:ascii="TimesNewRoman" w:eastAsia="TimesNewRoman" w:hAnsi="TimesNewRoman"/>
          <w:color w:val="FF0000"/>
          <w:szCs w:val="22"/>
          <w:u w:val="single"/>
        </w:rPr>
        <w:t xml:space="preserve">SBP responder shall initiate a new </w:t>
      </w:r>
      <w:r w:rsidR="005302A2">
        <w:rPr>
          <w:rFonts w:ascii="TimesNewRoman" w:eastAsia="TimesNewRoman" w:hAnsi="TimesNewRoman"/>
          <w:color w:val="FF0000"/>
          <w:szCs w:val="22"/>
          <w:u w:val="single"/>
        </w:rPr>
        <w:t xml:space="preserve">DMG </w:t>
      </w:r>
      <w:r>
        <w:rPr>
          <w:rFonts w:ascii="TimesNewRoman" w:eastAsia="TimesNewRoman" w:hAnsi="TimesNewRoman"/>
          <w:color w:val="FF0000"/>
          <w:szCs w:val="22"/>
          <w:u w:val="single"/>
        </w:rPr>
        <w:t xml:space="preserve">sensing procedure. The </w:t>
      </w:r>
      <w:r w:rsidR="005302A2">
        <w:rPr>
          <w:rFonts w:ascii="TimesNewRoman" w:eastAsia="TimesNewRoman" w:hAnsi="TimesNewRoman"/>
          <w:color w:val="FF0000"/>
          <w:szCs w:val="22"/>
          <w:u w:val="single"/>
        </w:rPr>
        <w:t xml:space="preserve">DMG </w:t>
      </w:r>
      <w:r>
        <w:rPr>
          <w:rFonts w:ascii="TimesNewRoman" w:eastAsia="TimesNewRoman" w:hAnsi="TimesNewRoman"/>
          <w:color w:val="FF0000"/>
          <w:szCs w:val="22"/>
          <w:u w:val="single"/>
        </w:rPr>
        <w:t>Sensing Measurement Request frame transmitted to a sensing responder used to satisfy a</w:t>
      </w:r>
      <w:r w:rsidR="00666750">
        <w:rPr>
          <w:rFonts w:ascii="TimesNewRoman" w:eastAsia="TimesNewRoman" w:hAnsi="TimesNewRoman"/>
          <w:color w:val="FF0000"/>
          <w:szCs w:val="22"/>
          <w:u w:val="single"/>
        </w:rPr>
        <w:t xml:space="preserve"> DMG</w:t>
      </w:r>
      <w:r>
        <w:rPr>
          <w:rFonts w:ascii="TimesNewRoman" w:eastAsia="TimesNewRoman" w:hAnsi="TimesNewRoman"/>
          <w:color w:val="FF0000"/>
          <w:szCs w:val="22"/>
          <w:u w:val="single"/>
        </w:rPr>
        <w:t xml:space="preserve"> SBP request shall include a</w:t>
      </w:r>
      <w:r w:rsidR="00666750">
        <w:rPr>
          <w:rFonts w:ascii="TimesNewRoman" w:eastAsia="TimesNewRoman" w:hAnsi="TimesNewRoman"/>
          <w:color w:val="FF0000"/>
          <w:szCs w:val="22"/>
          <w:u w:val="single"/>
        </w:rPr>
        <w:t xml:space="preserve"> DMG</w:t>
      </w:r>
      <w:r>
        <w:rPr>
          <w:rFonts w:ascii="TimesNewRoman" w:eastAsia="TimesNewRoman" w:hAnsi="TimesNewRoman"/>
          <w:color w:val="FF0000"/>
          <w:szCs w:val="22"/>
          <w:u w:val="single"/>
        </w:rPr>
        <w:t xml:space="preserve"> SBP Specific </w:t>
      </w:r>
      <w:proofErr w:type="spellStart"/>
      <w:r>
        <w:rPr>
          <w:rFonts w:ascii="TimesNewRoman" w:eastAsia="TimesNewRoman" w:hAnsi="TimesNewRoman"/>
          <w:color w:val="FF0000"/>
          <w:szCs w:val="22"/>
          <w:u w:val="single"/>
        </w:rPr>
        <w:t>subelement</w:t>
      </w:r>
      <w:proofErr w:type="spellEnd"/>
      <w:r>
        <w:rPr>
          <w:rFonts w:ascii="TimesNewRoman" w:eastAsia="TimesNewRoman" w:hAnsi="TimesNewRoman"/>
          <w:color w:val="FF0000"/>
          <w:szCs w:val="22"/>
          <w:u w:val="single"/>
        </w:rPr>
        <w:t xml:space="preserve"> containing the AID/USID of the </w:t>
      </w:r>
      <w:r w:rsidR="00666750">
        <w:rPr>
          <w:rFonts w:ascii="TimesNewRoman" w:eastAsia="TimesNewRoman" w:hAnsi="TimesNewRoman"/>
          <w:color w:val="FF0000"/>
          <w:szCs w:val="22"/>
          <w:u w:val="single"/>
        </w:rPr>
        <w:t xml:space="preserve">DMG </w:t>
      </w:r>
      <w:r>
        <w:rPr>
          <w:rFonts w:ascii="TimesNewRoman" w:eastAsia="TimesNewRoman" w:hAnsi="TimesNewRoman"/>
          <w:color w:val="FF0000"/>
          <w:szCs w:val="22"/>
          <w:u w:val="single"/>
        </w:rPr>
        <w:t xml:space="preserve">SBP initiator. </w:t>
      </w:r>
      <w:r>
        <w:rPr>
          <w:rFonts w:ascii="TimesNewRoman" w:eastAsia="TimesNewRoman" w:hAnsi="TimesNewRoman" w:hint="eastAsia"/>
          <w:color w:val="FF0000"/>
          <w:u w:val="single"/>
        </w:rPr>
        <w:t xml:space="preserve">The </w:t>
      </w:r>
      <w:r w:rsidR="003D4141">
        <w:rPr>
          <w:rFonts w:ascii="TimesNewRoman" w:eastAsia="TimesNewRoman" w:hAnsi="TimesNewRoman"/>
          <w:color w:val="FF0000"/>
          <w:u w:val="single"/>
        </w:rPr>
        <w:t xml:space="preserve">DMG </w:t>
      </w:r>
      <w:r>
        <w:rPr>
          <w:rFonts w:ascii="TimesNewRoman" w:eastAsia="TimesNewRoman" w:hAnsi="TimesNewRoman" w:hint="eastAsia"/>
          <w:color w:val="FF0000"/>
          <w:u w:val="single"/>
        </w:rPr>
        <w:t xml:space="preserve">Measurement Session ID field in the </w:t>
      </w:r>
      <w:r w:rsidR="003D4141">
        <w:rPr>
          <w:rFonts w:ascii="TimesNewRoman" w:eastAsia="TimesNewRoman" w:hAnsi="TimesNewRoman"/>
          <w:color w:val="FF0000"/>
          <w:u w:val="single"/>
        </w:rPr>
        <w:t xml:space="preserve">DMG </w:t>
      </w:r>
      <w:r>
        <w:rPr>
          <w:rFonts w:ascii="TimesNewRoman" w:eastAsia="TimesNewRoman" w:hAnsi="TimesNewRoman" w:hint="eastAsia"/>
          <w:color w:val="FF0000"/>
          <w:u w:val="single"/>
        </w:rPr>
        <w:t xml:space="preserve">Sensing Measurement Request frame(s) shall be the same as the </w:t>
      </w:r>
      <w:r w:rsidR="003D4141">
        <w:rPr>
          <w:rFonts w:ascii="TimesNewRoman" w:eastAsia="TimesNewRoman" w:hAnsi="TimesNewRoman"/>
          <w:color w:val="FF0000"/>
          <w:u w:val="single"/>
        </w:rPr>
        <w:t xml:space="preserve">DMG </w:t>
      </w:r>
      <w:r>
        <w:rPr>
          <w:rFonts w:ascii="TimesNewRoman" w:eastAsia="TimesNewRoman" w:hAnsi="TimesNewRoman" w:hint="eastAsia"/>
          <w:color w:val="FF0000"/>
          <w:u w:val="single"/>
        </w:rPr>
        <w:t xml:space="preserve">Measurement Session ID sent in the </w:t>
      </w:r>
      <w:r w:rsidR="003D4141">
        <w:rPr>
          <w:rFonts w:ascii="TimesNewRoman" w:eastAsia="TimesNewRoman" w:hAnsi="TimesNewRoman"/>
          <w:color w:val="FF0000"/>
          <w:u w:val="single"/>
        </w:rPr>
        <w:t xml:space="preserve">DMG </w:t>
      </w:r>
      <w:r>
        <w:rPr>
          <w:rFonts w:ascii="TimesNewRoman" w:eastAsia="TimesNewRoman" w:hAnsi="TimesNewRoman" w:hint="eastAsia"/>
          <w:color w:val="FF0000"/>
          <w:u w:val="single"/>
        </w:rPr>
        <w:t xml:space="preserve">SBP Response frame and shall be different than all the exiting </w:t>
      </w:r>
      <w:r w:rsidR="003D4141">
        <w:rPr>
          <w:rFonts w:ascii="TimesNewRoman" w:eastAsia="TimesNewRoman" w:hAnsi="TimesNewRoman"/>
          <w:color w:val="FF0000"/>
          <w:u w:val="single"/>
        </w:rPr>
        <w:t xml:space="preserve">DMG </w:t>
      </w:r>
      <w:r>
        <w:rPr>
          <w:rFonts w:ascii="TimesNewRoman" w:eastAsia="TimesNewRoman" w:hAnsi="TimesNewRoman" w:hint="eastAsia"/>
          <w:color w:val="FF0000"/>
          <w:u w:val="single"/>
        </w:rPr>
        <w:t>Measurement Session IDs used with corresponding sensing responder(s)</w:t>
      </w:r>
      <w:r>
        <w:rPr>
          <w:rFonts w:ascii="TimesNewRoman" w:eastAsia="TimesNewRoman" w:hAnsi="TimesNewRoman"/>
          <w:color w:val="FF0000"/>
          <w:szCs w:val="22"/>
          <w:u w:val="single"/>
        </w:rPr>
        <w:t>.</w:t>
      </w:r>
    </w:p>
    <w:p w14:paraId="18219E45" w14:textId="77777777" w:rsidR="008A4BE7" w:rsidRPr="008A4BE7" w:rsidRDefault="008A4BE7" w:rsidP="0065247D">
      <w:pPr>
        <w:rPr>
          <w:color w:val="FF0000"/>
          <w:szCs w:val="22"/>
          <w:u w:val="single"/>
          <w:lang w:val="en-US"/>
        </w:rPr>
      </w:pPr>
    </w:p>
    <w:p w14:paraId="780AFF45" w14:textId="77777777" w:rsidR="00A63232" w:rsidRDefault="00A63232">
      <w:pPr>
        <w:rPr>
          <w:color w:val="FF0000"/>
          <w:szCs w:val="22"/>
          <w:u w:val="single"/>
        </w:rPr>
      </w:pPr>
    </w:p>
    <w:p w14:paraId="05A7B0D8" w14:textId="77777777" w:rsidR="006D3CFB" w:rsidRDefault="006D3CFB">
      <w:pPr>
        <w:rPr>
          <w:color w:val="FF0000"/>
          <w:szCs w:val="22"/>
          <w:u w:val="single"/>
        </w:rPr>
      </w:pPr>
    </w:p>
    <w:p w14:paraId="36650CF8" w14:textId="77777777" w:rsidR="006D3CFB" w:rsidRPr="0065247D" w:rsidRDefault="006D3CFB">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lastRenderedPageBreak/>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BC77" w14:textId="77777777" w:rsidR="003A6DA9" w:rsidRDefault="003A6DA9">
      <w:r>
        <w:separator/>
      </w:r>
    </w:p>
  </w:endnote>
  <w:endnote w:type="continuationSeparator" w:id="0">
    <w:p w14:paraId="04674229" w14:textId="77777777" w:rsidR="003A6DA9" w:rsidRDefault="003A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00000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BE68" w14:textId="77777777" w:rsidR="003A6DA9" w:rsidRDefault="003A6DA9">
      <w:r>
        <w:separator/>
      </w:r>
    </w:p>
  </w:footnote>
  <w:footnote w:type="continuationSeparator" w:id="0">
    <w:p w14:paraId="6B36D15E" w14:textId="77777777" w:rsidR="003A6DA9" w:rsidRDefault="003A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C11DC0C" w:rsidR="0029020B" w:rsidRDefault="004523D0">
    <w:pPr>
      <w:pStyle w:val="Header"/>
      <w:tabs>
        <w:tab w:val="clear" w:pos="6480"/>
        <w:tab w:val="center" w:pos="4680"/>
        <w:tab w:val="right" w:pos="9360"/>
      </w:tabs>
    </w:pPr>
    <w:r>
      <w:t>September</w:t>
    </w:r>
    <w:r w:rsidR="00441B13">
      <w:t xml:space="preserve"> 2023</w:t>
    </w:r>
    <w:r w:rsidR="0029020B">
      <w:tab/>
    </w:r>
    <w:r w:rsidR="0029020B">
      <w:tab/>
    </w:r>
    <w:fldSimple w:instr=" TITLE  \* MERGEFORMAT ">
      <w:r w:rsidR="00606567">
        <w:t>doc.: IEEE 802.11-23/</w:t>
      </w:r>
      <w:r w:rsidR="00770417">
        <w:t>1619r0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5"/>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2"/>
  </w:num>
  <w:num w:numId="7" w16cid:durableId="1543396427">
    <w:abstractNumId w:val="17"/>
  </w:num>
  <w:num w:numId="8" w16cid:durableId="318385523">
    <w:abstractNumId w:val="28"/>
  </w:num>
  <w:num w:numId="9" w16cid:durableId="813838249">
    <w:abstractNumId w:val="8"/>
  </w:num>
  <w:num w:numId="10" w16cid:durableId="1454860627">
    <w:abstractNumId w:val="10"/>
  </w:num>
  <w:num w:numId="11" w16cid:durableId="190919314">
    <w:abstractNumId w:val="18"/>
  </w:num>
  <w:num w:numId="12" w16cid:durableId="825246221">
    <w:abstractNumId w:val="13"/>
  </w:num>
  <w:num w:numId="13" w16cid:durableId="1030257081">
    <w:abstractNumId w:val="20"/>
  </w:num>
  <w:num w:numId="14" w16cid:durableId="67192853">
    <w:abstractNumId w:val="29"/>
  </w:num>
  <w:num w:numId="15" w16cid:durableId="1438788223">
    <w:abstractNumId w:val="1"/>
  </w:num>
  <w:num w:numId="16" w16cid:durableId="1808859230">
    <w:abstractNumId w:val="3"/>
  </w:num>
  <w:num w:numId="17" w16cid:durableId="121310852">
    <w:abstractNumId w:val="27"/>
  </w:num>
  <w:num w:numId="18" w16cid:durableId="88893946">
    <w:abstractNumId w:val="30"/>
  </w:num>
  <w:num w:numId="19" w16cid:durableId="1034497441">
    <w:abstractNumId w:val="6"/>
  </w:num>
  <w:num w:numId="20" w16cid:durableId="1456680928">
    <w:abstractNumId w:val="0"/>
  </w:num>
  <w:num w:numId="21" w16cid:durableId="517740018">
    <w:abstractNumId w:val="26"/>
  </w:num>
  <w:num w:numId="22" w16cid:durableId="389113841">
    <w:abstractNumId w:val="11"/>
  </w:num>
  <w:num w:numId="23" w16cid:durableId="1606645039">
    <w:abstractNumId w:val="21"/>
  </w:num>
  <w:num w:numId="24" w16cid:durableId="92167988">
    <w:abstractNumId w:val="24"/>
  </w:num>
  <w:num w:numId="25" w16cid:durableId="992415713">
    <w:abstractNumId w:val="7"/>
  </w:num>
  <w:num w:numId="26" w16cid:durableId="65882918">
    <w:abstractNumId w:val="19"/>
  </w:num>
  <w:num w:numId="27" w16cid:durableId="417597401">
    <w:abstractNumId w:val="2"/>
  </w:num>
  <w:num w:numId="28" w16cid:durableId="564997189">
    <w:abstractNumId w:val="15"/>
  </w:num>
  <w:num w:numId="29" w16cid:durableId="1654066658">
    <w:abstractNumId w:val="14"/>
  </w:num>
  <w:num w:numId="30" w16cid:durableId="1571695344">
    <w:abstractNumId w:val="23"/>
  </w:num>
  <w:num w:numId="31" w16cid:durableId="902250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0E8D"/>
    <w:rsid w:val="00091C1D"/>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3B5C"/>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476C"/>
    <w:rsid w:val="003A57A4"/>
    <w:rsid w:val="003A6684"/>
    <w:rsid w:val="003A6DA9"/>
    <w:rsid w:val="003B094F"/>
    <w:rsid w:val="003B46A3"/>
    <w:rsid w:val="003B5417"/>
    <w:rsid w:val="003B703E"/>
    <w:rsid w:val="003C007B"/>
    <w:rsid w:val="003C0E88"/>
    <w:rsid w:val="003C2156"/>
    <w:rsid w:val="003C21F6"/>
    <w:rsid w:val="003C30FC"/>
    <w:rsid w:val="003C46EC"/>
    <w:rsid w:val="003C5CBD"/>
    <w:rsid w:val="003D0401"/>
    <w:rsid w:val="003D4141"/>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640E"/>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D9"/>
    <w:rsid w:val="00450227"/>
    <w:rsid w:val="004508C8"/>
    <w:rsid w:val="00450B2A"/>
    <w:rsid w:val="004523D0"/>
    <w:rsid w:val="00452BB0"/>
    <w:rsid w:val="004535E7"/>
    <w:rsid w:val="00460E9A"/>
    <w:rsid w:val="00461314"/>
    <w:rsid w:val="004613E3"/>
    <w:rsid w:val="0046221D"/>
    <w:rsid w:val="00462CF9"/>
    <w:rsid w:val="00464C7D"/>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7F7"/>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2A2"/>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4239"/>
    <w:rsid w:val="005B55A0"/>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41C1"/>
    <w:rsid w:val="005E76A5"/>
    <w:rsid w:val="005F222D"/>
    <w:rsid w:val="005F33FF"/>
    <w:rsid w:val="00601EC5"/>
    <w:rsid w:val="00606567"/>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25D6"/>
    <w:rsid w:val="006B36CB"/>
    <w:rsid w:val="006B50C8"/>
    <w:rsid w:val="006B538F"/>
    <w:rsid w:val="006B5B9D"/>
    <w:rsid w:val="006B5C00"/>
    <w:rsid w:val="006C0727"/>
    <w:rsid w:val="006C15E5"/>
    <w:rsid w:val="006C18E5"/>
    <w:rsid w:val="006C3921"/>
    <w:rsid w:val="006C3951"/>
    <w:rsid w:val="006C4AD7"/>
    <w:rsid w:val="006C52FF"/>
    <w:rsid w:val="006C6345"/>
    <w:rsid w:val="006D01A1"/>
    <w:rsid w:val="006D1D91"/>
    <w:rsid w:val="006D35FB"/>
    <w:rsid w:val="006D3C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FE9"/>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30D1"/>
    <w:rsid w:val="007C6589"/>
    <w:rsid w:val="007D04E3"/>
    <w:rsid w:val="007D2CE9"/>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16D"/>
    <w:rsid w:val="00833398"/>
    <w:rsid w:val="008364E1"/>
    <w:rsid w:val="00836D71"/>
    <w:rsid w:val="00836EF5"/>
    <w:rsid w:val="00837FE9"/>
    <w:rsid w:val="008425FB"/>
    <w:rsid w:val="00846683"/>
    <w:rsid w:val="00851914"/>
    <w:rsid w:val="00852C90"/>
    <w:rsid w:val="0085319A"/>
    <w:rsid w:val="00855DEC"/>
    <w:rsid w:val="008578F0"/>
    <w:rsid w:val="00860766"/>
    <w:rsid w:val="008616E3"/>
    <w:rsid w:val="00864EBB"/>
    <w:rsid w:val="00866BA8"/>
    <w:rsid w:val="008748D1"/>
    <w:rsid w:val="0087699A"/>
    <w:rsid w:val="00877E74"/>
    <w:rsid w:val="008807BB"/>
    <w:rsid w:val="00880DA8"/>
    <w:rsid w:val="0088142F"/>
    <w:rsid w:val="00881CBA"/>
    <w:rsid w:val="00882567"/>
    <w:rsid w:val="00883721"/>
    <w:rsid w:val="00887B53"/>
    <w:rsid w:val="00890FB5"/>
    <w:rsid w:val="0089179F"/>
    <w:rsid w:val="008932E4"/>
    <w:rsid w:val="00894E0A"/>
    <w:rsid w:val="00897230"/>
    <w:rsid w:val="0089728A"/>
    <w:rsid w:val="008973D5"/>
    <w:rsid w:val="008977C8"/>
    <w:rsid w:val="008A2257"/>
    <w:rsid w:val="008A2710"/>
    <w:rsid w:val="008A3FC1"/>
    <w:rsid w:val="008A4BE7"/>
    <w:rsid w:val="008A4D3D"/>
    <w:rsid w:val="008A52A9"/>
    <w:rsid w:val="008A7652"/>
    <w:rsid w:val="008B2530"/>
    <w:rsid w:val="008B5E20"/>
    <w:rsid w:val="008D10C4"/>
    <w:rsid w:val="008D2942"/>
    <w:rsid w:val="008E15F5"/>
    <w:rsid w:val="008E3B76"/>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2384"/>
    <w:rsid w:val="00973725"/>
    <w:rsid w:val="00976C4A"/>
    <w:rsid w:val="009776B2"/>
    <w:rsid w:val="00977B8F"/>
    <w:rsid w:val="00980FAA"/>
    <w:rsid w:val="009834EC"/>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17BB2"/>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70C7"/>
    <w:rsid w:val="00A5342A"/>
    <w:rsid w:val="00A5372E"/>
    <w:rsid w:val="00A542B6"/>
    <w:rsid w:val="00A54837"/>
    <w:rsid w:val="00A56982"/>
    <w:rsid w:val="00A56EE0"/>
    <w:rsid w:val="00A5762D"/>
    <w:rsid w:val="00A63232"/>
    <w:rsid w:val="00A63CCD"/>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1D76"/>
    <w:rsid w:val="00B236C2"/>
    <w:rsid w:val="00B2479F"/>
    <w:rsid w:val="00B260E5"/>
    <w:rsid w:val="00B2692E"/>
    <w:rsid w:val="00B3072C"/>
    <w:rsid w:val="00B40975"/>
    <w:rsid w:val="00B42259"/>
    <w:rsid w:val="00B43B4F"/>
    <w:rsid w:val="00B4449B"/>
    <w:rsid w:val="00B45C0F"/>
    <w:rsid w:val="00B45EF1"/>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789"/>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C715C"/>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1D"/>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15B4"/>
    <w:rsid w:val="00D83CBF"/>
    <w:rsid w:val="00D852BE"/>
    <w:rsid w:val="00D87446"/>
    <w:rsid w:val="00D90BF0"/>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12FF"/>
    <w:rsid w:val="00DC1F54"/>
    <w:rsid w:val="00DC24D2"/>
    <w:rsid w:val="00DC494B"/>
    <w:rsid w:val="00DC5A7B"/>
    <w:rsid w:val="00DD12EF"/>
    <w:rsid w:val="00DD3DA3"/>
    <w:rsid w:val="00DD7919"/>
    <w:rsid w:val="00DE1AB5"/>
    <w:rsid w:val="00DE493F"/>
    <w:rsid w:val="00DF062F"/>
    <w:rsid w:val="00DF0BB0"/>
    <w:rsid w:val="00DF6202"/>
    <w:rsid w:val="00E01466"/>
    <w:rsid w:val="00E01ECA"/>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4EB8"/>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28</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31</cp:revision>
  <cp:lastPrinted>1900-01-01T08:00:00Z</cp:lastPrinted>
  <dcterms:created xsi:type="dcterms:W3CDTF">2023-09-12T18:55:00Z</dcterms:created>
  <dcterms:modified xsi:type="dcterms:W3CDTF">2023-09-12T21:57:00Z</dcterms:modified>
</cp:coreProperties>
</file>