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59"/>
        <w:gridCol w:w="2610"/>
        <w:gridCol w:w="1629"/>
        <w:gridCol w:w="2349"/>
      </w:tblGrid>
      <w:tr w:rsidR="008C7BE4">
        <w:trPr>
          <w:trHeight w:val="485"/>
          <w:jc w:val="center"/>
        </w:trPr>
        <w:tc>
          <w:tcPr>
            <w:tcW w:w="9576" w:type="dxa"/>
            <w:gridSpan w:val="5"/>
            <w:vAlign w:val="center"/>
          </w:tcPr>
          <w:p w:rsidR="008C7BE4" w:rsidRDefault="00B0086F" w:rsidP="00CD1797">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1176B8">
              <w:rPr>
                <w:lang w:eastAsia="ko-KR"/>
              </w:rPr>
              <w:t>4</w:t>
            </w:r>
            <w:r>
              <w:rPr>
                <w:rFonts w:eastAsia="宋体" w:hint="eastAsia"/>
                <w:lang w:val="en-US" w:eastAsia="zh-CN"/>
              </w:rPr>
              <w:t>.0</w:t>
            </w:r>
            <w:r>
              <w:rPr>
                <w:lang w:eastAsia="ko-KR"/>
              </w:rPr>
              <w:t xml:space="preserve"> </w:t>
            </w:r>
            <w:r w:rsidR="00CD1797">
              <w:rPr>
                <w:lang w:eastAsia="ko-KR"/>
              </w:rPr>
              <w:t>Sub-clause 3.2.2 and 3.2.6.1</w:t>
            </w:r>
          </w:p>
        </w:tc>
      </w:tr>
      <w:tr w:rsidR="008C7BE4">
        <w:trPr>
          <w:trHeight w:val="359"/>
          <w:jc w:val="center"/>
        </w:trPr>
        <w:tc>
          <w:tcPr>
            <w:tcW w:w="9576" w:type="dxa"/>
            <w:gridSpan w:val="5"/>
            <w:vAlign w:val="center"/>
          </w:tcPr>
          <w:p w:rsidR="008C7BE4" w:rsidRDefault="00B0086F" w:rsidP="00C76B8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C76B8F">
              <w:rPr>
                <w:rFonts w:eastAsia="宋体"/>
                <w:b w:val="0"/>
                <w:sz w:val="20"/>
                <w:lang w:val="en-US" w:eastAsia="zh-CN"/>
              </w:rPr>
              <w:t>3</w:t>
            </w:r>
            <w:r>
              <w:rPr>
                <w:rFonts w:eastAsia="宋体" w:hint="eastAsia"/>
                <w:b w:val="0"/>
                <w:sz w:val="20"/>
                <w:lang w:val="en-US" w:eastAsia="zh-CN"/>
              </w:rPr>
              <w:t>-</w:t>
            </w:r>
            <w:r w:rsidR="002D7EA4">
              <w:rPr>
                <w:rFonts w:eastAsia="宋体"/>
                <w:b w:val="0"/>
                <w:sz w:val="20"/>
                <w:lang w:val="en-US" w:eastAsia="zh-CN"/>
              </w:rPr>
              <w:t>0</w:t>
            </w:r>
            <w:r w:rsidR="00C76B8F">
              <w:rPr>
                <w:rFonts w:eastAsia="宋体"/>
                <w:b w:val="0"/>
                <w:sz w:val="20"/>
                <w:lang w:val="en-US" w:eastAsia="zh-CN"/>
              </w:rPr>
              <w:t>3</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rsidTr="00503622">
        <w:trPr>
          <w:jc w:val="center"/>
        </w:trPr>
        <w:tc>
          <w:tcPr>
            <w:tcW w:w="1129" w:type="dxa"/>
            <w:vAlign w:val="center"/>
          </w:tcPr>
          <w:p w:rsidR="008C7BE4" w:rsidRDefault="00B0086F">
            <w:pPr>
              <w:pStyle w:val="T2"/>
              <w:spacing w:after="0"/>
              <w:ind w:left="0" w:right="0"/>
              <w:jc w:val="left"/>
              <w:rPr>
                <w:sz w:val="20"/>
              </w:rPr>
            </w:pPr>
            <w:r>
              <w:rPr>
                <w:sz w:val="20"/>
              </w:rPr>
              <w:t>Name</w:t>
            </w:r>
          </w:p>
        </w:tc>
        <w:tc>
          <w:tcPr>
            <w:tcW w:w="1859"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rsidTr="00503622">
        <w:trPr>
          <w:trHeight w:val="359"/>
          <w:jc w:val="center"/>
        </w:trPr>
        <w:tc>
          <w:tcPr>
            <w:tcW w:w="1129"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859" w:type="dxa"/>
            <w:vAlign w:val="center"/>
          </w:tcPr>
          <w:p w:rsidR="008C7BE4" w:rsidRDefault="00C76B8F" w:rsidP="00C76B8F">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r w:rsidR="00503622">
              <w:rPr>
                <w:rFonts w:eastAsia="宋体"/>
                <w:b w:val="0"/>
                <w:sz w:val="18"/>
                <w:szCs w:val="18"/>
                <w:lang w:eastAsia="zh-CN"/>
              </w:rPr>
              <w:t xml:space="preserve"> Technology Co., Ltd</w:t>
            </w:r>
          </w:p>
        </w:tc>
        <w:tc>
          <w:tcPr>
            <w:tcW w:w="2610"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sidR="00C76B8F">
              <w:rPr>
                <w:rFonts w:eastAsia="宋体" w:hint="eastAsia"/>
                <w:b w:val="0"/>
                <w:sz w:val="18"/>
                <w:szCs w:val="18"/>
                <w:lang w:eastAsia="zh-CN"/>
              </w:rPr>
              <w:t>TE i</w:t>
            </w:r>
            <w:r w:rsidR="00C76B8F">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8C7BE4">
            <w:pPr>
              <w:pStyle w:val="T2"/>
              <w:spacing w:after="0"/>
              <w:ind w:left="0" w:right="0"/>
              <w:jc w:val="left"/>
              <w:rPr>
                <w:rFonts w:eastAsia="宋体"/>
                <w:b w:val="0"/>
                <w:sz w:val="18"/>
                <w:szCs w:val="18"/>
                <w:lang w:eastAsia="zh-CN"/>
              </w:rPr>
            </w:pPr>
          </w:p>
        </w:tc>
        <w:tc>
          <w:tcPr>
            <w:tcW w:w="2349"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sidR="00C76B8F">
              <w:rPr>
                <w:rFonts w:eastAsia="宋体"/>
                <w:b w:val="0"/>
                <w:sz w:val="18"/>
                <w:szCs w:val="18"/>
                <w:lang w:eastAsia="zh-CN"/>
              </w:rPr>
              <w:t>sanechips.com.cn</w:t>
            </w:r>
          </w:p>
        </w:tc>
      </w:tr>
      <w:tr w:rsidR="008C7BE4" w:rsidTr="00503622">
        <w:trPr>
          <w:trHeight w:val="359"/>
          <w:jc w:val="center"/>
        </w:trPr>
        <w:tc>
          <w:tcPr>
            <w:tcW w:w="1129" w:type="dxa"/>
            <w:vAlign w:val="center"/>
          </w:tcPr>
          <w:p w:rsidR="008C7BE4" w:rsidRDefault="008C7BE4">
            <w:pPr>
              <w:pStyle w:val="T2"/>
              <w:spacing w:after="0"/>
              <w:ind w:left="0" w:right="0"/>
              <w:jc w:val="left"/>
              <w:rPr>
                <w:b w:val="0"/>
                <w:sz w:val="18"/>
                <w:szCs w:val="18"/>
                <w:lang w:eastAsia="ko-KR"/>
              </w:rPr>
            </w:pPr>
          </w:p>
        </w:tc>
        <w:tc>
          <w:tcPr>
            <w:tcW w:w="1859"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167E82">
        <w:rPr>
          <w:rFonts w:eastAsia="宋体"/>
          <w:sz w:val="20"/>
          <w:lang w:eastAsia="zh-CN"/>
        </w:rPr>
        <w:t>8</w:t>
      </w:r>
      <w:r w:rsidR="00F76A50">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 xml:space="preserve">36.2.2 </w:t>
      </w:r>
      <w:r w:rsidR="00167E82">
        <w:rPr>
          <w:rFonts w:eastAsia="宋体"/>
          <w:sz w:val="20"/>
          <w:lang w:val="en-US" w:eastAsia="zh-CN"/>
        </w:rPr>
        <w:t xml:space="preserve">and 5 CIDs for clause 36.2.6.1 </w:t>
      </w:r>
      <w:r w:rsidR="006F2DED">
        <w:rPr>
          <w:rFonts w:eastAsia="宋体"/>
          <w:sz w:val="20"/>
          <w:lang w:val="en-US" w:eastAsia="zh-CN"/>
        </w:rPr>
        <w:t>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1176B8">
        <w:rPr>
          <w:sz w:val="20"/>
          <w:lang w:eastAsia="ko-KR"/>
        </w:rPr>
        <w:t>4</w:t>
      </w:r>
      <w:r>
        <w:rPr>
          <w:rFonts w:eastAsia="宋体" w:hint="eastAsia"/>
          <w:sz w:val="20"/>
          <w:lang w:val="en-US" w:eastAsia="zh-CN"/>
        </w:rPr>
        <w:t>.0</w:t>
      </w:r>
      <w:r>
        <w:rPr>
          <w:sz w:val="20"/>
          <w:lang w:eastAsia="ko-KR"/>
        </w:rPr>
        <w:t xml:space="preserve"> in WG </w:t>
      </w:r>
      <w:r w:rsidR="002D7EA4">
        <w:rPr>
          <w:sz w:val="20"/>
          <w:lang w:eastAsia="ko-KR"/>
        </w:rPr>
        <w:t>LB 2</w:t>
      </w:r>
      <w:r w:rsidR="00680E98">
        <w:rPr>
          <w:sz w:val="20"/>
          <w:lang w:eastAsia="ko-KR"/>
        </w:rPr>
        <w:t>7</w:t>
      </w:r>
      <w:r w:rsidR="001176B8">
        <w:rPr>
          <w:sz w:val="20"/>
          <w:lang w:eastAsia="ko-KR"/>
        </w:rPr>
        <w:t>5</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1176B8">
        <w:rPr>
          <w:rFonts w:eastAsia="宋体"/>
          <w:sz w:val="20"/>
          <w:lang w:eastAsia="zh-CN"/>
        </w:rPr>
        <w:t>4</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D47F74" w:rsidRPr="00D47F7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1176B8">
        <w:rPr>
          <w:rFonts w:eastAsia="宋体"/>
          <w:sz w:val="20"/>
          <w:lang w:eastAsia="zh-CN"/>
        </w:rPr>
        <w:t>19017, 19042, 19086, 19087, 19088, 19142, 19143, 19144, 19153, 19154, 19155, 19176, and 19532</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7F23BA"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7F23BA" w:rsidRPr="001100BB" w:rsidRDefault="007F23BA">
      <w:pPr>
        <w:pStyle w:val="11"/>
        <w:numPr>
          <w:ilvl w:val="0"/>
          <w:numId w:val="2"/>
        </w:numPr>
        <w:spacing w:after="120"/>
        <w:ind w:leftChars="0"/>
        <w:jc w:val="both"/>
        <w:rPr>
          <w:rFonts w:eastAsia="宋体"/>
          <w:szCs w:val="18"/>
          <w:lang w:eastAsia="zh-CN"/>
        </w:rPr>
      </w:pPr>
      <w:r>
        <w:rPr>
          <w:szCs w:val="18"/>
        </w:rPr>
        <w:t>R1: correct typos</w:t>
      </w:r>
      <w:bookmarkStart w:id="0" w:name="_GoBack"/>
      <w:bookmarkEnd w:id="0"/>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w:t>
      </w:r>
      <w:r w:rsidR="008B7D2F">
        <w:rPr>
          <w:rFonts w:eastAsia="宋体"/>
          <w:b/>
          <w:bCs/>
          <w:i/>
          <w:iCs/>
          <w:lang w:val="en-US" w:eastAsia="zh-CN"/>
        </w:rPr>
        <w:t xml:space="preserve"> </w:t>
      </w:r>
      <w:r w:rsidR="00FC0039">
        <w:rPr>
          <w:rFonts w:eastAsia="宋体"/>
          <w:b/>
          <w:bCs/>
          <w:i/>
          <w:iCs/>
          <w:lang w:val="en-US" w:eastAsia="zh-CN"/>
        </w:rPr>
        <w:t>8</w:t>
      </w:r>
      <w:r w:rsidR="008B7D2F">
        <w:rPr>
          <w:rFonts w:eastAsia="宋体"/>
          <w:b/>
          <w:bCs/>
          <w:i/>
          <w:iCs/>
          <w:lang w:val="en-US" w:eastAsia="zh-CN"/>
        </w:rPr>
        <w:t xml:space="preserve"> </w:t>
      </w:r>
      <w:r w:rsidR="00B0086F">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19017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665.55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Integer: range 0 to 15. MCS14 is not supported for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suggest to differentiate MU and TB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AB0204">
              <w:rPr>
                <w:rFonts w:asciiTheme="minorHAnsi" w:eastAsia="宋体" w:hAnsiTheme="minorHAnsi"/>
                <w:b/>
                <w:bCs/>
                <w:color w:val="000000"/>
                <w:sz w:val="16"/>
                <w:szCs w:val="16"/>
                <w:u w:val="single"/>
                <w:lang w:val="en-US" w:eastAsia="zh-CN"/>
              </w:rPr>
              <w:t>vised</w:t>
            </w:r>
          </w:p>
          <w:p w:rsidR="00AB0204" w:rsidRDefault="00AB0204" w:rsidP="00AB020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B0204" w:rsidRDefault="00AB0204" w:rsidP="00AB020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 A note is suggested to explain the missing MCS14 for EHT TB PPDU.</w:t>
            </w:r>
          </w:p>
          <w:p w:rsidR="00194410" w:rsidRDefault="00250E1C" w:rsidP="00AB020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sidR="00194410">
              <w:rPr>
                <w:rFonts w:asciiTheme="minorHAnsi" w:eastAsia="宋体" w:hAnsiTheme="minorHAnsi" w:hint="eastAsia"/>
                <w:b/>
                <w:bCs/>
                <w:color w:val="000000"/>
                <w:sz w:val="16"/>
                <w:szCs w:val="16"/>
                <w:u w:val="single"/>
                <w:lang w:val="en-US" w:eastAsia="zh-CN"/>
              </w:rPr>
              <w:t>:</w:t>
            </w:r>
          </w:p>
          <w:p w:rsidR="00194410" w:rsidRDefault="00250E1C" w:rsidP="0081268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Please </w:t>
            </w:r>
            <w:r w:rsidR="00812683">
              <w:rPr>
                <w:rFonts w:asciiTheme="minorHAnsi" w:eastAsia="宋体" w:hAnsiTheme="minorHAnsi"/>
                <w:color w:val="000000"/>
                <w:sz w:val="16"/>
                <w:szCs w:val="16"/>
                <w:lang w:val="en-US" w:eastAsia="zh-CN"/>
              </w:rPr>
              <w:t>add a new paragraph as below at the end of the text in the “VALUE” column for the raw “FORMAT is EHT_MU or EHT_TB” in Table 36-1 at P665/L57:</w:t>
            </w:r>
          </w:p>
          <w:p w:rsidR="00812683" w:rsidRPr="00EC0CF9" w:rsidRDefault="00812683" w:rsidP="00F54C9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 the value 14 is reserved when FORMAT is EHT_TB.”</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19042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670.17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 xml:space="preserve">The EHT-SIG content channels per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xml:space="preserve"> are allowed to carry different information when EHT MU PPDU bandwidth for OFDMA transmission is wider than 80 </w:t>
            </w:r>
            <w:proofErr w:type="spellStart"/>
            <w:r w:rsidRPr="00194410">
              <w:rPr>
                <w:rFonts w:ascii="Arial" w:eastAsia="宋体" w:hAnsi="Arial" w:cs="Arial"/>
                <w:color w:val="000000" w:themeColor="text1"/>
                <w:sz w:val="16"/>
                <w:szCs w:val="16"/>
                <w:lang w:val="en-US" w:eastAsia="zh-CN"/>
              </w:rPr>
              <w:t>MHz.</w:t>
            </w:r>
            <w:proofErr w:type="spellEnd"/>
            <w:r w:rsidRPr="00194410">
              <w:rPr>
                <w:rFonts w:ascii="Arial" w:eastAsia="宋体" w:hAnsi="Arial" w:cs="Arial"/>
                <w:color w:val="000000" w:themeColor="text1"/>
                <w:sz w:val="16"/>
                <w:szCs w:val="16"/>
                <w:lang w:val="en-US" w:eastAsia="zh-CN"/>
              </w:rPr>
              <w:t xml:space="preserve"> This needs to be supported in the RU_ALLOCATION parameter o </w:t>
            </w:r>
            <w:proofErr w:type="spellStart"/>
            <w:r w:rsidRPr="00194410">
              <w:rPr>
                <w:rFonts w:ascii="Arial" w:eastAsia="宋体" w:hAnsi="Arial" w:cs="Arial"/>
                <w:color w:val="000000" w:themeColor="text1"/>
                <w:sz w:val="16"/>
                <w:szCs w:val="16"/>
                <w:lang w:val="en-US" w:eastAsia="zh-CN"/>
              </w:rPr>
              <w:t>fthe</w:t>
            </w:r>
            <w:proofErr w:type="spellEnd"/>
            <w:r w:rsidRPr="00194410">
              <w:rPr>
                <w:rFonts w:ascii="Arial" w:eastAsia="宋体" w:hAnsi="Arial" w:cs="Arial"/>
                <w:color w:val="000000" w:themeColor="text1"/>
                <w:sz w:val="16"/>
                <w:szCs w:val="16"/>
                <w:lang w:val="en-US" w:eastAsia="zh-CN"/>
              </w:rPr>
              <w:t xml:space="preserve"> TXVECTOR. For 160 MHz and above, the number of bits indicated should be for every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See Annex Z.9 showing that 72 bits RU allocation field for the lower and upper 80 MHz may be different so 144 bits is actually needed for the 160 MHz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Change "72 bits for a 160 MHz PPDU;</w:t>
            </w:r>
            <w:r w:rsidRPr="00194410">
              <w:rPr>
                <w:rFonts w:ascii="Arial" w:eastAsia="宋体" w:hAnsi="Arial" w:cs="Arial"/>
                <w:color w:val="000000" w:themeColor="text1"/>
                <w:sz w:val="16"/>
                <w:szCs w:val="16"/>
                <w:lang w:val="en-US" w:eastAsia="zh-CN"/>
              </w:rPr>
              <w:br/>
              <w:t>144 bits for a 320 MHz PPDU." to</w:t>
            </w:r>
            <w:r w:rsidRPr="00194410">
              <w:rPr>
                <w:rFonts w:ascii="Arial" w:eastAsia="宋体" w:hAnsi="Arial" w:cs="Arial"/>
                <w:color w:val="000000" w:themeColor="text1"/>
                <w:sz w:val="16"/>
                <w:szCs w:val="16"/>
                <w:lang w:val="en-US" w:eastAsia="zh-CN"/>
              </w:rPr>
              <w:br/>
              <w:t xml:space="preserve">"72 bits for every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xml:space="preserve"> of a 160 MHz PPDU;</w:t>
            </w:r>
            <w:r w:rsidRPr="00194410">
              <w:rPr>
                <w:rFonts w:ascii="Arial" w:eastAsia="宋体" w:hAnsi="Arial" w:cs="Arial"/>
                <w:color w:val="000000" w:themeColor="text1"/>
                <w:sz w:val="16"/>
                <w:szCs w:val="16"/>
                <w:lang w:val="en-US" w:eastAsia="zh-CN"/>
              </w:rPr>
              <w:br/>
              <w:t xml:space="preserve">144 bits for every 80 MHz frequency </w:t>
            </w:r>
            <w:proofErr w:type="spellStart"/>
            <w:r w:rsidRPr="00194410">
              <w:rPr>
                <w:rFonts w:ascii="Arial" w:eastAsia="宋体" w:hAnsi="Arial" w:cs="Arial"/>
                <w:color w:val="000000" w:themeColor="text1"/>
                <w:sz w:val="16"/>
                <w:szCs w:val="16"/>
                <w:lang w:val="en-US" w:eastAsia="zh-CN"/>
              </w:rPr>
              <w:t>subblock</w:t>
            </w:r>
            <w:proofErr w:type="spellEnd"/>
            <w:r w:rsidRPr="00194410">
              <w:rPr>
                <w:rFonts w:ascii="Arial" w:eastAsia="宋体" w:hAnsi="Arial" w:cs="Arial"/>
                <w:color w:val="000000" w:themeColor="text1"/>
                <w:sz w:val="16"/>
                <w:szCs w:val="16"/>
                <w:lang w:val="en-US" w:eastAsia="zh-CN"/>
              </w:rPr>
              <w:t xml:space="preserve"> of a 320 MHz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250E1C"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94410" w:rsidRPr="00250E1C" w:rsidRDefault="00C073E6" w:rsidP="00C073E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and its analysis.</w:t>
            </w:r>
            <w:r w:rsidR="00194410">
              <w:rPr>
                <w:rFonts w:asciiTheme="minorHAnsi" w:eastAsia="宋体" w:hAnsiTheme="minorHAnsi"/>
                <w:color w:val="000000"/>
                <w:sz w:val="16"/>
                <w:szCs w:val="16"/>
                <w:lang w:val="en-US" w:eastAsia="zh-CN"/>
              </w:rPr>
              <w:t xml:space="preserve"> </w:t>
            </w:r>
            <w:r w:rsidR="00194410" w:rsidRPr="00280037">
              <w:rPr>
                <w:rFonts w:asciiTheme="minorHAnsi" w:eastAsia="宋体" w:hAnsiTheme="minorHAnsi"/>
                <w:color w:val="000000"/>
                <w:sz w:val="16"/>
                <w:szCs w:val="16"/>
                <w:lang w:val="en-US" w:eastAsia="zh-CN"/>
              </w:rPr>
              <w:t xml:space="preserve"> </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662.34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Table 36-1 in D4.0 and D4.0_redline_D3.0 is not the same for 'L_DATARATE'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please fix the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94410" w:rsidRPr="00BD1AF6" w:rsidRDefault="007029F9" w:rsidP="007029F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D4.0_redline_D3.0 is correct and the modification is the implementation of</w:t>
            </w:r>
            <w:r w:rsidR="00194410">
              <w:rPr>
                <w:rFonts w:asciiTheme="minorHAnsi" w:eastAsia="宋体" w:hAnsiTheme="minorHAnsi"/>
                <w:color w:val="000000"/>
                <w:sz w:val="16"/>
                <w:szCs w:val="16"/>
                <w:lang w:val="en-US" w:eastAsia="zh-CN"/>
              </w:rPr>
              <w:t xml:space="preserve"> an </w:t>
            </w:r>
            <w:r w:rsidR="00B635A7">
              <w:rPr>
                <w:rFonts w:asciiTheme="minorHAnsi" w:eastAsia="宋体" w:hAnsiTheme="minorHAnsi"/>
                <w:color w:val="000000"/>
                <w:sz w:val="16"/>
                <w:szCs w:val="16"/>
                <w:lang w:val="en-US" w:eastAsia="zh-CN"/>
              </w:rPr>
              <w:t xml:space="preserve">approved </w:t>
            </w:r>
            <w:r w:rsidR="00250E1C">
              <w:rPr>
                <w:rFonts w:asciiTheme="minorHAnsi" w:eastAsia="宋体" w:hAnsiTheme="minorHAnsi"/>
                <w:color w:val="000000"/>
                <w:sz w:val="16"/>
                <w:szCs w:val="16"/>
                <w:lang w:val="en-US" w:eastAsia="zh-CN"/>
              </w:rPr>
              <w:t xml:space="preserve">resolution for CID </w:t>
            </w:r>
            <w:r w:rsidR="00B635A7">
              <w:rPr>
                <w:rFonts w:asciiTheme="minorHAnsi" w:eastAsia="宋体" w:hAnsiTheme="minorHAnsi"/>
                <w:color w:val="000000"/>
                <w:sz w:val="16"/>
                <w:szCs w:val="16"/>
                <w:lang w:val="en-US" w:eastAsia="zh-CN"/>
              </w:rPr>
              <w:t>15327</w:t>
            </w:r>
            <w:r>
              <w:rPr>
                <w:rFonts w:asciiTheme="minorHAnsi" w:eastAsia="宋体" w:hAnsiTheme="minorHAnsi"/>
                <w:color w:val="000000"/>
                <w:sz w:val="16"/>
                <w:szCs w:val="16"/>
                <w:lang w:val="en-US" w:eastAsia="zh-CN"/>
              </w:rPr>
              <w:t xml:space="preserve"> as in 11-</w:t>
            </w:r>
            <w:r>
              <w:rPr>
                <w:rFonts w:asciiTheme="minorHAnsi" w:eastAsia="宋体" w:hAnsiTheme="minorHAnsi"/>
                <w:color w:val="000000"/>
                <w:sz w:val="16"/>
                <w:szCs w:val="16"/>
                <w:lang w:val="en-US" w:eastAsia="zh-CN"/>
              </w:rPr>
              <w:lastRenderedPageBreak/>
              <w:t>23/0741r2</w:t>
            </w:r>
            <w:r w:rsidR="00B635A7">
              <w:rPr>
                <w:rFonts w:asciiTheme="minorHAnsi" w:eastAsia="宋体" w:hAnsiTheme="minorHAnsi"/>
                <w:color w:val="000000"/>
                <w:sz w:val="16"/>
                <w:szCs w:val="16"/>
                <w:lang w:val="en-US" w:eastAsia="zh-CN"/>
              </w:rPr>
              <w:t xml:space="preserve"> </w:t>
            </w:r>
            <w:r w:rsidR="00250E1C">
              <w:rPr>
                <w:rFonts w:asciiTheme="minorHAnsi" w:eastAsia="宋体" w:hAnsiTheme="minorHAnsi"/>
                <w:color w:val="000000"/>
                <w:sz w:val="16"/>
                <w:szCs w:val="16"/>
                <w:lang w:val="en-US" w:eastAsia="zh-CN"/>
              </w:rPr>
              <w:t xml:space="preserve">for D3.0. </w:t>
            </w:r>
            <w:r>
              <w:rPr>
                <w:rFonts w:asciiTheme="minorHAnsi" w:eastAsia="宋体" w:hAnsiTheme="minorHAnsi"/>
                <w:color w:val="000000"/>
                <w:sz w:val="16"/>
                <w:szCs w:val="16"/>
                <w:lang w:val="en-US" w:eastAsia="zh-CN"/>
              </w:rPr>
              <w:t>An editorial correction is needed.</w:t>
            </w:r>
          </w:p>
        </w:tc>
      </w:tr>
      <w:tr w:rsidR="00194410"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lastRenderedPageBreak/>
              <w:t>19087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665.45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measure -&gt;measurement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modify 'measure' to 'measurement'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250E1C"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4410" w:rsidRDefault="00515CE6"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194410">
              <w:rPr>
                <w:rFonts w:asciiTheme="minorHAnsi" w:eastAsia="宋体" w:hAnsiTheme="minorHAnsi" w:hint="eastAsia"/>
                <w:b/>
                <w:bCs/>
                <w:color w:val="000000"/>
                <w:sz w:val="16"/>
                <w:szCs w:val="16"/>
                <w:u w:val="single"/>
                <w:lang w:val="en-US" w:eastAsia="zh-CN"/>
              </w:rPr>
              <w:t>:</w:t>
            </w:r>
          </w:p>
          <w:p w:rsidR="00194410" w:rsidRDefault="00515CE6" w:rsidP="00515CE6">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“measure” here means a measured quantity and it’s a proper expression. </w:t>
            </w:r>
            <w:r w:rsidR="00194410">
              <w:rPr>
                <w:rFonts w:asciiTheme="minorHAnsi" w:eastAsia="宋体" w:hAnsiTheme="minorHAnsi"/>
                <w:color w:val="000000"/>
                <w:sz w:val="16"/>
                <w:szCs w:val="16"/>
                <w:lang w:val="en-US" w:eastAsia="zh-CN"/>
              </w:rPr>
              <w:t xml:space="preserve"> </w:t>
            </w:r>
          </w:p>
        </w:tc>
      </w:tr>
      <w:tr w:rsidR="00194410"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662.56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"Contains a vector in the number of all the subcarriers in an RU</w:t>
            </w:r>
            <w:r w:rsidRPr="00194410">
              <w:rPr>
                <w:rFonts w:ascii="Arial" w:eastAsia="宋体" w:hAnsi="Arial" w:cs="Arial"/>
                <w:color w:val="000000" w:themeColor="text1"/>
                <w:sz w:val="16"/>
                <w:szCs w:val="16"/>
                <w:lang w:val="en-US" w:eastAsia="zh-CN"/>
              </w:rPr>
              <w:br/>
              <w:t>or MRU that is assigned to this user. The vector for each</w:t>
            </w:r>
            <w:r w:rsidRPr="00194410">
              <w:rPr>
                <w:rFonts w:ascii="Arial" w:eastAsia="宋体" w:hAnsi="Arial" w:cs="Arial"/>
                <w:color w:val="000000" w:themeColor="text1"/>
                <w:sz w:val="16"/>
                <w:szCs w:val="16"/>
                <w:lang w:val="en-US" w:eastAsia="zh-CN"/>
              </w:rPr>
              <w:br/>
              <w:t>subcarrier contains feedback matrices as defined in 36.3.17.2</w:t>
            </w:r>
            <w:r w:rsidRPr="00194410">
              <w:rPr>
                <w:rFonts w:ascii="Arial" w:eastAsia="宋体" w:hAnsi="Arial" w:cs="Arial"/>
                <w:color w:val="000000" w:themeColor="text1"/>
                <w:sz w:val="16"/>
                <w:szCs w:val="16"/>
                <w:lang w:val="en-US" w:eastAsia="zh-CN"/>
              </w:rPr>
              <w:br/>
              <w:t>(EHT beamforming feedback matrix V) based on the channel</w:t>
            </w:r>
            <w:r w:rsidRPr="00194410">
              <w:rPr>
                <w:rFonts w:ascii="Arial" w:eastAsia="宋体" w:hAnsi="Arial" w:cs="Arial"/>
                <w:color w:val="000000" w:themeColor="text1"/>
                <w:sz w:val="16"/>
                <w:szCs w:val="16"/>
                <w:lang w:val="en-US" w:eastAsia="zh-CN"/>
              </w:rPr>
              <w:br/>
              <w:t>measured during the training symbols of previous EHT</w:t>
            </w:r>
            <w:r w:rsidRPr="00194410">
              <w:rPr>
                <w:rFonts w:ascii="Arial" w:eastAsia="宋体" w:hAnsi="Arial" w:cs="Arial"/>
                <w:color w:val="000000" w:themeColor="text1"/>
                <w:sz w:val="16"/>
                <w:szCs w:val="16"/>
                <w:lang w:val="en-US" w:eastAsia="zh-CN"/>
              </w:rPr>
              <w:br/>
              <w:t xml:space="preserve">sounding NDPs, HE sounding NDPs or VHT NDPs" how a TB PPDU can have </w:t>
            </w:r>
            <w:proofErr w:type="spellStart"/>
            <w:r w:rsidRPr="00194410">
              <w:rPr>
                <w:rFonts w:ascii="Arial" w:eastAsia="宋体" w:hAnsi="Arial" w:cs="Arial"/>
                <w:color w:val="000000" w:themeColor="text1"/>
                <w:sz w:val="16"/>
                <w:szCs w:val="16"/>
                <w:lang w:val="en-US" w:eastAsia="zh-CN"/>
              </w:rPr>
              <w:t>BFing</w:t>
            </w:r>
            <w:proofErr w:type="spellEnd"/>
            <w:r w:rsidRPr="00194410">
              <w:rPr>
                <w:rFonts w:ascii="Arial" w:eastAsia="宋体" w:hAnsi="Arial" w:cs="Arial"/>
                <w:color w:val="000000" w:themeColor="text1"/>
                <w:sz w:val="16"/>
                <w:szCs w:val="16"/>
                <w:lang w:val="en-US" w:eastAsia="zh-CN"/>
              </w:rPr>
              <w:t xml:space="preserve"> feedback?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remove "The vector for each</w:t>
            </w:r>
            <w:r w:rsidRPr="00194410">
              <w:rPr>
                <w:rFonts w:ascii="Arial" w:eastAsia="宋体" w:hAnsi="Arial" w:cs="Arial"/>
                <w:color w:val="000000" w:themeColor="text1"/>
                <w:sz w:val="16"/>
                <w:szCs w:val="16"/>
                <w:lang w:val="en-US" w:eastAsia="zh-CN"/>
              </w:rPr>
              <w:br/>
              <w:t>subcarrier contains feedback matrices as defined in 36.3.17.2</w:t>
            </w:r>
            <w:r w:rsidRPr="00194410">
              <w:rPr>
                <w:rFonts w:ascii="Arial" w:eastAsia="宋体" w:hAnsi="Arial" w:cs="Arial"/>
                <w:color w:val="000000" w:themeColor="text1"/>
                <w:sz w:val="16"/>
                <w:szCs w:val="16"/>
                <w:lang w:val="en-US" w:eastAsia="zh-CN"/>
              </w:rPr>
              <w:br/>
              <w:t>(EHT beamforming feedback matrix V) based on the channel</w:t>
            </w:r>
            <w:r w:rsidRPr="00194410">
              <w:rPr>
                <w:rFonts w:ascii="Arial" w:eastAsia="宋体" w:hAnsi="Arial" w:cs="Arial"/>
                <w:color w:val="000000" w:themeColor="text1"/>
                <w:sz w:val="16"/>
                <w:szCs w:val="16"/>
                <w:lang w:val="en-US" w:eastAsia="zh-CN"/>
              </w:rPr>
              <w:br/>
              <w:t>measured during the training symbols of previous EHT</w:t>
            </w:r>
            <w:r w:rsidRPr="00194410">
              <w:rPr>
                <w:rFonts w:ascii="Arial" w:eastAsia="宋体" w:hAnsi="Arial" w:cs="Arial"/>
                <w:color w:val="000000" w:themeColor="text1"/>
                <w:sz w:val="16"/>
                <w:szCs w:val="16"/>
                <w:lang w:val="en-US" w:eastAsia="zh-CN"/>
              </w:rPr>
              <w:br/>
              <w:t>sounding NDPs, HE sounding NDPs or VHT NDPs."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646277"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4410" w:rsidRDefault="00646277"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194410">
              <w:rPr>
                <w:rFonts w:asciiTheme="minorHAnsi" w:eastAsia="宋体" w:hAnsiTheme="minorHAnsi" w:hint="eastAsia"/>
                <w:b/>
                <w:bCs/>
                <w:color w:val="000000"/>
                <w:sz w:val="16"/>
                <w:szCs w:val="16"/>
                <w:u w:val="single"/>
                <w:lang w:val="en-US" w:eastAsia="zh-CN"/>
              </w:rPr>
              <w:t>:</w:t>
            </w:r>
          </w:p>
          <w:p w:rsidR="00194410" w:rsidRDefault="00646277" w:rsidP="0064627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a</w:t>
            </w:r>
            <w:r w:rsidR="00056FE9">
              <w:rPr>
                <w:rFonts w:asciiTheme="minorHAnsi" w:eastAsia="宋体" w:hAnsiTheme="minorHAnsi"/>
                <w:color w:val="000000"/>
                <w:sz w:val="16"/>
                <w:szCs w:val="16"/>
                <w:lang w:val="en-US" w:eastAsia="zh-CN"/>
              </w:rPr>
              <w:t xml:space="preserve">ddressed sentence means </w:t>
            </w:r>
            <w:r w:rsidR="00DB1E30">
              <w:rPr>
                <w:rFonts w:asciiTheme="minorHAnsi" w:eastAsia="宋体" w:hAnsiTheme="minorHAnsi"/>
                <w:color w:val="000000"/>
                <w:sz w:val="16"/>
                <w:szCs w:val="16"/>
                <w:lang w:val="en-US" w:eastAsia="zh-CN"/>
              </w:rPr>
              <w:t xml:space="preserve">the transmitting of </w:t>
            </w:r>
            <w:r>
              <w:rPr>
                <w:rFonts w:asciiTheme="minorHAnsi" w:eastAsia="宋体" w:hAnsiTheme="minorHAnsi"/>
                <w:color w:val="000000"/>
                <w:sz w:val="16"/>
                <w:szCs w:val="16"/>
                <w:lang w:val="en-US" w:eastAsia="zh-CN"/>
              </w:rPr>
              <w:t xml:space="preserve">an EHT TB PPDU may use the feedback report from previous sounding procedure for current beamforming transmission. </w:t>
            </w:r>
            <w:r w:rsidR="00993AA3">
              <w:rPr>
                <w:rFonts w:asciiTheme="minorHAnsi" w:eastAsia="宋体" w:hAnsiTheme="minorHAnsi"/>
                <w:color w:val="000000"/>
                <w:sz w:val="16"/>
                <w:szCs w:val="16"/>
                <w:lang w:val="en-US" w:eastAsia="zh-CN"/>
              </w:rPr>
              <w:t xml:space="preserve">It should not be interpreted as a </w:t>
            </w:r>
            <w:proofErr w:type="spellStart"/>
            <w:r w:rsidR="00993AA3">
              <w:rPr>
                <w:rFonts w:asciiTheme="minorHAnsi" w:eastAsia="宋体" w:hAnsiTheme="minorHAnsi"/>
                <w:color w:val="000000"/>
                <w:sz w:val="16"/>
                <w:szCs w:val="16"/>
                <w:lang w:val="en-US" w:eastAsia="zh-CN"/>
              </w:rPr>
              <w:t>BFing</w:t>
            </w:r>
            <w:proofErr w:type="spellEnd"/>
            <w:r w:rsidR="00993AA3">
              <w:rPr>
                <w:rFonts w:asciiTheme="minorHAnsi" w:eastAsia="宋体" w:hAnsiTheme="minorHAnsi"/>
                <w:color w:val="000000"/>
                <w:sz w:val="16"/>
                <w:szCs w:val="16"/>
                <w:lang w:val="en-US" w:eastAsia="zh-CN"/>
              </w:rPr>
              <w:t xml:space="preserve"> feedback caused or carried by the EHT TB PPDU.</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"TXOP_DURATION = UNSPECIFIED: TXOP = 127."</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TXOP = 127: TXOP_DURATION = UNSPECIFIED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714341">
              <w:rPr>
                <w:rFonts w:asciiTheme="minorHAnsi" w:eastAsia="宋体" w:hAnsiTheme="minorHAnsi"/>
                <w:b/>
                <w:bCs/>
                <w:color w:val="000000"/>
                <w:sz w:val="16"/>
                <w:szCs w:val="16"/>
                <w:u w:val="single"/>
                <w:lang w:val="en-US" w:eastAsia="zh-CN"/>
              </w:rPr>
              <w:t>jected</w:t>
            </w:r>
          </w:p>
          <w:p w:rsidR="00194410" w:rsidRDefault="00714341"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194410">
              <w:rPr>
                <w:rFonts w:asciiTheme="minorHAnsi" w:eastAsia="宋体" w:hAnsiTheme="minorHAnsi" w:hint="eastAsia"/>
                <w:b/>
                <w:bCs/>
                <w:color w:val="000000"/>
                <w:sz w:val="16"/>
                <w:szCs w:val="16"/>
                <w:u w:val="single"/>
                <w:lang w:val="en-US" w:eastAsia="zh-CN"/>
              </w:rPr>
              <w:t>:</w:t>
            </w:r>
          </w:p>
          <w:p w:rsidR="00194410" w:rsidRDefault="00714341" w:rsidP="00714341">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The addressed sentence is to explain how to map TXOP_DURATION to TXOP subfield. </w:t>
            </w:r>
            <w:proofErr w:type="gramStart"/>
            <w:r>
              <w:rPr>
                <w:rFonts w:asciiTheme="minorHAnsi" w:eastAsia="宋体" w:hAnsiTheme="minorHAnsi"/>
                <w:color w:val="000000"/>
                <w:sz w:val="16"/>
                <w:szCs w:val="16"/>
                <w:lang w:val="en-US" w:eastAsia="zh-CN"/>
              </w:rPr>
              <w:t>Therefore</w:t>
            </w:r>
            <w:proofErr w:type="gramEnd"/>
            <w:r>
              <w:rPr>
                <w:rFonts w:asciiTheme="minorHAnsi" w:eastAsia="宋体" w:hAnsiTheme="minorHAnsi"/>
                <w:color w:val="000000"/>
                <w:sz w:val="16"/>
                <w:szCs w:val="16"/>
                <w:lang w:val="en-US" w:eastAsia="zh-CN"/>
              </w:rPr>
              <w:t xml:space="preserve"> the condition is TXOP_DURATION = UNSPECIFIED and the map result is TXOP = 127. It’s a reverse mapping procedure for a TXVECTOR against to a RXVECTOR parameter</w:t>
            </w:r>
            <w:r w:rsidR="00194410">
              <w:rPr>
                <w:rFonts w:asciiTheme="minorHAnsi" w:eastAsia="宋体" w:hAnsiTheme="minorHAnsi"/>
                <w:color w:val="000000"/>
                <w:sz w:val="16"/>
                <w:szCs w:val="16"/>
                <w:lang w:val="en-US" w:eastAsia="zh-CN"/>
              </w:rPr>
              <w:t xml:space="preserve">. </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671.18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"For an RU or MRU with a single user allocated, set to 1 if a</w:t>
            </w:r>
            <w:r w:rsidRPr="00194410">
              <w:rPr>
                <w:rFonts w:ascii="Arial" w:eastAsia="宋体" w:hAnsi="Arial" w:cs="Arial"/>
                <w:color w:val="000000" w:themeColor="text1"/>
                <w:sz w:val="16"/>
                <w:szCs w:val="16"/>
                <w:lang w:val="en-US" w:eastAsia="zh-CN"/>
              </w:rPr>
              <w:br/>
              <w:t>beamforming steering matrix is applied to this non-MU MIMO</w:t>
            </w:r>
            <w:r w:rsidRPr="00194410">
              <w:rPr>
                <w:rFonts w:ascii="Arial" w:eastAsia="宋体" w:hAnsi="Arial" w:cs="Arial"/>
                <w:color w:val="000000" w:themeColor="text1"/>
                <w:sz w:val="16"/>
                <w:szCs w:val="16"/>
                <w:lang w:val="en-US" w:eastAsia="zh-CN"/>
              </w:rPr>
              <w:br/>
              <w:t xml:space="preserve">allocation and set to 0 otherwise." TB PPDU cannot indicate </w:t>
            </w:r>
            <w:proofErr w:type="spellStart"/>
            <w:r w:rsidRPr="00194410">
              <w:rPr>
                <w:rFonts w:ascii="Arial" w:eastAsia="宋体" w:hAnsi="Arial" w:cs="Arial"/>
                <w:color w:val="000000" w:themeColor="text1"/>
                <w:sz w:val="16"/>
                <w:szCs w:val="16"/>
                <w:lang w:val="en-US" w:eastAsia="zh-CN"/>
              </w:rPr>
              <w:t>BFing</w:t>
            </w:r>
            <w:proofErr w:type="spellEnd"/>
            <w:r w:rsidRPr="00194410">
              <w:rPr>
                <w:rFonts w:ascii="Arial" w:eastAsia="宋体" w:hAnsi="Arial" w:cs="Arial"/>
                <w:color w:val="000000" w:themeColor="text1"/>
                <w:sz w:val="16"/>
                <w:szCs w:val="16"/>
                <w:lang w:val="en-US" w:eastAsia="zh-CN"/>
              </w:rPr>
              <w:t xml:space="preserve"> status.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change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66487" w:rsidRDefault="00F66487" w:rsidP="00F6648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66487" w:rsidRDefault="00F66487" w:rsidP="00F6648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194410" w:rsidRDefault="00F66487" w:rsidP="00C106E0">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addressed sentence is to explain how to </w:t>
            </w:r>
            <w:r w:rsidR="00C106E0">
              <w:rPr>
                <w:rFonts w:asciiTheme="minorHAnsi" w:eastAsia="宋体" w:hAnsiTheme="minorHAnsi"/>
                <w:color w:val="000000"/>
                <w:sz w:val="16"/>
                <w:szCs w:val="16"/>
                <w:lang w:val="en-US" w:eastAsia="zh-CN"/>
              </w:rPr>
              <w:t xml:space="preserve">use TXVECTOR parameter BEAMFORMED in transmitting an EHT TB PPDU. It should not be interpreted as to indicate </w:t>
            </w:r>
            <w:proofErr w:type="spellStart"/>
            <w:r w:rsidR="00C106E0">
              <w:rPr>
                <w:rFonts w:asciiTheme="minorHAnsi" w:eastAsia="宋体" w:hAnsiTheme="minorHAnsi"/>
                <w:color w:val="000000"/>
                <w:sz w:val="16"/>
                <w:szCs w:val="16"/>
                <w:lang w:val="en-US" w:eastAsia="zh-CN"/>
              </w:rPr>
              <w:t>BFing</w:t>
            </w:r>
            <w:proofErr w:type="spellEnd"/>
            <w:r w:rsidR="00C106E0">
              <w:rPr>
                <w:rFonts w:asciiTheme="minorHAnsi" w:eastAsia="宋体" w:hAnsiTheme="minorHAnsi"/>
                <w:color w:val="000000"/>
                <w:sz w:val="16"/>
                <w:szCs w:val="16"/>
                <w:lang w:val="en-US" w:eastAsia="zh-CN"/>
              </w:rPr>
              <w:t xml:space="preserve"> status to a receiver.</w:t>
            </w:r>
          </w:p>
        </w:tc>
      </w:tr>
      <w:tr w:rsidR="00194410">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19532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jc w:val="center"/>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666.35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94410" w:rsidRDefault="00194410" w:rsidP="00194410">
            <w:pPr>
              <w:jc w:val="center"/>
            </w:pPr>
            <w:r w:rsidRPr="00896DE6">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 xml:space="preserve">For 320 MHz, the enumerated values for CH_BANDWIDTH are CBW320-1 and CBW320-2. However, in numerous places throughout the spec "CBW320" is still </w:t>
            </w:r>
            <w:proofErr w:type="gramStart"/>
            <w:r w:rsidRPr="00194410">
              <w:rPr>
                <w:rFonts w:ascii="Arial" w:eastAsia="宋体" w:hAnsi="Arial" w:cs="Arial"/>
                <w:color w:val="000000" w:themeColor="text1"/>
                <w:sz w:val="16"/>
                <w:szCs w:val="16"/>
                <w:lang w:val="en-US" w:eastAsia="zh-CN"/>
              </w:rPr>
              <w:t>used  (</w:t>
            </w:r>
            <w:proofErr w:type="gramEnd"/>
            <w:r w:rsidRPr="00194410">
              <w:rPr>
                <w:rFonts w:ascii="Arial" w:eastAsia="宋体" w:hAnsi="Arial" w:cs="Arial"/>
                <w:color w:val="000000" w:themeColor="text1"/>
                <w:sz w:val="16"/>
                <w:szCs w:val="16"/>
                <w:lang w:val="en-US" w:eastAsia="zh-CN"/>
              </w:rPr>
              <w:t xml:space="preserve">e.g. P679L22, P739L12, P740L10, P750L7, P752L33, P754L7, P877L5, P56, P470-473, ...). Sometimes alone, sometimes in addition </w:t>
            </w:r>
            <w:proofErr w:type="gramStart"/>
            <w:r w:rsidRPr="00194410">
              <w:rPr>
                <w:rFonts w:ascii="Arial" w:eastAsia="宋体" w:hAnsi="Arial" w:cs="Arial"/>
                <w:color w:val="000000" w:themeColor="text1"/>
                <w:sz w:val="16"/>
                <w:szCs w:val="16"/>
                <w:lang w:val="en-US" w:eastAsia="zh-CN"/>
              </w:rPr>
              <w:t>to  CBW</w:t>
            </w:r>
            <w:proofErr w:type="gramEnd"/>
            <w:r w:rsidRPr="00194410">
              <w:rPr>
                <w:rFonts w:ascii="Arial" w:eastAsia="宋体" w:hAnsi="Arial" w:cs="Arial"/>
                <w:color w:val="000000" w:themeColor="text1"/>
                <w:sz w:val="16"/>
                <w:szCs w:val="16"/>
                <w:lang w:val="en-US" w:eastAsia="zh-CN"/>
              </w:rPr>
              <w:t>320-1 and CBW320-2. The use of CBW320 should probably be removed and made consistent with the allowed values of CH_BANDWIDTH. Currently it is not consistent with the definition of allowed CH_BANDWIDTH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94410" w:rsidRPr="00194410" w:rsidRDefault="00194410" w:rsidP="00194410">
            <w:pPr>
              <w:spacing w:after="0" w:line="240" w:lineRule="auto"/>
              <w:rPr>
                <w:rFonts w:ascii="Arial" w:eastAsia="宋体" w:hAnsi="Arial" w:cs="Arial"/>
                <w:color w:val="000000" w:themeColor="text1"/>
                <w:sz w:val="16"/>
                <w:szCs w:val="16"/>
                <w:lang w:val="en-US" w:eastAsia="zh-CN"/>
              </w:rPr>
            </w:pPr>
            <w:r w:rsidRPr="00194410">
              <w:rPr>
                <w:rFonts w:ascii="Arial" w:eastAsia="宋体" w:hAnsi="Arial" w:cs="Arial"/>
                <w:color w:val="000000" w:themeColor="text1"/>
                <w:sz w:val="16"/>
                <w:szCs w:val="16"/>
                <w:lang w:val="en-US" w:eastAsia="zh-CN"/>
              </w:rPr>
              <w:t>Replace any usage of "CBW320" with "CBW320-1 or CBW320-2". (or find another way to make usage consistent throughout the spec)</w:t>
            </w:r>
            <w:r w:rsidRPr="00194410">
              <w:rPr>
                <w:rFonts w:ascii="Arial" w:eastAsia="宋体" w:hAnsi="Arial" w:cs="Arial"/>
                <w:color w:val="000000" w:themeColor="text1"/>
                <w:sz w:val="16"/>
                <w:szCs w:val="16"/>
                <w:lang w:val="en-US" w:eastAsia="zh-CN"/>
              </w:rPr>
              <w:br/>
              <w:t xml:space="preserve">NOTE: this will require a global search for "CBW320" to find all </w:t>
            </w:r>
            <w:proofErr w:type="spellStart"/>
            <w:r w:rsidRPr="00194410">
              <w:rPr>
                <w:rFonts w:ascii="Arial" w:eastAsia="宋体" w:hAnsi="Arial" w:cs="Arial"/>
                <w:color w:val="000000" w:themeColor="text1"/>
                <w:sz w:val="16"/>
                <w:szCs w:val="16"/>
                <w:lang w:val="en-US" w:eastAsia="zh-CN"/>
              </w:rPr>
              <w:t>occurences</w:t>
            </w:r>
            <w:proofErr w:type="spellEnd"/>
            <w:r w:rsidRPr="00194410">
              <w:rPr>
                <w:rFonts w:ascii="Arial" w:eastAsia="宋体" w:hAnsi="Arial" w:cs="Arial"/>
                <w:color w:val="000000" w:themeColor="text1"/>
                <w:sz w:val="16"/>
                <w:szCs w:val="16"/>
                <w:lang w:val="en-US" w:eastAsia="zh-C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94410" w:rsidRDefault="00C106E0"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94410" w:rsidRDefault="00194410" w:rsidP="00194410">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sidR="006D705F">
              <w:rPr>
                <w:rFonts w:asciiTheme="minorHAnsi" w:eastAsia="宋体" w:hAnsiTheme="minorHAnsi"/>
                <w:color w:val="000000"/>
                <w:sz w:val="16"/>
                <w:szCs w:val="16"/>
                <w:lang w:val="en-US" w:eastAsia="zh-CN"/>
              </w:rPr>
              <w:t>. All “CBW320” should be replaced with “CBW320-1 or CBW320-2”, or delete “CBW320” when it’s used together with “CBW320-1 and CBW320-2”</w:t>
            </w:r>
            <w:r>
              <w:rPr>
                <w:rFonts w:asciiTheme="minorHAnsi" w:eastAsia="宋体" w:hAnsiTheme="minorHAnsi"/>
                <w:color w:val="000000"/>
                <w:sz w:val="16"/>
                <w:szCs w:val="16"/>
                <w:lang w:val="en-US" w:eastAsia="zh-CN"/>
              </w:rPr>
              <w:t xml:space="preserve">. </w:t>
            </w:r>
          </w:p>
          <w:p w:rsidR="00194410" w:rsidRDefault="00194410" w:rsidP="00194410">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D705F" w:rsidRDefault="006D705F" w:rsidP="001944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Replace “CBW320” with “CBW320-1 or CBW320-2” throughout the spec, ex</w:t>
            </w:r>
            <w:r w:rsidR="00FC0039">
              <w:rPr>
                <w:rFonts w:asciiTheme="minorHAnsi" w:eastAsia="宋体" w:hAnsiTheme="minorHAnsi"/>
                <w:color w:val="000000"/>
                <w:sz w:val="16"/>
                <w:szCs w:val="16"/>
                <w:lang w:val="en-US" w:eastAsia="zh-CN"/>
              </w:rPr>
              <w:t>cept</w:t>
            </w:r>
            <w:r>
              <w:rPr>
                <w:rFonts w:asciiTheme="minorHAnsi" w:eastAsia="宋体" w:hAnsiTheme="minorHAnsi"/>
                <w:color w:val="000000"/>
                <w:sz w:val="16"/>
                <w:szCs w:val="16"/>
                <w:lang w:val="en-US" w:eastAsia="zh-CN"/>
              </w:rPr>
              <w:t xml:space="preserve"> following modifications:</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sidRPr="006D705F">
              <w:rPr>
                <w:rFonts w:asciiTheme="minorHAnsi" w:eastAsia="宋体" w:hAnsiTheme="minorHAnsi"/>
                <w:color w:val="000000"/>
                <w:sz w:val="16"/>
                <w:szCs w:val="16"/>
                <w:lang w:val="en-US" w:eastAsia="zh-CN"/>
              </w:rPr>
              <w:t>P678/L39, remove the NOTE</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P750/L7, remove “CBW320,”</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P752/L33, remove “CBW320,”</w:t>
            </w:r>
          </w:p>
          <w:p w:rsidR="006D705F" w:rsidRDefault="006D705F" w:rsidP="006D705F">
            <w:pPr>
              <w:pStyle w:val="af1"/>
              <w:numPr>
                <w:ilvl w:val="0"/>
                <w:numId w:val="7"/>
              </w:numPr>
              <w:spacing w:after="0" w:line="260" w:lineRule="auto"/>
              <w:ind w:firstLineChars="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P754/L7, remove “CBW320,”</w:t>
            </w:r>
          </w:p>
          <w:p w:rsidR="00194410" w:rsidRDefault="00194410" w:rsidP="00194410">
            <w:pPr>
              <w:spacing w:after="0" w:line="260" w:lineRule="auto"/>
              <w:textAlignment w:val="top"/>
              <w:rPr>
                <w:rFonts w:asciiTheme="minorHAnsi" w:eastAsia="宋体" w:hAnsiTheme="minorHAnsi"/>
                <w:b/>
                <w:bCs/>
                <w:color w:val="000000"/>
                <w:sz w:val="16"/>
                <w:szCs w:val="16"/>
                <w:u w:val="single"/>
                <w:lang w:val="en-US" w:eastAsia="zh-CN"/>
              </w:rPr>
            </w:pP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C57B87" w:rsidRDefault="00C57B87" w:rsidP="00C57B87">
      <w:pPr>
        <w:spacing w:after="0" w:line="260" w:lineRule="auto"/>
        <w:rPr>
          <w:rFonts w:eastAsia="宋体"/>
          <w:b/>
          <w:bCs/>
          <w:i/>
          <w:iCs/>
          <w:lang w:val="en-US" w:eastAsia="zh-CN"/>
        </w:rPr>
      </w:pPr>
      <w:r>
        <w:rPr>
          <w:rFonts w:eastAsia="宋体"/>
          <w:b/>
          <w:bCs/>
          <w:i/>
          <w:iCs/>
          <w:lang w:val="en-US" w:eastAsia="zh-CN"/>
        </w:rPr>
        <w:lastRenderedPageBreak/>
        <w:t>C</w:t>
      </w:r>
      <w:r>
        <w:rPr>
          <w:rFonts w:eastAsia="宋体" w:hint="eastAsia"/>
          <w:b/>
          <w:bCs/>
          <w:i/>
          <w:iCs/>
          <w:lang w:val="en-US" w:eastAsia="zh-CN"/>
        </w:rPr>
        <w:t>omments for sub-clause 36.2</w:t>
      </w:r>
      <w:r>
        <w:rPr>
          <w:rFonts w:eastAsia="宋体"/>
          <w:b/>
          <w:bCs/>
          <w:i/>
          <w:iCs/>
          <w:lang w:val="en-US" w:eastAsia="zh-CN"/>
        </w:rPr>
        <w:t>.6.1</w:t>
      </w:r>
      <w:r>
        <w:rPr>
          <w:rFonts w:eastAsia="宋体" w:hint="eastAsia"/>
          <w:b/>
          <w:bCs/>
          <w:i/>
          <w:iCs/>
          <w:lang w:val="en-US" w:eastAsia="zh-CN"/>
        </w:rPr>
        <w:t>:</w:t>
      </w:r>
      <w:r>
        <w:rPr>
          <w:rFonts w:eastAsia="宋体"/>
          <w:b/>
          <w:bCs/>
          <w:i/>
          <w:iCs/>
          <w:lang w:val="en-US" w:eastAsia="zh-CN"/>
        </w:rPr>
        <w:t xml:space="preserve"> 5 </w:t>
      </w:r>
      <w:r>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C57B87" w:rsidTr="00C57B87">
        <w:trPr>
          <w:trHeight w:val="117"/>
        </w:trPr>
        <w:tc>
          <w:tcPr>
            <w:tcW w:w="562"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C57B87" w:rsidRDefault="00C57B87" w:rsidP="00C57B87">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C57B87" w:rsidRDefault="00C57B87" w:rsidP="00C57B87">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C57B87"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680.18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57B87" w:rsidRPr="00896DE6" w:rsidRDefault="00C57B87" w:rsidP="00C57B87">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in 'Clause 19' box, transmission 'only' on 20MHz</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57B87" w:rsidRPr="00C57B87" w:rsidRDefault="00C57B87" w:rsidP="00C57B87">
            <w:pP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add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54159" w:rsidRDefault="00054159" w:rsidP="000541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54159" w:rsidRDefault="00054159" w:rsidP="000541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57B87" w:rsidRDefault="00054159" w:rsidP="0005415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To keep the description consistent inside Figure 36-1.</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According to the statement at p704/l11, the Label "FORMAT = NON_HT "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Add "and NON_HT_MODULATION != OFDM or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54159" w:rsidRDefault="00054159" w:rsidP="000541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54159" w:rsidRDefault="00054159" w:rsidP="000541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54159" w:rsidRDefault="00054159" w:rsidP="009431D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The comment is technically correct but the referred </w:t>
            </w:r>
            <w:r w:rsidR="009431D6">
              <w:rPr>
                <w:rFonts w:asciiTheme="minorHAnsi" w:eastAsia="宋体" w:hAnsiTheme="minorHAnsi"/>
                <w:color w:val="000000"/>
                <w:sz w:val="16"/>
                <w:szCs w:val="16"/>
                <w:lang w:val="en-US" w:eastAsia="zh-CN"/>
              </w:rPr>
              <w:t>statement should be P681/L4.</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According to the statement at p704/l11, the Label "FORMAT = NON_HT NON_HT_MODULATION NON_HT_DUP_OFDM"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Change to "and NON_HT_MODULATION = OFDM or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54159" w:rsidRDefault="00054159" w:rsidP="000541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54159" w:rsidRDefault="00054159" w:rsidP="000541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54159" w:rsidRDefault="009431D6" w:rsidP="0005415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comment is technically correct but the referred statement should be P681/L4.</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703.33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The label "Clause 36" should be in a solid-lined box in Figure 36-2.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Update Figure 36-2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7D6B4B" w:rsidRDefault="007D6B4B" w:rsidP="007D6B4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7D6B4B" w:rsidRDefault="007D6B4B" w:rsidP="007D6B4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54159" w:rsidRDefault="007D6B4B" w:rsidP="007D6B4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Figure 36-2 is expressed in the same way as used in previous 802.11 amendments and it covers all receiving procedure of an EHT PPDU.</w:t>
            </w:r>
          </w:p>
        </w:tc>
      </w:tr>
      <w:tr w:rsidR="00054159" w:rsidTr="00C57B87">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19176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680.08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jc w:val="center"/>
              <w:rPr>
                <w:rFonts w:ascii="Arial" w:eastAsia="宋体" w:hAnsi="Arial" w:cs="Arial"/>
                <w:color w:val="000000" w:themeColor="text1"/>
                <w:sz w:val="16"/>
                <w:szCs w:val="16"/>
                <w:lang w:val="en-US" w:eastAsia="zh-CN"/>
              </w:rPr>
            </w:pPr>
            <w:r w:rsidRPr="002E5FD2">
              <w:rPr>
                <w:rFonts w:ascii="Arial" w:eastAsia="宋体" w:hAnsi="Arial" w:cs="Arial" w:hint="eastAsia"/>
                <w:color w:val="000000" w:themeColor="text1"/>
                <w:sz w:val="16"/>
                <w:szCs w:val="16"/>
                <w:lang w:val="en-US" w:eastAsia="zh-CN"/>
              </w:rPr>
              <w:t>3</w:t>
            </w:r>
            <w:r w:rsidRPr="002E5FD2">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The comma sign are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54159" w:rsidRPr="00C57B87" w:rsidRDefault="00054159" w:rsidP="00054159">
            <w:pPr>
              <w:spacing w:after="0" w:line="240" w:lineRule="auto"/>
              <w:rPr>
                <w:rFonts w:ascii="Arial" w:eastAsia="宋体" w:hAnsi="Arial" w:cs="Arial"/>
                <w:color w:val="000000" w:themeColor="text1"/>
                <w:sz w:val="16"/>
                <w:szCs w:val="16"/>
                <w:lang w:val="en-US" w:eastAsia="zh-CN"/>
              </w:rPr>
            </w:pPr>
            <w:r w:rsidRPr="00C57B87">
              <w:rPr>
                <w:rFonts w:ascii="Arial" w:eastAsia="宋体" w:hAnsi="Arial" w:cs="Arial"/>
                <w:color w:val="000000" w:themeColor="text1"/>
                <w:sz w:val="16"/>
                <w:szCs w:val="16"/>
                <w:lang w:val="en-US" w:eastAsia="zh-CN"/>
              </w:rPr>
              <w:t>Format=NON_HT,</w:t>
            </w:r>
            <w:r w:rsidRPr="00C57B87">
              <w:rPr>
                <w:rFonts w:ascii="Arial" w:eastAsia="宋体" w:hAnsi="Arial" w:cs="Arial"/>
                <w:color w:val="000000" w:themeColor="text1"/>
                <w:sz w:val="16"/>
                <w:szCs w:val="16"/>
                <w:lang w:val="en-US" w:eastAsia="zh-CN"/>
              </w:rPr>
              <w:br/>
              <w:t xml:space="preserve">            NON_HT_MODULATION and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DE2062" w:rsidRDefault="00DE2062" w:rsidP="00DE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DE2062" w:rsidRDefault="00DE2062" w:rsidP="00DE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DE2062" w:rsidRDefault="00DE2062" w:rsidP="00DE20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t>
            </w:r>
            <w:r w:rsidR="000B655B">
              <w:rPr>
                <w:rFonts w:asciiTheme="minorHAnsi" w:eastAsia="宋体" w:hAnsiTheme="minorHAnsi"/>
                <w:color w:val="000000"/>
                <w:sz w:val="16"/>
                <w:szCs w:val="16"/>
                <w:lang w:val="en-US" w:eastAsia="zh-CN"/>
              </w:rPr>
              <w:t>that the addressed text is not clear. But the proposed changes don’t provide a proper correction since NON_HT_MODULATION and NON_HT_DUP_OFDM are not valid value of the FORMAT parameter. The addressed issue could be resolved by the resolution for CID 19143</w:t>
            </w:r>
            <w:r>
              <w:rPr>
                <w:rFonts w:asciiTheme="minorHAnsi" w:eastAsia="宋体" w:hAnsiTheme="minorHAnsi"/>
                <w:color w:val="000000"/>
                <w:sz w:val="16"/>
                <w:szCs w:val="16"/>
                <w:lang w:val="en-US" w:eastAsia="zh-CN"/>
              </w:rPr>
              <w:t>.</w:t>
            </w:r>
          </w:p>
          <w:p w:rsidR="00DE2062" w:rsidRDefault="00DE2062" w:rsidP="00DE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54159" w:rsidRDefault="00DE2062" w:rsidP="000B655B">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Please implement the proposed modification </w:t>
            </w:r>
            <w:r w:rsidR="000B655B">
              <w:rPr>
                <w:rFonts w:asciiTheme="minorHAnsi" w:eastAsia="宋体" w:hAnsiTheme="minorHAnsi"/>
                <w:color w:val="000000"/>
                <w:sz w:val="16"/>
                <w:szCs w:val="16"/>
                <w:lang w:val="en-US" w:eastAsia="zh-CN"/>
              </w:rPr>
              <w:t xml:space="preserve">as the resolution to CID 19143. </w:t>
            </w:r>
          </w:p>
        </w:tc>
      </w:tr>
    </w:tbl>
    <w:p w:rsidR="00C57B87" w:rsidRPr="00C57B87" w:rsidRDefault="00C57B87">
      <w:pPr>
        <w:rPr>
          <w:b/>
          <w:color w:val="000000"/>
          <w:sz w:val="28"/>
          <w:lang w:eastAsia="ko-KR"/>
        </w:rPr>
      </w:pPr>
    </w:p>
    <w:p w:rsidR="00C57B87" w:rsidRDefault="00C57B87">
      <w:pPr>
        <w:autoSpaceDE w:val="0"/>
        <w:autoSpaceDN w:val="0"/>
        <w:adjustRightInd w:val="0"/>
        <w:jc w:val="both"/>
        <w:rPr>
          <w:b/>
          <w:color w:val="000000"/>
          <w:sz w:val="28"/>
          <w:lang w:val="en-US" w:eastAsia="ko-KR"/>
        </w:rPr>
      </w:pPr>
    </w:p>
    <w:p w:rsidR="00C57B87" w:rsidRDefault="00C57B87">
      <w:pPr>
        <w:autoSpaceDE w:val="0"/>
        <w:autoSpaceDN w:val="0"/>
        <w:adjustRightInd w:val="0"/>
        <w:jc w:val="both"/>
        <w:rPr>
          <w:b/>
          <w:color w:val="000000"/>
          <w:sz w:val="28"/>
          <w:lang w:val="en-US" w:eastAsia="ko-KR"/>
        </w:rPr>
      </w:pPr>
    </w:p>
    <w:p w:rsidR="00C57B87" w:rsidRDefault="00C57B87">
      <w:pPr>
        <w:spacing w:after="0" w:line="240" w:lineRule="auto"/>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D4036E">
        <w:rPr>
          <w:b/>
          <w:color w:val="000000"/>
          <w:sz w:val="28"/>
          <w:lang w:val="en-US" w:eastAsia="ko-KR"/>
        </w:rPr>
        <w:t>4</w:t>
      </w:r>
      <w:r w:rsidR="002570D7">
        <w:rPr>
          <w:b/>
          <w:color w:val="000000"/>
          <w:sz w:val="28"/>
          <w:lang w:val="en-US" w:eastAsia="ko-KR"/>
        </w:rPr>
        <w:t>.0</w:t>
      </w:r>
      <w:r>
        <w:rPr>
          <w:b/>
          <w:color w:val="000000"/>
          <w:sz w:val="28"/>
          <w:lang w:val="en-US" w:eastAsia="ko-KR"/>
        </w:rPr>
        <w:t xml:space="preserve">, </w:t>
      </w:r>
      <w:r w:rsidR="00D4036E">
        <w:rPr>
          <w:b/>
          <w:color w:val="000000"/>
          <w:sz w:val="28"/>
          <w:lang w:val="en-US" w:eastAsia="ko-KR"/>
        </w:rPr>
        <w:t>Jul</w:t>
      </w:r>
      <w:r>
        <w:rPr>
          <w:b/>
          <w:color w:val="000000"/>
          <w:sz w:val="28"/>
          <w:lang w:val="en-US" w:eastAsia="ko-KR"/>
        </w:rPr>
        <w:t xml:space="preserve"> 20</w:t>
      </w:r>
      <w:r>
        <w:rPr>
          <w:rFonts w:eastAsia="宋体" w:hint="eastAsia"/>
          <w:b/>
          <w:color w:val="000000"/>
          <w:sz w:val="28"/>
          <w:lang w:val="en-US" w:eastAsia="zh-CN"/>
        </w:rPr>
        <w:t>2</w:t>
      </w:r>
      <w:r w:rsidR="005F2F74">
        <w:rPr>
          <w:rFonts w:eastAsia="宋体"/>
          <w:b/>
          <w:color w:val="000000"/>
          <w:sz w:val="28"/>
          <w:lang w:val="en-US" w:eastAsia="zh-CN"/>
        </w:rPr>
        <w:t>3</w:t>
      </w:r>
      <w:r>
        <w:rPr>
          <w:b/>
          <w:color w:val="000000"/>
          <w:sz w:val="28"/>
          <w:lang w:val="en-US" w:eastAsia="ko-KR"/>
        </w:rPr>
        <w:t>.</w:t>
      </w:r>
    </w:p>
    <w:sectPr w:rsidR="008C7BE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80" w:rsidRDefault="00483F80">
      <w:pPr>
        <w:spacing w:line="240" w:lineRule="auto"/>
      </w:pPr>
      <w:r>
        <w:separator/>
      </w:r>
    </w:p>
  </w:endnote>
  <w:endnote w:type="continuationSeparator" w:id="0">
    <w:p w:rsidR="00483F80" w:rsidRDefault="00483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87" w:rsidRDefault="007F7A68">
    <w:pPr>
      <w:pStyle w:val="a8"/>
      <w:tabs>
        <w:tab w:val="clear" w:pos="6480"/>
        <w:tab w:val="center" w:pos="4680"/>
        <w:tab w:val="right" w:pos="9360"/>
      </w:tabs>
    </w:pPr>
    <w:fldSimple w:instr=" SUBJECT  \* MERGEFORMAT ">
      <w:r w:rsidR="00C57B87">
        <w:t>Submission</w:t>
      </w:r>
    </w:fldSimple>
    <w:r w:rsidR="00C57B87">
      <w:tab/>
      <w:t xml:space="preserve">page </w:t>
    </w:r>
    <w:r w:rsidR="00C57B87">
      <w:fldChar w:fldCharType="begin"/>
    </w:r>
    <w:r w:rsidR="00C57B87">
      <w:instrText xml:space="preserve">page </w:instrText>
    </w:r>
    <w:r w:rsidR="00C57B87">
      <w:fldChar w:fldCharType="separate"/>
    </w:r>
    <w:r w:rsidR="007F23BA">
      <w:rPr>
        <w:noProof/>
      </w:rPr>
      <w:t>5</w:t>
    </w:r>
    <w:r w:rsidR="00C57B87">
      <w:fldChar w:fldCharType="end"/>
    </w:r>
    <w:r w:rsidR="00C57B87">
      <w:tab/>
    </w:r>
    <w:r w:rsidR="00C57B87">
      <w:rPr>
        <w:rFonts w:eastAsia="宋体" w:hint="eastAsia"/>
        <w:lang w:eastAsia="zh-CN"/>
      </w:rPr>
      <w:t>Bo Sun</w:t>
    </w:r>
    <w:r w:rsidR="00C57B87">
      <w:rPr>
        <w:lang w:eastAsia="ko-KR"/>
      </w:rPr>
      <w:t xml:space="preserve"> (</w:t>
    </w:r>
    <w:proofErr w:type="spellStart"/>
    <w:r w:rsidR="00C57B87">
      <w:rPr>
        <w:lang w:eastAsia="ko-KR"/>
      </w:rPr>
      <w:t>Sanechips</w:t>
    </w:r>
    <w:proofErr w:type="spellEnd"/>
    <w:r w:rsidR="00C57B87">
      <w:rPr>
        <w:lang w:eastAsia="ko-KR"/>
      </w:rPr>
      <w:t>)</w:t>
    </w:r>
  </w:p>
  <w:p w:rsidR="00C57B87" w:rsidRDefault="00C57B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80" w:rsidRDefault="00483F80">
      <w:pPr>
        <w:spacing w:after="0" w:line="240" w:lineRule="auto"/>
      </w:pPr>
      <w:r>
        <w:separator/>
      </w:r>
    </w:p>
  </w:footnote>
  <w:footnote w:type="continuationSeparator" w:id="0">
    <w:p w:rsidR="00483F80" w:rsidRDefault="0048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87" w:rsidRDefault="00C57B87">
    <w:pPr>
      <w:pStyle w:val="a9"/>
      <w:tabs>
        <w:tab w:val="clear" w:pos="6480"/>
        <w:tab w:val="center" w:pos="4680"/>
        <w:tab w:val="right" w:pos="9360"/>
      </w:tabs>
    </w:pPr>
    <w:r>
      <w:rPr>
        <w:rFonts w:eastAsia="宋体" w:hint="eastAsia"/>
        <w:lang w:val="en-US" w:eastAsia="zh-CN"/>
      </w:rPr>
      <w:t>Sep</w:t>
    </w:r>
    <w:r>
      <w:rPr>
        <w:rFonts w:eastAsia="宋体"/>
        <w:lang w:val="en-US" w:eastAsia="zh-CN"/>
      </w:rPr>
      <w:t xml:space="preserve"> 2023</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3</w:t>
      </w:r>
      <w:r>
        <w:t>/</w:t>
      </w:r>
      <w:r w:rsidR="00FD0A0C">
        <w:t>1571</w:t>
      </w:r>
    </w:fldSimple>
    <w:r>
      <w:t>r</w:t>
    </w:r>
    <w:r w:rsidR="00C073E6">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0FB6"/>
    <w:multiLevelType w:val="hybridMultilevel"/>
    <w:tmpl w:val="F45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4" w15:restartNumberingAfterBreak="0">
    <w:nsid w:val="48245DBA"/>
    <w:multiLevelType w:val="hybridMultilevel"/>
    <w:tmpl w:val="D79279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485444"/>
    <w:multiLevelType w:val="hybridMultilevel"/>
    <w:tmpl w:val="AF0E50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1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Indent"/>
    <w:basedOn w:val="a"/>
    <w:qFormat/>
    <w:pPr>
      <w:ind w:left="720" w:hanging="720"/>
    </w:pPr>
  </w:style>
  <w:style w:type="paragraph" w:styleId="a6">
    <w:name w:val="Balloon Text"/>
    <w:basedOn w:val="a"/>
    <w:link w:val="a7"/>
    <w:qFormat/>
    <w:rPr>
      <w:rFonts w:ascii="Tahoma" w:hAnsi="Tahoma"/>
      <w:sz w:val="16"/>
      <w:szCs w:val="16"/>
    </w:rPr>
  </w:style>
  <w:style w:type="paragraph" w:styleId="a8">
    <w:name w:val="footer"/>
    <w:basedOn w:val="a"/>
    <w:qFormat/>
    <w:pPr>
      <w:pBdr>
        <w:top w:val="single" w:sz="6" w:space="1" w:color="auto"/>
      </w:pBdr>
      <w:tabs>
        <w:tab w:val="center" w:pos="6480"/>
        <w:tab w:val="right" w:pos="12960"/>
      </w:tabs>
    </w:pPr>
    <w:rPr>
      <w:sz w:val="24"/>
    </w:rPr>
  </w:style>
  <w:style w:type="paragraph" w:styleId="a9">
    <w:name w:val="header"/>
    <w:basedOn w:val="a"/>
    <w:qFormat/>
    <w:pPr>
      <w:pBdr>
        <w:bottom w:val="single" w:sz="6" w:space="2" w:color="auto"/>
      </w:pBdr>
      <w:tabs>
        <w:tab w:val="center" w:pos="6480"/>
        <w:tab w:val="right" w:pos="12960"/>
      </w:tabs>
    </w:pPr>
    <w:rPr>
      <w:b/>
      <w:sz w:val="28"/>
    </w:rPr>
  </w:style>
  <w:style w:type="paragraph" w:styleId="aa">
    <w:name w:val="Normal (Web)"/>
    <w:basedOn w:val="a"/>
    <w:uiPriority w:val="99"/>
    <w:unhideWhenUsed/>
    <w:qFormat/>
    <w:pPr>
      <w:spacing w:before="100" w:beforeAutospacing="1" w:after="100" w:afterAutospacing="1"/>
    </w:pPr>
    <w:rPr>
      <w:sz w:val="24"/>
      <w:szCs w:val="24"/>
      <w:lang w:val="en-US"/>
    </w:rPr>
  </w:style>
  <w:style w:type="paragraph" w:styleId="ab">
    <w:name w:val="annotation subject"/>
    <w:basedOn w:val="a3"/>
    <w:next w:val="a3"/>
    <w:link w:val="ac"/>
    <w:qFormat/>
    <w:pPr>
      <w:spacing w:after="0"/>
    </w:pPr>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qFormat/>
    <w:rPr>
      <w:b/>
      <w:bCs/>
    </w:rPr>
  </w:style>
  <w:style w:type="character" w:styleId="af">
    <w:name w:val="Hyperlink"/>
    <w:qFormat/>
    <w:rPr>
      <w:color w:val="0000FF"/>
      <w:u w:val="single"/>
    </w:rPr>
  </w:style>
  <w:style w:type="character" w:styleId="af0">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c">
    <w:name w:val="批注主题 字符"/>
    <w:link w:val="ab"/>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7">
    <w:name w:val="批注框文本 字符"/>
    <w:link w:val="a6"/>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1">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2">
    <w:name w:val="Body Text"/>
    <w:basedOn w:val="a"/>
    <w:link w:val="af3"/>
    <w:unhideWhenUsed/>
    <w:rsid w:val="00C610AB"/>
    <w:pPr>
      <w:spacing w:after="120"/>
    </w:pPr>
  </w:style>
  <w:style w:type="character" w:customStyle="1" w:styleId="af3">
    <w:name w:val="正文文本 字符"/>
    <w:basedOn w:val="a0"/>
    <w:link w:val="af2"/>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876158925">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675064657">
      <w:bodyDiv w:val="1"/>
      <w:marLeft w:val="0"/>
      <w:marRight w:val="0"/>
      <w:marTop w:val="0"/>
      <w:marBottom w:val="0"/>
      <w:divBdr>
        <w:top w:val="none" w:sz="0" w:space="0" w:color="auto"/>
        <w:left w:val="none" w:sz="0" w:space="0" w:color="auto"/>
        <w:bottom w:val="none" w:sz="0" w:space="0" w:color="auto"/>
        <w:right w:val="none" w:sz="0" w:space="0" w:color="auto"/>
      </w:divBdr>
    </w:div>
    <w:div w:id="1700355092">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08289008">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5F3087B1-A85B-4DD6-8FC5-2387D655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6906</Characters>
  <Application>Microsoft Office Word</Application>
  <DocSecurity>0</DocSecurity>
  <Lines>57</Lines>
  <Paragraphs>16</Paragraphs>
  <ScaleCrop>false</ScaleCrop>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2023-09-12T15:13:00Z</dcterms:created>
  <dcterms:modified xsi:type="dcterms:W3CDTF">2023-09-12T16:09:00Z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