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7E0F80F4" w:rsidR="00CA09B2" w:rsidRPr="00CF09FE" w:rsidRDefault="00DB091C">
            <w:pPr>
              <w:pStyle w:val="T2"/>
              <w:rPr>
                <w:lang w:val="en-US"/>
              </w:rPr>
            </w:pPr>
            <w:r w:rsidRPr="00CF09FE">
              <w:rPr>
                <w:lang w:val="en-US"/>
              </w:rPr>
              <w:t xml:space="preserve">Resolutions for </w:t>
            </w:r>
            <w:r w:rsidR="00DA15FC">
              <w:rPr>
                <w:lang w:val="en-US"/>
              </w:rPr>
              <w:t>SBP</w:t>
            </w:r>
            <w:r w:rsidR="0050735B">
              <w:rPr>
                <w:lang w:val="en-US"/>
              </w:rPr>
              <w:t xml:space="preserve"> Comments</w:t>
            </w:r>
            <w:r w:rsidRPr="00CF09FE">
              <w:rPr>
                <w:lang w:val="en-US"/>
              </w:rPr>
              <w:t xml:space="preserve"> in </w:t>
            </w:r>
            <w:r w:rsidR="00441B13">
              <w:rPr>
                <w:lang w:val="en-US"/>
              </w:rPr>
              <w:t>LB27</w:t>
            </w:r>
            <w:r w:rsidR="00CA55D6">
              <w:rPr>
                <w:lang w:val="en-US"/>
              </w:rPr>
              <w:t>6</w:t>
            </w:r>
          </w:p>
        </w:tc>
      </w:tr>
      <w:tr w:rsidR="00CA09B2" w:rsidRPr="00CF09FE" w14:paraId="4D274C0E" w14:textId="77777777" w:rsidTr="000F7435">
        <w:trPr>
          <w:trHeight w:val="359"/>
          <w:jc w:val="center"/>
        </w:trPr>
        <w:tc>
          <w:tcPr>
            <w:tcW w:w="9576" w:type="dxa"/>
            <w:gridSpan w:val="5"/>
            <w:vAlign w:val="center"/>
          </w:tcPr>
          <w:p w14:paraId="6DFAE4C5" w14:textId="2D8349E5"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523D0">
              <w:rPr>
                <w:b w:val="0"/>
                <w:sz w:val="20"/>
                <w:lang w:val="en-US"/>
              </w:rPr>
              <w:t>09</w:t>
            </w:r>
            <w:r w:rsidRPr="00CF09FE">
              <w:rPr>
                <w:b w:val="0"/>
                <w:sz w:val="20"/>
                <w:lang w:val="en-US"/>
              </w:rPr>
              <w:t>-</w:t>
            </w:r>
            <w:r w:rsidR="00DA15FC">
              <w:rPr>
                <w:b w:val="0"/>
                <w:sz w:val="20"/>
                <w:lang w:val="en-US"/>
              </w:rPr>
              <w:t>11</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7DD844F5"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DA15FC">
                              <w:t>SBP</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184B9D7F" w:rsidR="0093015E" w:rsidRDefault="0093015E" w:rsidP="003C21F6">
                            <w:pPr>
                              <w:jc w:val="both"/>
                            </w:pPr>
                            <w:r w:rsidRPr="0093015E">
                              <w:t xml:space="preserve">CIDs: </w:t>
                            </w:r>
                            <w:r w:rsidR="00961268">
                              <w:t>3306 3504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0DC0622" w14:textId="5352EA05" w:rsidR="00D976D3" w:rsidRDefault="00D976D3" w:rsidP="00E75DEE">
                            <w:pPr>
                              <w:jc w:val="both"/>
                              <w:rPr>
                                <w:color w:val="000000"/>
                                <w:szCs w:val="22"/>
                                <w:lang w:val="en-US"/>
                              </w:rPr>
                            </w:pPr>
                            <w:r>
                              <w:rPr>
                                <w:color w:val="000000"/>
                                <w:szCs w:val="22"/>
                                <w:lang w:val="en-US"/>
                              </w:rPr>
                              <w:t>R1: Format fix</w:t>
                            </w:r>
                          </w:p>
                          <w:p w14:paraId="5581BA3B" w14:textId="6C35A880" w:rsidR="00A654D7" w:rsidRDefault="00A654D7" w:rsidP="00E75DEE">
                            <w:pPr>
                              <w:jc w:val="both"/>
                              <w:rPr>
                                <w:color w:val="000000"/>
                                <w:szCs w:val="22"/>
                                <w:lang w:val="en-US"/>
                              </w:rPr>
                            </w:pPr>
                            <w:r>
                              <w:rPr>
                                <w:color w:val="000000"/>
                                <w:szCs w:val="22"/>
                                <w:lang w:val="en-US"/>
                              </w:rPr>
                              <w:t>R2: Revised the resolution to CID 3504 based on members’ feedback.</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7DD844F5"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DA15FC">
                        <w:t>SBP</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184B9D7F" w:rsidR="0093015E" w:rsidRDefault="0093015E" w:rsidP="003C21F6">
                      <w:pPr>
                        <w:jc w:val="both"/>
                      </w:pPr>
                      <w:r w:rsidRPr="0093015E">
                        <w:t xml:space="preserve">CIDs: </w:t>
                      </w:r>
                      <w:r w:rsidR="00961268">
                        <w:t>3306 3504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0DC0622" w14:textId="5352EA05" w:rsidR="00D976D3" w:rsidRDefault="00D976D3" w:rsidP="00E75DEE">
                      <w:pPr>
                        <w:jc w:val="both"/>
                        <w:rPr>
                          <w:color w:val="000000"/>
                          <w:szCs w:val="22"/>
                          <w:lang w:val="en-US"/>
                        </w:rPr>
                      </w:pPr>
                      <w:r>
                        <w:rPr>
                          <w:color w:val="000000"/>
                          <w:szCs w:val="22"/>
                          <w:lang w:val="en-US"/>
                        </w:rPr>
                        <w:t>R1: Format fix</w:t>
                      </w:r>
                    </w:p>
                    <w:p w14:paraId="5581BA3B" w14:textId="6C35A880" w:rsidR="00A654D7" w:rsidRDefault="00A654D7" w:rsidP="00E75DEE">
                      <w:pPr>
                        <w:jc w:val="both"/>
                        <w:rPr>
                          <w:color w:val="000000"/>
                          <w:szCs w:val="22"/>
                          <w:lang w:val="en-US"/>
                        </w:rPr>
                      </w:pPr>
                      <w:r>
                        <w:rPr>
                          <w:color w:val="000000"/>
                          <w:szCs w:val="22"/>
                          <w:lang w:val="en-US"/>
                        </w:rPr>
                        <w:t>R2: Revised the resolution to CID 3504 based on members’ feedback.</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772"/>
        <w:gridCol w:w="530"/>
        <w:gridCol w:w="2651"/>
        <w:gridCol w:w="2448"/>
        <w:gridCol w:w="2448"/>
      </w:tblGrid>
      <w:tr w:rsidR="00D976D3" w:rsidRPr="00B236C2" w14:paraId="431E890D" w14:textId="6F6C8E68" w:rsidTr="00D976D3">
        <w:trPr>
          <w:trHeight w:val="252"/>
        </w:trPr>
        <w:tc>
          <w:tcPr>
            <w:tcW w:w="483" w:type="dxa"/>
            <w:shd w:val="clear" w:color="auto" w:fill="auto"/>
          </w:tcPr>
          <w:p w14:paraId="38F266D1" w14:textId="77777777" w:rsidR="00D976D3" w:rsidRPr="00B236C2" w:rsidRDefault="00D976D3" w:rsidP="00AD6163">
            <w:pPr>
              <w:widowControl w:val="0"/>
              <w:suppressAutoHyphens/>
              <w:rPr>
                <w:b/>
                <w:szCs w:val="22"/>
                <w:lang w:val="en-US"/>
              </w:rPr>
            </w:pPr>
            <w:r w:rsidRPr="00B236C2">
              <w:rPr>
                <w:b/>
                <w:szCs w:val="22"/>
                <w:lang w:val="en-US"/>
              </w:rPr>
              <w:lastRenderedPageBreak/>
              <w:t>CID</w:t>
            </w:r>
          </w:p>
        </w:tc>
        <w:tc>
          <w:tcPr>
            <w:tcW w:w="772" w:type="dxa"/>
            <w:shd w:val="clear" w:color="auto" w:fill="auto"/>
          </w:tcPr>
          <w:p w14:paraId="465F4395" w14:textId="77777777" w:rsidR="00D976D3" w:rsidRPr="00B236C2" w:rsidRDefault="00D976D3" w:rsidP="00AD6163">
            <w:pPr>
              <w:widowControl w:val="0"/>
              <w:suppressAutoHyphens/>
              <w:rPr>
                <w:b/>
                <w:szCs w:val="22"/>
                <w:lang w:val="en-US"/>
              </w:rPr>
            </w:pPr>
            <w:r w:rsidRPr="00B236C2">
              <w:rPr>
                <w:b/>
                <w:szCs w:val="22"/>
                <w:lang w:val="en-US"/>
              </w:rPr>
              <w:t>Clause</w:t>
            </w:r>
          </w:p>
        </w:tc>
        <w:tc>
          <w:tcPr>
            <w:tcW w:w="530" w:type="dxa"/>
            <w:shd w:val="clear" w:color="auto" w:fill="auto"/>
          </w:tcPr>
          <w:p w14:paraId="4FB074EF" w14:textId="77777777" w:rsidR="00D976D3" w:rsidRPr="00B236C2" w:rsidRDefault="00D976D3" w:rsidP="00AD6163">
            <w:pPr>
              <w:widowControl w:val="0"/>
              <w:suppressAutoHyphens/>
              <w:rPr>
                <w:b/>
                <w:szCs w:val="22"/>
                <w:lang w:val="en-US"/>
              </w:rPr>
            </w:pPr>
            <w:r w:rsidRPr="00B236C2">
              <w:rPr>
                <w:b/>
                <w:szCs w:val="22"/>
                <w:lang w:val="en-US"/>
              </w:rPr>
              <w:t>Page</w:t>
            </w:r>
          </w:p>
        </w:tc>
        <w:tc>
          <w:tcPr>
            <w:tcW w:w="2651" w:type="dxa"/>
            <w:shd w:val="clear" w:color="auto" w:fill="auto"/>
          </w:tcPr>
          <w:p w14:paraId="3F82CB71" w14:textId="77777777" w:rsidR="00D976D3" w:rsidRPr="00B236C2" w:rsidRDefault="00D976D3" w:rsidP="00AD6163">
            <w:pPr>
              <w:widowControl w:val="0"/>
              <w:suppressAutoHyphens/>
              <w:rPr>
                <w:b/>
                <w:szCs w:val="22"/>
                <w:lang w:val="en-US"/>
              </w:rPr>
            </w:pPr>
            <w:r w:rsidRPr="00B236C2">
              <w:rPr>
                <w:b/>
                <w:szCs w:val="22"/>
                <w:lang w:val="en-US"/>
              </w:rPr>
              <w:t>Comment</w:t>
            </w:r>
          </w:p>
        </w:tc>
        <w:tc>
          <w:tcPr>
            <w:tcW w:w="2448" w:type="dxa"/>
            <w:shd w:val="clear" w:color="auto" w:fill="auto"/>
          </w:tcPr>
          <w:p w14:paraId="17C386FE" w14:textId="77777777" w:rsidR="00D976D3" w:rsidRPr="00B236C2" w:rsidRDefault="00D976D3" w:rsidP="00AD6163">
            <w:pPr>
              <w:widowControl w:val="0"/>
              <w:suppressAutoHyphens/>
              <w:rPr>
                <w:b/>
                <w:szCs w:val="22"/>
                <w:lang w:val="en-US"/>
              </w:rPr>
            </w:pPr>
            <w:r w:rsidRPr="00B236C2">
              <w:rPr>
                <w:b/>
                <w:szCs w:val="22"/>
                <w:lang w:val="en-US"/>
              </w:rPr>
              <w:t>Proposed change</w:t>
            </w:r>
          </w:p>
        </w:tc>
        <w:tc>
          <w:tcPr>
            <w:tcW w:w="2448" w:type="dxa"/>
          </w:tcPr>
          <w:p w14:paraId="32A01D39" w14:textId="100707BE" w:rsidR="00D976D3" w:rsidRPr="00B236C2" w:rsidRDefault="00D976D3" w:rsidP="00AD6163">
            <w:pPr>
              <w:widowControl w:val="0"/>
              <w:suppressAutoHyphens/>
              <w:rPr>
                <w:b/>
                <w:szCs w:val="22"/>
                <w:lang w:val="en-US"/>
              </w:rPr>
            </w:pPr>
            <w:r>
              <w:rPr>
                <w:b/>
                <w:szCs w:val="22"/>
                <w:lang w:val="en-US"/>
              </w:rPr>
              <w:t>Proposed resolution</w:t>
            </w:r>
          </w:p>
        </w:tc>
      </w:tr>
      <w:tr w:rsidR="00D976D3" w:rsidRPr="00831251" w14:paraId="152D9409" w14:textId="5932135B" w:rsidTr="00D976D3">
        <w:trPr>
          <w:trHeight w:val="1857"/>
        </w:trPr>
        <w:tc>
          <w:tcPr>
            <w:tcW w:w="483" w:type="dxa"/>
            <w:shd w:val="clear" w:color="auto" w:fill="auto"/>
          </w:tcPr>
          <w:p w14:paraId="057C9C35" w14:textId="18EB7F9C" w:rsidR="00D976D3" w:rsidRPr="00831251" w:rsidRDefault="00D976D3" w:rsidP="001D4F05">
            <w:pPr>
              <w:widowControl w:val="0"/>
              <w:suppressAutoHyphens/>
              <w:rPr>
                <w:szCs w:val="22"/>
                <w:lang w:val="en-US"/>
              </w:rPr>
            </w:pPr>
            <w:r>
              <w:rPr>
                <w:szCs w:val="22"/>
                <w:lang w:val="en-US"/>
              </w:rPr>
              <w:t>3306</w:t>
            </w:r>
          </w:p>
        </w:tc>
        <w:tc>
          <w:tcPr>
            <w:tcW w:w="772" w:type="dxa"/>
            <w:shd w:val="clear" w:color="auto" w:fill="auto"/>
          </w:tcPr>
          <w:p w14:paraId="1881409F" w14:textId="19D37511" w:rsidR="00D976D3" w:rsidRPr="00831251" w:rsidRDefault="00D976D3" w:rsidP="001D4F05">
            <w:pPr>
              <w:widowControl w:val="0"/>
              <w:suppressAutoHyphens/>
              <w:jc w:val="center"/>
              <w:rPr>
                <w:szCs w:val="22"/>
                <w:lang w:val="en-US"/>
              </w:rPr>
            </w:pPr>
            <w:r>
              <w:rPr>
                <w:rFonts w:ascii="Arial" w:hAnsi="Arial" w:cs="Arial"/>
                <w:sz w:val="20"/>
              </w:rPr>
              <w:t>9.4.2.322</w:t>
            </w:r>
          </w:p>
        </w:tc>
        <w:tc>
          <w:tcPr>
            <w:tcW w:w="530" w:type="dxa"/>
            <w:shd w:val="clear" w:color="auto" w:fill="auto"/>
          </w:tcPr>
          <w:p w14:paraId="3198E369" w14:textId="71C5305A" w:rsidR="00D976D3" w:rsidRPr="00831251" w:rsidRDefault="00D976D3" w:rsidP="001D4F05">
            <w:pPr>
              <w:widowControl w:val="0"/>
              <w:suppressAutoHyphens/>
              <w:rPr>
                <w:szCs w:val="22"/>
                <w:lang w:val="en-US"/>
              </w:rPr>
            </w:pPr>
            <w:r>
              <w:rPr>
                <w:rFonts w:ascii="Arial" w:hAnsi="Arial" w:cs="Arial"/>
                <w:sz w:val="20"/>
              </w:rPr>
              <w:t>78.61</w:t>
            </w:r>
          </w:p>
        </w:tc>
        <w:tc>
          <w:tcPr>
            <w:tcW w:w="2651" w:type="dxa"/>
            <w:shd w:val="clear" w:color="auto" w:fill="auto"/>
          </w:tcPr>
          <w:p w14:paraId="51591034" w14:textId="7CD81EFB" w:rsidR="00D976D3" w:rsidRPr="00831251" w:rsidRDefault="00D976D3" w:rsidP="001D4F05">
            <w:pPr>
              <w:widowControl w:val="0"/>
              <w:suppressAutoHyphens/>
              <w:rPr>
                <w:szCs w:val="22"/>
                <w:lang w:val="en-US"/>
              </w:rPr>
            </w:pPr>
            <w:r>
              <w:rPr>
                <w:rFonts w:ascii="Arial" w:hAnsi="Arial" w:cs="Arial"/>
                <w:sz w:val="20"/>
              </w:rPr>
              <w:t xml:space="preserve">The Sensing Responder field should be changed to 2 bits. There are 3 possible cases: SBP initiator demand to be a responder (meaning Yes); SBP </w:t>
            </w:r>
            <w:proofErr w:type="spellStart"/>
            <w:r>
              <w:rPr>
                <w:rFonts w:ascii="Arial" w:hAnsi="Arial" w:cs="Arial"/>
                <w:sz w:val="20"/>
              </w:rPr>
              <w:t>initiatior</w:t>
            </w:r>
            <w:proofErr w:type="spellEnd"/>
            <w:r>
              <w:rPr>
                <w:rFonts w:ascii="Arial" w:hAnsi="Arial" w:cs="Arial"/>
                <w:sz w:val="20"/>
              </w:rPr>
              <w:t xml:space="preserve"> demand not to be a responder (meaning No); SBP initiator does not mind and AP is free to use it or not. (Meaning Abstain).</w:t>
            </w:r>
          </w:p>
        </w:tc>
        <w:tc>
          <w:tcPr>
            <w:tcW w:w="2448" w:type="dxa"/>
            <w:shd w:val="clear" w:color="auto" w:fill="auto"/>
          </w:tcPr>
          <w:p w14:paraId="60CF8BA8" w14:textId="36958E4D" w:rsidR="00D976D3" w:rsidRPr="00831251" w:rsidRDefault="00D976D3" w:rsidP="001D4F05">
            <w:pPr>
              <w:widowControl w:val="0"/>
              <w:suppressAutoHyphens/>
              <w:rPr>
                <w:szCs w:val="22"/>
                <w:lang w:val="en-US"/>
              </w:rPr>
            </w:pPr>
            <w:r>
              <w:rPr>
                <w:rFonts w:ascii="Arial" w:hAnsi="Arial" w:cs="Arial"/>
                <w:sz w:val="20"/>
              </w:rPr>
              <w:t>Change Sensing Responder field to 2 bits and cover the cases as commented. Also add normative text in P162L5.</w:t>
            </w:r>
          </w:p>
        </w:tc>
        <w:tc>
          <w:tcPr>
            <w:tcW w:w="2448" w:type="dxa"/>
          </w:tcPr>
          <w:p w14:paraId="711D8025" w14:textId="684DFD36" w:rsidR="00D976D3" w:rsidRDefault="00D976D3" w:rsidP="001D4F05">
            <w:pPr>
              <w:widowControl w:val="0"/>
              <w:suppressAutoHyphens/>
              <w:rPr>
                <w:rFonts w:ascii="Arial" w:hAnsi="Arial" w:cs="Arial"/>
                <w:sz w:val="20"/>
              </w:rPr>
            </w:pPr>
            <w:r>
              <w:rPr>
                <w:rFonts w:ascii="Arial" w:hAnsi="Arial" w:cs="Arial"/>
                <w:sz w:val="20"/>
              </w:rPr>
              <w:t>Rejected. See reason below in &lt;DCN1559r</w:t>
            </w:r>
            <w:r w:rsidR="00555C0D">
              <w:rPr>
                <w:rFonts w:ascii="Arial" w:hAnsi="Arial" w:cs="Arial"/>
                <w:sz w:val="20"/>
              </w:rPr>
              <w:t>2</w:t>
            </w:r>
            <w:r>
              <w:rPr>
                <w:rFonts w:ascii="Arial" w:hAnsi="Arial" w:cs="Arial"/>
                <w:sz w:val="20"/>
              </w:rPr>
              <w:t>&gt;.</w:t>
            </w:r>
          </w:p>
        </w:tc>
      </w:tr>
    </w:tbl>
    <w:p w14:paraId="1F2CD146" w14:textId="15653403" w:rsidR="00F45E05" w:rsidRDefault="00F45E05" w:rsidP="009B1D1B"/>
    <w:p w14:paraId="4BCFD405" w14:textId="77777777" w:rsidR="00E61069" w:rsidRDefault="00E61069" w:rsidP="00E61069">
      <w:pPr>
        <w:rPr>
          <w:szCs w:val="22"/>
          <w:lang w:val="en-US"/>
        </w:rPr>
      </w:pPr>
      <w:r w:rsidRPr="00CF09FE">
        <w:rPr>
          <w:b/>
          <w:szCs w:val="22"/>
          <w:lang w:val="en-US"/>
        </w:rPr>
        <w:t>Proposed resolution</w:t>
      </w:r>
      <w:r w:rsidRPr="00CF09FE">
        <w:rPr>
          <w:szCs w:val="22"/>
          <w:lang w:val="en-US"/>
        </w:rPr>
        <w:t xml:space="preserve">: </w:t>
      </w:r>
      <w:r>
        <w:rPr>
          <w:rFonts w:hint="eastAsia"/>
          <w:szCs w:val="22"/>
          <w:lang w:val="en-US" w:eastAsia="zh-CN"/>
        </w:rPr>
        <w:t>R</w:t>
      </w:r>
      <w:r>
        <w:rPr>
          <w:szCs w:val="22"/>
          <w:lang w:val="en-US"/>
        </w:rPr>
        <w:t>e</w:t>
      </w:r>
      <w:r>
        <w:rPr>
          <w:szCs w:val="22"/>
          <w:lang w:val="en-US" w:eastAsia="zh-CN"/>
        </w:rPr>
        <w:t>jected.</w:t>
      </w:r>
    </w:p>
    <w:p w14:paraId="7F05A226" w14:textId="77777777" w:rsidR="00E61069" w:rsidRDefault="00E61069" w:rsidP="00E61069">
      <w:pPr>
        <w:rPr>
          <w:szCs w:val="22"/>
          <w:lang w:val="en-US"/>
        </w:rPr>
      </w:pPr>
    </w:p>
    <w:p w14:paraId="162A7FF2" w14:textId="7F123BF5" w:rsidR="00E61069" w:rsidRDefault="00E61069" w:rsidP="00E61069">
      <w:pPr>
        <w:rPr>
          <w:szCs w:val="22"/>
          <w:lang w:val="en-US"/>
        </w:rPr>
      </w:pPr>
      <w:r w:rsidRPr="00CF09FE">
        <w:rPr>
          <w:b/>
          <w:szCs w:val="22"/>
          <w:lang w:val="en-US"/>
        </w:rPr>
        <w:t>Discussion</w:t>
      </w:r>
      <w:r w:rsidRPr="00CF09FE">
        <w:rPr>
          <w:szCs w:val="22"/>
          <w:lang w:val="en-US"/>
        </w:rPr>
        <w:t>:</w:t>
      </w:r>
      <w:r>
        <w:rPr>
          <w:szCs w:val="22"/>
          <w:lang w:val="en-US"/>
        </w:rPr>
        <w:t xml:space="preserve"> The contributor </w:t>
      </w:r>
      <w:proofErr w:type="spellStart"/>
      <w:r>
        <w:rPr>
          <w:szCs w:val="22"/>
          <w:lang w:val="en-US"/>
        </w:rPr>
        <w:t>failes</w:t>
      </w:r>
      <w:proofErr w:type="spellEnd"/>
      <w:r>
        <w:rPr>
          <w:szCs w:val="22"/>
          <w:lang w:val="en-US"/>
        </w:rPr>
        <w:t xml:space="preserve"> to understand why we need to define an abstain option for the SBP initiator to indicate to the AP in terms of its intention to become a sensing responder or not. The contributor thinks as an SBP initiator, the decision of whether to become a sensing responder should be clear to the SBP initiator itself, so the contributor does not agree with defining an </w:t>
      </w:r>
      <w:proofErr w:type="spellStart"/>
      <w:r>
        <w:rPr>
          <w:szCs w:val="22"/>
          <w:lang w:val="en-US"/>
        </w:rPr>
        <w:t>Absatin</w:t>
      </w:r>
      <w:proofErr w:type="spellEnd"/>
      <w:r>
        <w:rPr>
          <w:szCs w:val="22"/>
          <w:lang w:val="en-US"/>
        </w:rPr>
        <w:t xml:space="preserve"> option for the SBP initiator.</w:t>
      </w:r>
    </w:p>
    <w:p w14:paraId="38216EFC" w14:textId="77777777" w:rsidR="00124489" w:rsidRDefault="00124489" w:rsidP="00A77290">
      <w:pPr>
        <w:rPr>
          <w:szCs w:val="22"/>
          <w:lang w:val="en-US"/>
        </w:rPr>
      </w:pPr>
    </w:p>
    <w:p w14:paraId="5B22C2F6" w14:textId="77777777" w:rsidR="00F71C00" w:rsidRPr="00532E0B" w:rsidRDefault="00F71C00" w:rsidP="00F71C00">
      <w:pPr>
        <w:rPr>
          <w:bCs/>
          <w:szCs w:val="22"/>
          <w:lang w:val="en-US"/>
        </w:rPr>
      </w:pPr>
    </w:p>
    <w:p w14:paraId="7AB158D2" w14:textId="77777777" w:rsidR="00484C0D" w:rsidRPr="002202F5" w:rsidRDefault="00484C0D" w:rsidP="002202F5">
      <w:pPr>
        <w:rPr>
          <w:szCs w:val="22"/>
          <w:lang w:val="en-US"/>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953"/>
        <w:gridCol w:w="575"/>
        <w:gridCol w:w="2141"/>
        <w:gridCol w:w="2505"/>
        <w:gridCol w:w="2681"/>
      </w:tblGrid>
      <w:tr w:rsidR="00D976D3" w:rsidRPr="00CF09FE" w14:paraId="7677BE42" w14:textId="31BDDDBA" w:rsidTr="00EF471D">
        <w:trPr>
          <w:trHeight w:val="250"/>
        </w:trPr>
        <w:tc>
          <w:tcPr>
            <w:tcW w:w="466" w:type="dxa"/>
            <w:shd w:val="clear" w:color="auto" w:fill="auto"/>
          </w:tcPr>
          <w:p w14:paraId="35B03D6D" w14:textId="77777777" w:rsidR="00D976D3" w:rsidRPr="00B236C2" w:rsidRDefault="00D976D3" w:rsidP="00605636">
            <w:pPr>
              <w:widowControl w:val="0"/>
              <w:suppressAutoHyphens/>
              <w:rPr>
                <w:b/>
                <w:szCs w:val="22"/>
                <w:lang w:val="en-US"/>
              </w:rPr>
            </w:pPr>
            <w:r w:rsidRPr="00B236C2">
              <w:rPr>
                <w:b/>
                <w:szCs w:val="22"/>
                <w:lang w:val="en-US"/>
              </w:rPr>
              <w:t>CID</w:t>
            </w:r>
          </w:p>
        </w:tc>
        <w:tc>
          <w:tcPr>
            <w:tcW w:w="953" w:type="dxa"/>
            <w:shd w:val="clear" w:color="auto" w:fill="auto"/>
          </w:tcPr>
          <w:p w14:paraId="45314D7F" w14:textId="77777777" w:rsidR="00D976D3" w:rsidRPr="00B236C2" w:rsidRDefault="00D976D3" w:rsidP="00605636">
            <w:pPr>
              <w:widowControl w:val="0"/>
              <w:suppressAutoHyphens/>
              <w:rPr>
                <w:b/>
                <w:szCs w:val="22"/>
                <w:lang w:val="en-US"/>
              </w:rPr>
            </w:pPr>
            <w:r w:rsidRPr="00B236C2">
              <w:rPr>
                <w:b/>
                <w:szCs w:val="22"/>
                <w:lang w:val="en-US"/>
              </w:rPr>
              <w:t>Clause</w:t>
            </w:r>
          </w:p>
        </w:tc>
        <w:tc>
          <w:tcPr>
            <w:tcW w:w="575" w:type="dxa"/>
            <w:shd w:val="clear" w:color="auto" w:fill="auto"/>
          </w:tcPr>
          <w:p w14:paraId="0F76E53F" w14:textId="77777777" w:rsidR="00D976D3" w:rsidRPr="00B236C2" w:rsidRDefault="00D976D3" w:rsidP="00605636">
            <w:pPr>
              <w:widowControl w:val="0"/>
              <w:suppressAutoHyphens/>
              <w:rPr>
                <w:b/>
                <w:szCs w:val="22"/>
                <w:lang w:val="en-US"/>
              </w:rPr>
            </w:pPr>
            <w:r w:rsidRPr="00B236C2">
              <w:rPr>
                <w:b/>
                <w:szCs w:val="22"/>
                <w:lang w:val="en-US"/>
              </w:rPr>
              <w:t>Page</w:t>
            </w:r>
          </w:p>
        </w:tc>
        <w:tc>
          <w:tcPr>
            <w:tcW w:w="2141" w:type="dxa"/>
            <w:shd w:val="clear" w:color="auto" w:fill="auto"/>
          </w:tcPr>
          <w:p w14:paraId="5F4548C6" w14:textId="77777777" w:rsidR="00D976D3" w:rsidRPr="00B236C2" w:rsidRDefault="00D976D3" w:rsidP="00605636">
            <w:pPr>
              <w:widowControl w:val="0"/>
              <w:suppressAutoHyphens/>
              <w:rPr>
                <w:b/>
                <w:szCs w:val="22"/>
                <w:lang w:val="en-US"/>
              </w:rPr>
            </w:pPr>
            <w:r w:rsidRPr="00B236C2">
              <w:rPr>
                <w:b/>
                <w:szCs w:val="22"/>
                <w:lang w:val="en-US"/>
              </w:rPr>
              <w:t>Comment</w:t>
            </w:r>
          </w:p>
        </w:tc>
        <w:tc>
          <w:tcPr>
            <w:tcW w:w="2505" w:type="dxa"/>
            <w:shd w:val="clear" w:color="auto" w:fill="auto"/>
          </w:tcPr>
          <w:p w14:paraId="0005B830" w14:textId="77777777" w:rsidR="00D976D3" w:rsidRPr="00B236C2" w:rsidRDefault="00D976D3" w:rsidP="00605636">
            <w:pPr>
              <w:widowControl w:val="0"/>
              <w:suppressAutoHyphens/>
              <w:rPr>
                <w:b/>
                <w:szCs w:val="22"/>
                <w:lang w:val="en-US"/>
              </w:rPr>
            </w:pPr>
            <w:r w:rsidRPr="00B236C2">
              <w:rPr>
                <w:b/>
                <w:szCs w:val="22"/>
                <w:lang w:val="en-US"/>
              </w:rPr>
              <w:t>Proposed change</w:t>
            </w:r>
          </w:p>
        </w:tc>
        <w:tc>
          <w:tcPr>
            <w:tcW w:w="2681" w:type="dxa"/>
          </w:tcPr>
          <w:p w14:paraId="5BEFF0F4" w14:textId="26C518F6" w:rsidR="00D976D3" w:rsidRPr="00B236C2" w:rsidRDefault="00D976D3" w:rsidP="00605636">
            <w:pPr>
              <w:widowControl w:val="0"/>
              <w:suppressAutoHyphens/>
              <w:rPr>
                <w:b/>
                <w:szCs w:val="22"/>
                <w:lang w:val="en-US"/>
              </w:rPr>
            </w:pPr>
            <w:r>
              <w:rPr>
                <w:b/>
                <w:szCs w:val="22"/>
                <w:lang w:val="en-US"/>
              </w:rPr>
              <w:t>Proposed resolution</w:t>
            </w:r>
          </w:p>
        </w:tc>
      </w:tr>
      <w:tr w:rsidR="00D976D3" w:rsidRPr="00CF09FE" w14:paraId="2032E8B7" w14:textId="4A464CD7" w:rsidTr="00EF471D">
        <w:trPr>
          <w:trHeight w:val="5069"/>
        </w:trPr>
        <w:tc>
          <w:tcPr>
            <w:tcW w:w="466" w:type="dxa"/>
            <w:shd w:val="clear" w:color="auto" w:fill="auto"/>
          </w:tcPr>
          <w:p w14:paraId="6ACAEC5A" w14:textId="2FC42B02" w:rsidR="00D976D3" w:rsidRPr="00831251" w:rsidRDefault="00D976D3" w:rsidP="00E61069">
            <w:pPr>
              <w:widowControl w:val="0"/>
              <w:suppressAutoHyphens/>
              <w:rPr>
                <w:szCs w:val="22"/>
                <w:lang w:val="en-US"/>
              </w:rPr>
            </w:pPr>
            <w:r>
              <w:rPr>
                <w:szCs w:val="22"/>
                <w:lang w:val="en-US"/>
              </w:rPr>
              <w:t>3504</w:t>
            </w:r>
          </w:p>
        </w:tc>
        <w:tc>
          <w:tcPr>
            <w:tcW w:w="953" w:type="dxa"/>
            <w:shd w:val="clear" w:color="auto" w:fill="auto"/>
          </w:tcPr>
          <w:p w14:paraId="05DA2293" w14:textId="46DD6B94" w:rsidR="00D976D3" w:rsidRPr="00831251" w:rsidRDefault="00D976D3" w:rsidP="00E61069">
            <w:pPr>
              <w:widowControl w:val="0"/>
              <w:suppressAutoHyphens/>
              <w:jc w:val="center"/>
              <w:rPr>
                <w:szCs w:val="22"/>
                <w:lang w:val="en-US"/>
              </w:rPr>
            </w:pPr>
            <w:r w:rsidRPr="00B77006">
              <w:rPr>
                <w:rFonts w:ascii="Arial" w:hAnsi="Arial" w:cs="Arial"/>
                <w:sz w:val="20"/>
              </w:rPr>
              <w:t>11.55.</w:t>
            </w:r>
            <w:r>
              <w:rPr>
                <w:rFonts w:ascii="Arial" w:hAnsi="Arial" w:cs="Arial"/>
                <w:sz w:val="20"/>
              </w:rPr>
              <w:t>2.4</w:t>
            </w:r>
          </w:p>
        </w:tc>
        <w:tc>
          <w:tcPr>
            <w:tcW w:w="575" w:type="dxa"/>
            <w:shd w:val="clear" w:color="auto" w:fill="auto"/>
          </w:tcPr>
          <w:p w14:paraId="1C6D07D8" w14:textId="2EC75B32" w:rsidR="00D976D3" w:rsidRPr="00831251" w:rsidRDefault="00D976D3" w:rsidP="00E61069">
            <w:pPr>
              <w:widowControl w:val="0"/>
              <w:suppressAutoHyphens/>
              <w:rPr>
                <w:szCs w:val="22"/>
                <w:lang w:val="en-US"/>
              </w:rPr>
            </w:pPr>
            <w:r>
              <w:rPr>
                <w:rFonts w:ascii="Arial" w:hAnsi="Arial" w:cs="Arial"/>
                <w:sz w:val="20"/>
              </w:rPr>
              <w:t>165.57</w:t>
            </w:r>
          </w:p>
        </w:tc>
        <w:tc>
          <w:tcPr>
            <w:tcW w:w="2141" w:type="dxa"/>
            <w:shd w:val="clear" w:color="auto" w:fill="auto"/>
          </w:tcPr>
          <w:p w14:paraId="1DD2A3EA" w14:textId="17CF1DF3" w:rsidR="00D976D3" w:rsidRPr="00831251" w:rsidRDefault="00D976D3" w:rsidP="00E61069">
            <w:pPr>
              <w:widowControl w:val="0"/>
              <w:suppressAutoHyphens/>
              <w:rPr>
                <w:szCs w:val="22"/>
                <w:lang w:val="en-US"/>
              </w:rPr>
            </w:pPr>
            <w:r>
              <w:rPr>
                <w:rFonts w:ascii="Arial" w:hAnsi="Arial" w:cs="Arial"/>
                <w:sz w:val="20"/>
              </w:rPr>
              <w:t xml:space="preserve">When SBP initiator is also the sensing responder, there are two procedures between SBP initiator (STA) and SBP responder (AP): SBP procedure and sensing session. If SBP </w:t>
            </w:r>
            <w:proofErr w:type="spellStart"/>
            <w:r>
              <w:rPr>
                <w:rFonts w:ascii="Arial" w:hAnsi="Arial" w:cs="Arial"/>
                <w:sz w:val="20"/>
              </w:rPr>
              <w:t>intiator</w:t>
            </w:r>
            <w:proofErr w:type="spellEnd"/>
            <w:r>
              <w:rPr>
                <w:rFonts w:ascii="Arial" w:hAnsi="Arial" w:cs="Arial"/>
                <w:sz w:val="20"/>
              </w:rPr>
              <w:t xml:space="preserve"> or SBP responder wants to terminate a SBP procedure and the corresponding sensing session, it could send a SBP termination frame and the </w:t>
            </w:r>
            <w:proofErr w:type="spellStart"/>
            <w:r>
              <w:rPr>
                <w:rFonts w:ascii="Arial" w:hAnsi="Arial" w:cs="Arial"/>
                <w:sz w:val="20"/>
              </w:rPr>
              <w:t>recipent</w:t>
            </w:r>
            <w:proofErr w:type="spellEnd"/>
            <w:r>
              <w:rPr>
                <w:rFonts w:ascii="Arial" w:hAnsi="Arial" w:cs="Arial"/>
                <w:sz w:val="20"/>
              </w:rPr>
              <w:t xml:space="preserve"> device </w:t>
            </w:r>
            <w:proofErr w:type="spellStart"/>
            <w:r>
              <w:rPr>
                <w:rFonts w:ascii="Arial" w:hAnsi="Arial" w:cs="Arial"/>
                <w:sz w:val="20"/>
              </w:rPr>
              <w:t>termiante</w:t>
            </w:r>
            <w:proofErr w:type="spellEnd"/>
            <w:r>
              <w:rPr>
                <w:rFonts w:ascii="Arial" w:hAnsi="Arial" w:cs="Arial"/>
                <w:sz w:val="20"/>
              </w:rPr>
              <w:t xml:space="preserve"> the corresponding sensing session identified by the MSID in SBP termination frame. There is </w:t>
            </w:r>
            <w:proofErr w:type="spellStart"/>
            <w:r>
              <w:rPr>
                <w:rFonts w:ascii="Arial" w:hAnsi="Arial" w:cs="Arial"/>
                <w:sz w:val="20"/>
              </w:rPr>
              <w:t>not</w:t>
            </w:r>
            <w:proofErr w:type="spellEnd"/>
            <w:r>
              <w:rPr>
                <w:rFonts w:ascii="Arial" w:hAnsi="Arial" w:cs="Arial"/>
                <w:sz w:val="20"/>
              </w:rPr>
              <w:t xml:space="preserve"> need to send the Sensing Measurement Session Termination frame in this case.</w:t>
            </w:r>
          </w:p>
        </w:tc>
        <w:tc>
          <w:tcPr>
            <w:tcW w:w="2505" w:type="dxa"/>
            <w:shd w:val="clear" w:color="auto" w:fill="auto"/>
          </w:tcPr>
          <w:p w14:paraId="34E7158F" w14:textId="05CB8F77" w:rsidR="00D976D3" w:rsidRPr="00831251" w:rsidRDefault="00D976D3" w:rsidP="00E61069">
            <w:pPr>
              <w:widowControl w:val="0"/>
              <w:suppressAutoHyphens/>
              <w:rPr>
                <w:szCs w:val="22"/>
                <w:lang w:val="en-US"/>
              </w:rPr>
            </w:pPr>
            <w:r>
              <w:rPr>
                <w:rFonts w:ascii="Arial" w:hAnsi="Arial" w:cs="Arial"/>
                <w:sz w:val="20"/>
              </w:rPr>
              <w:t>Add normative text for this case if it is needed.</w:t>
            </w:r>
          </w:p>
        </w:tc>
        <w:tc>
          <w:tcPr>
            <w:tcW w:w="2681" w:type="dxa"/>
          </w:tcPr>
          <w:p w14:paraId="05FEAEB3" w14:textId="4BE327E4" w:rsidR="00D976D3" w:rsidRDefault="00D976D3" w:rsidP="00E61069">
            <w:pPr>
              <w:widowControl w:val="0"/>
              <w:suppressAutoHyphens/>
              <w:rPr>
                <w:rFonts w:ascii="Arial" w:hAnsi="Arial" w:cs="Arial"/>
                <w:sz w:val="20"/>
              </w:rPr>
            </w:pPr>
            <w:r>
              <w:rPr>
                <w:rFonts w:ascii="Arial" w:hAnsi="Arial" w:cs="Arial"/>
                <w:sz w:val="20"/>
              </w:rPr>
              <w:t>Revised. Added normative text for this scenario. See proposed text below in &lt;DCN1559r</w:t>
            </w:r>
            <w:r w:rsidR="00555C0D">
              <w:rPr>
                <w:rFonts w:ascii="Arial" w:hAnsi="Arial" w:cs="Arial"/>
                <w:sz w:val="20"/>
              </w:rPr>
              <w:t>2</w:t>
            </w:r>
            <w:r>
              <w:rPr>
                <w:rFonts w:ascii="Arial" w:hAnsi="Arial" w:cs="Arial"/>
                <w:sz w:val="20"/>
              </w:rPr>
              <w:t>&gt;.</w:t>
            </w:r>
          </w:p>
        </w:tc>
      </w:tr>
    </w:tbl>
    <w:p w14:paraId="5C167F2F" w14:textId="77777777" w:rsidR="00072071" w:rsidRPr="00CF09FE" w:rsidRDefault="00072071" w:rsidP="00072071">
      <w:pPr>
        <w:rPr>
          <w:szCs w:val="22"/>
          <w:lang w:val="en-US"/>
        </w:rPr>
      </w:pPr>
    </w:p>
    <w:p w14:paraId="661A0B95" w14:textId="65B84B29" w:rsidR="00072071" w:rsidRDefault="00072071" w:rsidP="00072071">
      <w:pPr>
        <w:rPr>
          <w:szCs w:val="22"/>
          <w:lang w:val="en-US"/>
        </w:rPr>
      </w:pPr>
      <w:r w:rsidRPr="00CF09FE">
        <w:rPr>
          <w:b/>
          <w:szCs w:val="22"/>
          <w:lang w:val="en-US"/>
        </w:rPr>
        <w:t>Proposed resolution</w:t>
      </w:r>
      <w:r w:rsidRPr="00CF09FE">
        <w:rPr>
          <w:szCs w:val="22"/>
          <w:lang w:val="en-US"/>
        </w:rPr>
        <w:t xml:space="preserve">: </w:t>
      </w:r>
      <w:r w:rsidR="00731E1B">
        <w:rPr>
          <w:rFonts w:hint="eastAsia"/>
          <w:szCs w:val="22"/>
          <w:lang w:val="en-US" w:eastAsia="zh-CN"/>
        </w:rPr>
        <w:t>R</w:t>
      </w:r>
      <w:r w:rsidR="00731E1B">
        <w:rPr>
          <w:szCs w:val="22"/>
          <w:lang w:val="en-US"/>
        </w:rPr>
        <w:t>e</w:t>
      </w:r>
      <w:r w:rsidR="00E61069">
        <w:rPr>
          <w:szCs w:val="22"/>
          <w:lang w:val="en-US" w:eastAsia="zh-CN"/>
        </w:rPr>
        <w:t>vis</w:t>
      </w:r>
      <w:r w:rsidR="00731E1B">
        <w:rPr>
          <w:szCs w:val="22"/>
          <w:lang w:val="en-US" w:eastAsia="zh-CN"/>
        </w:rPr>
        <w:t>ed.</w:t>
      </w:r>
    </w:p>
    <w:p w14:paraId="371F02FF" w14:textId="77777777" w:rsidR="00072071" w:rsidRDefault="00072071" w:rsidP="00072071">
      <w:pPr>
        <w:rPr>
          <w:szCs w:val="22"/>
          <w:lang w:val="en-US"/>
        </w:rPr>
      </w:pPr>
    </w:p>
    <w:p w14:paraId="0893B407" w14:textId="77CA4767" w:rsidR="00731E1B" w:rsidRDefault="00731E1B" w:rsidP="00731E1B">
      <w:pPr>
        <w:rPr>
          <w:szCs w:val="22"/>
          <w:lang w:val="en-US"/>
        </w:rPr>
      </w:pPr>
      <w:r w:rsidRPr="00CF09FE">
        <w:rPr>
          <w:b/>
          <w:szCs w:val="22"/>
          <w:lang w:val="en-US"/>
        </w:rPr>
        <w:t>Discussion</w:t>
      </w:r>
      <w:r w:rsidRPr="00CF09FE">
        <w:rPr>
          <w:szCs w:val="22"/>
          <w:lang w:val="en-US"/>
        </w:rPr>
        <w:t>:</w:t>
      </w:r>
      <w:r>
        <w:rPr>
          <w:szCs w:val="22"/>
          <w:lang w:val="en-US"/>
        </w:rPr>
        <w:t xml:space="preserve"> </w:t>
      </w:r>
      <w:r w:rsidR="00892173">
        <w:rPr>
          <w:szCs w:val="22"/>
          <w:lang w:val="en-US"/>
        </w:rPr>
        <w:t xml:space="preserve">When the SBP initiator is also a sensing responder and if the SBP procedure is terminated either by the SBP initiator or the SBP responder, it is indeed true that the SBP </w:t>
      </w:r>
      <w:proofErr w:type="spellStart"/>
      <w:r w:rsidR="00892173">
        <w:rPr>
          <w:szCs w:val="22"/>
          <w:lang w:val="en-US"/>
        </w:rPr>
        <w:t>iniator</w:t>
      </w:r>
      <w:proofErr w:type="spellEnd"/>
      <w:r w:rsidR="00892173">
        <w:rPr>
          <w:szCs w:val="22"/>
          <w:lang w:val="en-US"/>
        </w:rPr>
        <w:t xml:space="preserve"> should already clearly understand that the corresponding sensing measurement session between the SBP initiator and the SBP responder is also terminated. In this sense, the commenter is correct that in this case there is no need to send another Sensing Measurement Session Termination frame between the SBP initiator and the SBP responder,</w:t>
      </w:r>
    </w:p>
    <w:p w14:paraId="20EAB2BE" w14:textId="77777777" w:rsidR="00721FBD" w:rsidRDefault="00721FBD" w:rsidP="00731E1B">
      <w:pPr>
        <w:rPr>
          <w:szCs w:val="22"/>
          <w:lang w:val="en-US"/>
        </w:rPr>
      </w:pPr>
    </w:p>
    <w:p w14:paraId="67493D24" w14:textId="6E130844" w:rsidR="006E5B1F" w:rsidRPr="00D233B6" w:rsidRDefault="00D233B6" w:rsidP="00FE426D">
      <w:pPr>
        <w:rPr>
          <w:b/>
          <w:i/>
          <w:iCs/>
          <w:sz w:val="28"/>
          <w:u w:val="single"/>
          <w:lang w:val="en-US"/>
        </w:rPr>
      </w:pPr>
      <w:proofErr w:type="spellStart"/>
      <w:r>
        <w:rPr>
          <w:rFonts w:ascii="TimesNewRoman" w:eastAsia="TimesNewRoman" w:hAnsi="TimesNewRoman"/>
          <w:b/>
          <w:bCs/>
          <w:i/>
          <w:iCs/>
          <w:color w:val="000000"/>
          <w:sz w:val="20"/>
        </w:rPr>
        <w:t>TGbf</w:t>
      </w:r>
      <w:proofErr w:type="spellEnd"/>
      <w:r>
        <w:rPr>
          <w:rFonts w:ascii="TimesNewRoman" w:eastAsia="TimesNewRoman" w:hAnsi="TimesNewRoman"/>
          <w:b/>
          <w:bCs/>
          <w:i/>
          <w:iCs/>
          <w:color w:val="000000"/>
          <w:sz w:val="20"/>
        </w:rPr>
        <w:t xml:space="preserve"> editor, make the following changes in 11.55.2.4: </w:t>
      </w:r>
    </w:p>
    <w:p w14:paraId="34E05FB9" w14:textId="10FCB70C" w:rsidR="00D83CBF" w:rsidRDefault="005E3E77" w:rsidP="00A63232">
      <w:pPr>
        <w:rPr>
          <w:szCs w:val="22"/>
          <w:lang w:val="en-US"/>
        </w:rPr>
      </w:pPr>
      <w:r w:rsidRPr="005E3E77">
        <w:rPr>
          <w:szCs w:val="22"/>
          <w:lang w:val="en-US"/>
        </w:rPr>
        <w:t>If the SBP responder transmits an SBP Termination frame or receives an SBP Termination frame from the</w:t>
      </w:r>
      <w:r w:rsidRPr="005E3E77">
        <w:rPr>
          <w:szCs w:val="22"/>
          <w:lang w:val="en-US"/>
        </w:rPr>
        <w:cr/>
        <w:t>SBP initiator, or after the expiry of the SBP procedure expiry timer, the SBP responder should terminate corresponding sensing measurement session(s) with all the sensing responders</w:t>
      </w:r>
      <w:r w:rsidR="002F240F">
        <w:rPr>
          <w:color w:val="FF0000"/>
          <w:szCs w:val="22"/>
          <w:u w:val="single"/>
          <w:lang w:val="en-US"/>
        </w:rPr>
        <w:t>, except for the SBP initiator if the SBP initiator is also a sensing responder,</w:t>
      </w:r>
      <w:r w:rsidRPr="005E3E77">
        <w:rPr>
          <w:szCs w:val="22"/>
          <w:lang w:val="en-US"/>
        </w:rPr>
        <w:t xml:space="preserve"> identified by the Measurement Session ID(s) associated with the sensing procedure(s) triggered by the terminated SBP procedure(s).</w:t>
      </w:r>
    </w:p>
    <w:p w14:paraId="3E3C85B1" w14:textId="77777777" w:rsidR="00B03769" w:rsidRDefault="00B03769" w:rsidP="00A63232">
      <w:pPr>
        <w:rPr>
          <w:szCs w:val="22"/>
          <w:lang w:val="en-US"/>
        </w:rPr>
      </w:pPr>
    </w:p>
    <w:p w14:paraId="14EE5F6E" w14:textId="6D22DD38" w:rsidR="00B03769" w:rsidRPr="00B03769" w:rsidRDefault="00B03769" w:rsidP="00A63232">
      <w:pPr>
        <w:rPr>
          <w:color w:val="FF0000"/>
          <w:szCs w:val="22"/>
          <w:u w:val="single"/>
          <w:lang w:val="en-US"/>
        </w:rPr>
      </w:pPr>
      <w:r>
        <w:rPr>
          <w:color w:val="FF0000"/>
          <w:szCs w:val="22"/>
          <w:u w:val="single"/>
          <w:lang w:val="en-US"/>
        </w:rPr>
        <w:t>Note: If the SBP initiator is also a sensing responder</w:t>
      </w:r>
      <w:r w:rsidR="00FA40F2">
        <w:rPr>
          <w:color w:val="FF0000"/>
          <w:szCs w:val="22"/>
          <w:u w:val="single"/>
          <w:lang w:val="en-US"/>
        </w:rPr>
        <w:t xml:space="preserve"> for the sensing procedure</w:t>
      </w:r>
      <w:r w:rsidR="0061366C">
        <w:rPr>
          <w:color w:val="FF0000"/>
          <w:szCs w:val="22"/>
          <w:u w:val="single"/>
          <w:lang w:val="en-US"/>
        </w:rPr>
        <w:t xml:space="preserve"> </w:t>
      </w:r>
      <w:r w:rsidR="0061366C" w:rsidRPr="0061366C">
        <w:rPr>
          <w:color w:val="FF0000"/>
          <w:szCs w:val="22"/>
          <w:u w:val="single"/>
          <w:lang w:val="en-US"/>
        </w:rPr>
        <w:t>used by the SBP responder to satisfy the SBP request</w:t>
      </w:r>
      <w:r>
        <w:rPr>
          <w:color w:val="FF0000"/>
          <w:szCs w:val="22"/>
          <w:u w:val="single"/>
          <w:lang w:val="en-US"/>
        </w:rPr>
        <w:t xml:space="preserve">, the termination of the SBP procedure automatically indicates the termination of the </w:t>
      </w:r>
      <w:r w:rsidR="00C15DEB">
        <w:rPr>
          <w:color w:val="FF0000"/>
          <w:szCs w:val="22"/>
          <w:u w:val="single"/>
          <w:lang w:val="en-US"/>
        </w:rPr>
        <w:t xml:space="preserve">corresponding </w:t>
      </w:r>
      <w:r>
        <w:rPr>
          <w:color w:val="FF0000"/>
          <w:szCs w:val="22"/>
          <w:u w:val="single"/>
          <w:lang w:val="en-US"/>
        </w:rPr>
        <w:t>sensing measurement session between the SBP initiator</w:t>
      </w:r>
      <w:r w:rsidR="00930297">
        <w:rPr>
          <w:color w:val="FF0000"/>
          <w:szCs w:val="22"/>
          <w:u w:val="single"/>
          <w:lang w:val="en-US"/>
        </w:rPr>
        <w:t xml:space="preserve"> </w:t>
      </w:r>
      <w:r w:rsidR="00930297" w:rsidRPr="00930297">
        <w:rPr>
          <w:color w:val="FF0000"/>
          <w:szCs w:val="22"/>
          <w:u w:val="single"/>
          <w:lang w:val="en-US"/>
        </w:rPr>
        <w:t>(</w:t>
      </w:r>
      <w:r w:rsidR="00930297">
        <w:rPr>
          <w:color w:val="FF0000"/>
          <w:szCs w:val="22"/>
          <w:u w:val="single"/>
          <w:lang w:val="en-US"/>
        </w:rPr>
        <w:t xml:space="preserve">sensing </w:t>
      </w:r>
      <w:r w:rsidR="00930297" w:rsidRPr="00930297">
        <w:rPr>
          <w:color w:val="FF0000"/>
          <w:szCs w:val="22"/>
          <w:u w:val="single"/>
          <w:lang w:val="en-US"/>
        </w:rPr>
        <w:t>responder of the sensing measurement session)</w:t>
      </w:r>
      <w:r>
        <w:rPr>
          <w:color w:val="FF0000"/>
          <w:szCs w:val="22"/>
          <w:u w:val="single"/>
          <w:lang w:val="en-US"/>
        </w:rPr>
        <w:t xml:space="preserve"> and the SBP responder</w:t>
      </w:r>
      <w:r w:rsidR="00930297">
        <w:rPr>
          <w:color w:val="FF0000"/>
          <w:szCs w:val="22"/>
          <w:u w:val="single"/>
          <w:lang w:val="en-US"/>
        </w:rPr>
        <w:t xml:space="preserve"> (sensing initiator of the sensing measurement session)</w:t>
      </w:r>
      <w:r w:rsidR="00E83053">
        <w:rPr>
          <w:color w:val="FF0000"/>
          <w:szCs w:val="22"/>
          <w:u w:val="single"/>
          <w:lang w:val="en-US"/>
        </w:rPr>
        <w:t xml:space="preserve"> for the </w:t>
      </w:r>
      <w:r w:rsidR="00E83053">
        <w:rPr>
          <w:color w:val="FF0000"/>
          <w:szCs w:val="22"/>
          <w:u w:val="single"/>
          <w:lang w:val="en-US"/>
        </w:rPr>
        <w:t xml:space="preserve">sensing procedure </w:t>
      </w:r>
      <w:r w:rsidR="00E83053" w:rsidRPr="0061366C">
        <w:rPr>
          <w:color w:val="FF0000"/>
          <w:szCs w:val="22"/>
          <w:u w:val="single"/>
          <w:lang w:val="en-US"/>
        </w:rPr>
        <w:t>used by the SBP responder to satisfy the SBP request</w:t>
      </w:r>
      <w:r>
        <w:rPr>
          <w:color w:val="FF0000"/>
          <w:szCs w:val="22"/>
          <w:u w:val="single"/>
          <w:lang w:val="en-US"/>
        </w:rPr>
        <w:t>.</w:t>
      </w:r>
    </w:p>
    <w:p w14:paraId="780AFF45" w14:textId="77777777" w:rsidR="00A63232" w:rsidRPr="00930297" w:rsidRDefault="00A63232">
      <w:pPr>
        <w:rPr>
          <w:color w:val="FF0000"/>
          <w:szCs w:val="22"/>
          <w:u w:val="single"/>
          <w:lang w:val="en-US"/>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700" w14:textId="77777777" w:rsidR="00FB2075" w:rsidRDefault="00FB2075">
      <w:r>
        <w:separator/>
      </w:r>
    </w:p>
  </w:endnote>
  <w:endnote w:type="continuationSeparator" w:id="0">
    <w:p w14:paraId="679EC52F" w14:textId="77777777" w:rsidR="00FB2075" w:rsidRDefault="00F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55C0D"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A5F" w14:textId="77777777" w:rsidR="00FB2075" w:rsidRDefault="00FB2075">
      <w:r>
        <w:separator/>
      </w:r>
    </w:p>
  </w:footnote>
  <w:footnote w:type="continuationSeparator" w:id="0">
    <w:p w14:paraId="27FF8B1E" w14:textId="77777777" w:rsidR="00FB2075" w:rsidRDefault="00F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50059FB0" w:rsidR="0029020B" w:rsidRDefault="004523D0">
    <w:pPr>
      <w:pStyle w:val="Header"/>
      <w:tabs>
        <w:tab w:val="clear" w:pos="6480"/>
        <w:tab w:val="center" w:pos="4680"/>
        <w:tab w:val="right" w:pos="9360"/>
      </w:tabs>
    </w:pPr>
    <w:r>
      <w:t>September</w:t>
    </w:r>
    <w:r w:rsidR="00441B13">
      <w:t xml:space="preserve"> 2023</w:t>
    </w:r>
    <w:r w:rsidR="0029020B">
      <w:tab/>
    </w:r>
    <w:r w:rsidR="0029020B">
      <w:tab/>
    </w:r>
    <w:fldSimple w:instr=" TITLE  \* MERGEFORMAT ">
      <w:r w:rsidR="005610A7">
        <w:t>doc.: IEEE 802.11-</w:t>
      </w:r>
      <w:r w:rsidR="00A3771D">
        <w:t>2</w:t>
      </w:r>
      <w:r w:rsidR="00441B13">
        <w:t>3</w:t>
      </w:r>
      <w:r w:rsidR="005610A7">
        <w:t>/</w:t>
      </w:r>
      <w:r w:rsidR="00327707">
        <w:t>1559</w:t>
      </w:r>
      <w:r w:rsidR="00441B13">
        <w:t>r</w:t>
      </w:r>
      <w:r w:rsidR="00555C0D">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3"/>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1"/>
  </w:num>
  <w:num w:numId="7" w16cid:durableId="1543396427">
    <w:abstractNumId w:val="16"/>
  </w:num>
  <w:num w:numId="8" w16cid:durableId="318385523">
    <w:abstractNumId w:val="26"/>
  </w:num>
  <w:num w:numId="9" w16cid:durableId="813838249">
    <w:abstractNumId w:val="8"/>
  </w:num>
  <w:num w:numId="10" w16cid:durableId="1454860627">
    <w:abstractNumId w:val="10"/>
  </w:num>
  <w:num w:numId="11" w16cid:durableId="190919314">
    <w:abstractNumId w:val="17"/>
  </w:num>
  <w:num w:numId="12" w16cid:durableId="825246221">
    <w:abstractNumId w:val="13"/>
  </w:num>
  <w:num w:numId="13" w16cid:durableId="1030257081">
    <w:abstractNumId w:val="19"/>
  </w:num>
  <w:num w:numId="14" w16cid:durableId="67192853">
    <w:abstractNumId w:val="27"/>
  </w:num>
  <w:num w:numId="15" w16cid:durableId="1438788223">
    <w:abstractNumId w:val="1"/>
  </w:num>
  <w:num w:numId="16" w16cid:durableId="1808859230">
    <w:abstractNumId w:val="3"/>
  </w:num>
  <w:num w:numId="17" w16cid:durableId="121310852">
    <w:abstractNumId w:val="25"/>
  </w:num>
  <w:num w:numId="18" w16cid:durableId="88893946">
    <w:abstractNumId w:val="28"/>
  </w:num>
  <w:num w:numId="19" w16cid:durableId="1034497441">
    <w:abstractNumId w:val="6"/>
  </w:num>
  <w:num w:numId="20" w16cid:durableId="1456680928">
    <w:abstractNumId w:val="0"/>
  </w:num>
  <w:num w:numId="21" w16cid:durableId="517740018">
    <w:abstractNumId w:val="24"/>
  </w:num>
  <w:num w:numId="22" w16cid:durableId="389113841">
    <w:abstractNumId w:val="11"/>
  </w:num>
  <w:num w:numId="23" w16cid:durableId="1606645039">
    <w:abstractNumId w:val="20"/>
  </w:num>
  <w:num w:numId="24" w16cid:durableId="92167988">
    <w:abstractNumId w:val="22"/>
  </w:num>
  <w:num w:numId="25" w16cid:durableId="992415713">
    <w:abstractNumId w:val="7"/>
  </w:num>
  <w:num w:numId="26" w16cid:durableId="65882918">
    <w:abstractNumId w:val="18"/>
  </w:num>
  <w:num w:numId="27" w16cid:durableId="417597401">
    <w:abstractNumId w:val="2"/>
  </w:num>
  <w:num w:numId="28" w16cid:durableId="564997189">
    <w:abstractNumId w:val="15"/>
  </w:num>
  <w:num w:numId="29" w16cid:durableId="1654066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ACC"/>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305"/>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05"/>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40F"/>
    <w:rsid w:val="002F2F3F"/>
    <w:rsid w:val="002F5CCD"/>
    <w:rsid w:val="002F7576"/>
    <w:rsid w:val="00300A1B"/>
    <w:rsid w:val="00300EA3"/>
    <w:rsid w:val="0030273F"/>
    <w:rsid w:val="00303903"/>
    <w:rsid w:val="003040A4"/>
    <w:rsid w:val="0030414A"/>
    <w:rsid w:val="00305D07"/>
    <w:rsid w:val="00311978"/>
    <w:rsid w:val="00316046"/>
    <w:rsid w:val="00320FC0"/>
    <w:rsid w:val="003212EE"/>
    <w:rsid w:val="00322AD6"/>
    <w:rsid w:val="00323AA5"/>
    <w:rsid w:val="003242A4"/>
    <w:rsid w:val="00324A4F"/>
    <w:rsid w:val="00324BB9"/>
    <w:rsid w:val="00327707"/>
    <w:rsid w:val="00330FBB"/>
    <w:rsid w:val="00331D2D"/>
    <w:rsid w:val="00332717"/>
    <w:rsid w:val="00340605"/>
    <w:rsid w:val="00346B40"/>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30D3"/>
    <w:rsid w:val="003A31C2"/>
    <w:rsid w:val="003A57A4"/>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1B3"/>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50227"/>
    <w:rsid w:val="004508C8"/>
    <w:rsid w:val="00450B2A"/>
    <w:rsid w:val="004523D0"/>
    <w:rsid w:val="00452BB0"/>
    <w:rsid w:val="004535E7"/>
    <w:rsid w:val="00460E9A"/>
    <w:rsid w:val="00461314"/>
    <w:rsid w:val="004613E3"/>
    <w:rsid w:val="0046221D"/>
    <w:rsid w:val="00462CF9"/>
    <w:rsid w:val="00465B86"/>
    <w:rsid w:val="00465F92"/>
    <w:rsid w:val="0046732D"/>
    <w:rsid w:val="0047161D"/>
    <w:rsid w:val="0047319E"/>
    <w:rsid w:val="00473B39"/>
    <w:rsid w:val="00477B00"/>
    <w:rsid w:val="0048448E"/>
    <w:rsid w:val="00484C0D"/>
    <w:rsid w:val="00486755"/>
    <w:rsid w:val="0048700D"/>
    <w:rsid w:val="00495462"/>
    <w:rsid w:val="004965CC"/>
    <w:rsid w:val="004A02F0"/>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A05"/>
    <w:rsid w:val="00516FD1"/>
    <w:rsid w:val="0052179C"/>
    <w:rsid w:val="00522573"/>
    <w:rsid w:val="00526DCA"/>
    <w:rsid w:val="00526E8E"/>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09AD"/>
    <w:rsid w:val="005555BF"/>
    <w:rsid w:val="00555A94"/>
    <w:rsid w:val="00555C0D"/>
    <w:rsid w:val="0055665E"/>
    <w:rsid w:val="00557E61"/>
    <w:rsid w:val="005610A7"/>
    <w:rsid w:val="00563422"/>
    <w:rsid w:val="00564239"/>
    <w:rsid w:val="0056753D"/>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1887"/>
    <w:rsid w:val="005B2971"/>
    <w:rsid w:val="005B41F7"/>
    <w:rsid w:val="005B68DC"/>
    <w:rsid w:val="005C0B7E"/>
    <w:rsid w:val="005C3533"/>
    <w:rsid w:val="005C3855"/>
    <w:rsid w:val="005C52A0"/>
    <w:rsid w:val="005D00DC"/>
    <w:rsid w:val="005D1DED"/>
    <w:rsid w:val="005D2A5E"/>
    <w:rsid w:val="005D2C77"/>
    <w:rsid w:val="005D3A80"/>
    <w:rsid w:val="005D47D2"/>
    <w:rsid w:val="005D4B7B"/>
    <w:rsid w:val="005E18AC"/>
    <w:rsid w:val="005E2BBB"/>
    <w:rsid w:val="005E3E77"/>
    <w:rsid w:val="005E41C1"/>
    <w:rsid w:val="005E76A5"/>
    <w:rsid w:val="005F222D"/>
    <w:rsid w:val="005F33FF"/>
    <w:rsid w:val="00601EC5"/>
    <w:rsid w:val="00607BD6"/>
    <w:rsid w:val="00612883"/>
    <w:rsid w:val="0061366C"/>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415A"/>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862C5"/>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4AD7"/>
    <w:rsid w:val="006C52FF"/>
    <w:rsid w:val="006C6345"/>
    <w:rsid w:val="006D01A1"/>
    <w:rsid w:val="006D1D91"/>
    <w:rsid w:val="006D35FB"/>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21FBD"/>
    <w:rsid w:val="0073102F"/>
    <w:rsid w:val="00731E1B"/>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4E6B"/>
    <w:rsid w:val="0079734D"/>
    <w:rsid w:val="00797B43"/>
    <w:rsid w:val="007A0B55"/>
    <w:rsid w:val="007A0F96"/>
    <w:rsid w:val="007A496A"/>
    <w:rsid w:val="007B0EDB"/>
    <w:rsid w:val="007B1012"/>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398"/>
    <w:rsid w:val="008364E1"/>
    <w:rsid w:val="00836D71"/>
    <w:rsid w:val="00836EF5"/>
    <w:rsid w:val="00837FE9"/>
    <w:rsid w:val="008425FB"/>
    <w:rsid w:val="00846683"/>
    <w:rsid w:val="00851914"/>
    <w:rsid w:val="00852C90"/>
    <w:rsid w:val="0085319A"/>
    <w:rsid w:val="00855DEC"/>
    <w:rsid w:val="00860766"/>
    <w:rsid w:val="008616E3"/>
    <w:rsid w:val="00864EBB"/>
    <w:rsid w:val="00866BA8"/>
    <w:rsid w:val="008748D1"/>
    <w:rsid w:val="0087699A"/>
    <w:rsid w:val="00877E74"/>
    <w:rsid w:val="008807BB"/>
    <w:rsid w:val="00880DA8"/>
    <w:rsid w:val="0088142F"/>
    <w:rsid w:val="00881CBA"/>
    <w:rsid w:val="00882567"/>
    <w:rsid w:val="00887B53"/>
    <w:rsid w:val="00890FB5"/>
    <w:rsid w:val="0089179F"/>
    <w:rsid w:val="00892173"/>
    <w:rsid w:val="008932E4"/>
    <w:rsid w:val="00894E0A"/>
    <w:rsid w:val="0089728A"/>
    <w:rsid w:val="008973D5"/>
    <w:rsid w:val="008977C8"/>
    <w:rsid w:val="008A2257"/>
    <w:rsid w:val="008A2710"/>
    <w:rsid w:val="008A3FC1"/>
    <w:rsid w:val="008A4D3D"/>
    <w:rsid w:val="008A52A9"/>
    <w:rsid w:val="008A7652"/>
    <w:rsid w:val="008B2530"/>
    <w:rsid w:val="008B5E20"/>
    <w:rsid w:val="008D10C4"/>
    <w:rsid w:val="008D2942"/>
    <w:rsid w:val="008E15F5"/>
    <w:rsid w:val="008E40B5"/>
    <w:rsid w:val="008E494C"/>
    <w:rsid w:val="008E7637"/>
    <w:rsid w:val="008F3C3D"/>
    <w:rsid w:val="008F674F"/>
    <w:rsid w:val="008F78F8"/>
    <w:rsid w:val="0090229B"/>
    <w:rsid w:val="009029CB"/>
    <w:rsid w:val="00903263"/>
    <w:rsid w:val="009134B0"/>
    <w:rsid w:val="00913691"/>
    <w:rsid w:val="00913B04"/>
    <w:rsid w:val="009160EA"/>
    <w:rsid w:val="00916A65"/>
    <w:rsid w:val="00917527"/>
    <w:rsid w:val="00920C7E"/>
    <w:rsid w:val="00921D67"/>
    <w:rsid w:val="00922EA6"/>
    <w:rsid w:val="0093015E"/>
    <w:rsid w:val="00930297"/>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7F3"/>
    <w:rsid w:val="00951F1B"/>
    <w:rsid w:val="009525D3"/>
    <w:rsid w:val="00956D55"/>
    <w:rsid w:val="00961268"/>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425"/>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B45"/>
    <w:rsid w:val="009C0BF1"/>
    <w:rsid w:val="009C1A61"/>
    <w:rsid w:val="009C1D71"/>
    <w:rsid w:val="009C5BA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70C7"/>
    <w:rsid w:val="00A5342A"/>
    <w:rsid w:val="00A5372E"/>
    <w:rsid w:val="00A542B6"/>
    <w:rsid w:val="00A54837"/>
    <w:rsid w:val="00A56982"/>
    <w:rsid w:val="00A56EE0"/>
    <w:rsid w:val="00A5762D"/>
    <w:rsid w:val="00A63232"/>
    <w:rsid w:val="00A654D7"/>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769"/>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5C0F"/>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743D"/>
    <w:rsid w:val="00C0014F"/>
    <w:rsid w:val="00C011F4"/>
    <w:rsid w:val="00C01580"/>
    <w:rsid w:val="00C01882"/>
    <w:rsid w:val="00C02818"/>
    <w:rsid w:val="00C03BFA"/>
    <w:rsid w:val="00C041B1"/>
    <w:rsid w:val="00C058F5"/>
    <w:rsid w:val="00C06459"/>
    <w:rsid w:val="00C15C35"/>
    <w:rsid w:val="00C15DEB"/>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5198"/>
    <w:rsid w:val="00CC0D4B"/>
    <w:rsid w:val="00CC100E"/>
    <w:rsid w:val="00CC1573"/>
    <w:rsid w:val="00CC2084"/>
    <w:rsid w:val="00CC26C9"/>
    <w:rsid w:val="00CC2A13"/>
    <w:rsid w:val="00CD25E9"/>
    <w:rsid w:val="00CD268B"/>
    <w:rsid w:val="00CD338D"/>
    <w:rsid w:val="00CD5C2A"/>
    <w:rsid w:val="00CE125D"/>
    <w:rsid w:val="00CE1AFF"/>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33B6"/>
    <w:rsid w:val="00D246DB"/>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3CBF"/>
    <w:rsid w:val="00D852BE"/>
    <w:rsid w:val="00D87446"/>
    <w:rsid w:val="00D90BF0"/>
    <w:rsid w:val="00D91D5F"/>
    <w:rsid w:val="00D9265B"/>
    <w:rsid w:val="00D939E9"/>
    <w:rsid w:val="00D9546A"/>
    <w:rsid w:val="00D976D3"/>
    <w:rsid w:val="00DA15FC"/>
    <w:rsid w:val="00DA247D"/>
    <w:rsid w:val="00DA2857"/>
    <w:rsid w:val="00DA2F42"/>
    <w:rsid w:val="00DA5F53"/>
    <w:rsid w:val="00DB091C"/>
    <w:rsid w:val="00DB24A8"/>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462D1"/>
    <w:rsid w:val="00E50695"/>
    <w:rsid w:val="00E5264B"/>
    <w:rsid w:val="00E543E6"/>
    <w:rsid w:val="00E54EFA"/>
    <w:rsid w:val="00E569CD"/>
    <w:rsid w:val="00E56CEE"/>
    <w:rsid w:val="00E61069"/>
    <w:rsid w:val="00E62433"/>
    <w:rsid w:val="00E63700"/>
    <w:rsid w:val="00E658BD"/>
    <w:rsid w:val="00E65E2F"/>
    <w:rsid w:val="00E71046"/>
    <w:rsid w:val="00E71813"/>
    <w:rsid w:val="00E71CD1"/>
    <w:rsid w:val="00E75DEE"/>
    <w:rsid w:val="00E7609E"/>
    <w:rsid w:val="00E83053"/>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953"/>
    <w:rsid w:val="00ED06C3"/>
    <w:rsid w:val="00ED306B"/>
    <w:rsid w:val="00ED3C12"/>
    <w:rsid w:val="00ED6C35"/>
    <w:rsid w:val="00ED6FCA"/>
    <w:rsid w:val="00EE0E7B"/>
    <w:rsid w:val="00EE1F58"/>
    <w:rsid w:val="00EE225F"/>
    <w:rsid w:val="00EF0974"/>
    <w:rsid w:val="00EF142D"/>
    <w:rsid w:val="00EF189F"/>
    <w:rsid w:val="00EF1E54"/>
    <w:rsid w:val="00EF2790"/>
    <w:rsid w:val="00EF471D"/>
    <w:rsid w:val="00F0079B"/>
    <w:rsid w:val="00F01A1B"/>
    <w:rsid w:val="00F01CB8"/>
    <w:rsid w:val="00F03961"/>
    <w:rsid w:val="00F04853"/>
    <w:rsid w:val="00F05C92"/>
    <w:rsid w:val="00F0647B"/>
    <w:rsid w:val="00F1183E"/>
    <w:rsid w:val="00F12675"/>
    <w:rsid w:val="00F13FA3"/>
    <w:rsid w:val="00F23CF1"/>
    <w:rsid w:val="00F3206B"/>
    <w:rsid w:val="00F3380D"/>
    <w:rsid w:val="00F34EFF"/>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81C02"/>
    <w:rsid w:val="00F82F93"/>
    <w:rsid w:val="00F90E27"/>
    <w:rsid w:val="00F91194"/>
    <w:rsid w:val="00F930A7"/>
    <w:rsid w:val="00F9389F"/>
    <w:rsid w:val="00F952CD"/>
    <w:rsid w:val="00F955C5"/>
    <w:rsid w:val="00F969D0"/>
    <w:rsid w:val="00F97852"/>
    <w:rsid w:val="00FA386F"/>
    <w:rsid w:val="00FA40F2"/>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9</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8</cp:revision>
  <cp:lastPrinted>1900-01-01T08:00:00Z</cp:lastPrinted>
  <dcterms:created xsi:type="dcterms:W3CDTF">2023-09-14T12:48:00Z</dcterms:created>
  <dcterms:modified xsi:type="dcterms:W3CDTF">2023-09-14T13:00:00Z</dcterms:modified>
</cp:coreProperties>
</file>