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0500AC8B" w:rsidR="00B6527E" w:rsidRPr="00CE41DE" w:rsidRDefault="001D4896" w:rsidP="003E4ABA">
            <w:pPr>
              <w:pStyle w:val="T2"/>
              <w:rPr>
                <w:sz w:val="20"/>
                <w:lang w:val="en-US"/>
              </w:rPr>
            </w:pPr>
            <w:r>
              <w:rPr>
                <w:sz w:val="20"/>
                <w:lang w:val="en-US"/>
              </w:rPr>
              <w:t xml:space="preserve">LB275 11be </w:t>
            </w:r>
            <w:r w:rsidR="005E5B31" w:rsidRPr="00CE41DE">
              <w:rPr>
                <w:sz w:val="20"/>
                <w:lang w:val="en-US"/>
              </w:rPr>
              <w:t>D</w:t>
            </w:r>
            <w:r>
              <w:rPr>
                <w:sz w:val="20"/>
                <w:lang w:val="en-US"/>
              </w:rPr>
              <w:t>4</w:t>
            </w:r>
            <w:r w:rsidR="008E412C" w:rsidRPr="00CE41DE">
              <w:rPr>
                <w:sz w:val="20"/>
                <w:lang w:val="en-US"/>
              </w:rPr>
              <w:t>.0</w:t>
            </w:r>
            <w:r w:rsidR="009F02E9" w:rsidRPr="00CE41DE">
              <w:rPr>
                <w:sz w:val="20"/>
                <w:lang w:val="en-US"/>
              </w:rPr>
              <w:t xml:space="preserve"> comment </w:t>
            </w:r>
            <w:r w:rsidR="00D07308">
              <w:rPr>
                <w:sz w:val="20"/>
                <w:lang w:val="en-US"/>
              </w:rPr>
              <w:t>35.3.18</w:t>
            </w:r>
          </w:p>
        </w:tc>
      </w:tr>
      <w:tr w:rsidR="00B6527E" w:rsidRPr="0038212E" w14:paraId="25960C30" w14:textId="77777777" w:rsidTr="001968A8">
        <w:trPr>
          <w:trHeight w:val="359"/>
          <w:jc w:val="center"/>
        </w:trPr>
        <w:tc>
          <w:tcPr>
            <w:tcW w:w="9576" w:type="dxa"/>
            <w:gridSpan w:val="5"/>
            <w:vAlign w:val="center"/>
          </w:tcPr>
          <w:p w14:paraId="5C4A3311" w14:textId="691A426E"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D07308">
              <w:rPr>
                <w:b w:val="0"/>
                <w:sz w:val="18"/>
                <w:szCs w:val="18"/>
              </w:rPr>
              <w:t>9</w:t>
            </w:r>
            <w:r w:rsidR="005E5B31">
              <w:rPr>
                <w:b w:val="0"/>
                <w:sz w:val="18"/>
                <w:szCs w:val="18"/>
              </w:rPr>
              <w:t>-</w:t>
            </w:r>
            <w:r w:rsidR="00D07308">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51DB12A4"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1D4896">
        <w:rPr>
          <w:lang w:eastAsia="ko-KR"/>
        </w:rPr>
        <w:t>4</w:t>
      </w:r>
      <w:r>
        <w:rPr>
          <w:lang w:eastAsia="ko-KR"/>
        </w:rPr>
        <w:t>.0 with the following CIDs:</w:t>
      </w:r>
    </w:p>
    <w:p w14:paraId="677AE7BA" w14:textId="47060677" w:rsidR="00CE359D" w:rsidRDefault="0061349D" w:rsidP="00CE359D">
      <w:pPr>
        <w:jc w:val="left"/>
        <w:rPr>
          <w:rFonts w:ascii="Arial" w:hAnsi="Arial" w:cs="Arial"/>
          <w:sz w:val="20"/>
          <w:lang w:val="en-US"/>
        </w:rPr>
      </w:pPr>
      <w:r>
        <w:rPr>
          <w:lang w:eastAsia="ko-KR"/>
        </w:rPr>
        <w:tab/>
      </w:r>
      <w:r w:rsidR="00CE359D">
        <w:rPr>
          <w:rFonts w:ascii="Arial" w:hAnsi="Arial" w:cs="Arial"/>
          <w:sz w:val="20"/>
        </w:rPr>
        <w:t>19587</w:t>
      </w:r>
      <w:r w:rsidR="00CE359D">
        <w:rPr>
          <w:rFonts w:ascii="Arial" w:hAnsi="Arial" w:cs="Arial"/>
          <w:sz w:val="20"/>
        </w:rPr>
        <w:t xml:space="preserve">, </w:t>
      </w:r>
      <w:r w:rsidR="00CE359D">
        <w:rPr>
          <w:rFonts w:ascii="Arial" w:hAnsi="Arial" w:cs="Arial"/>
          <w:sz w:val="20"/>
        </w:rPr>
        <w:t>19588</w:t>
      </w:r>
      <w:r w:rsidR="00CE359D">
        <w:rPr>
          <w:rFonts w:ascii="Arial" w:hAnsi="Arial" w:cs="Arial"/>
          <w:sz w:val="20"/>
        </w:rPr>
        <w:t xml:space="preserve">, </w:t>
      </w:r>
      <w:r w:rsidR="00CE359D">
        <w:rPr>
          <w:rFonts w:ascii="Arial" w:hAnsi="Arial" w:cs="Arial"/>
          <w:sz w:val="20"/>
        </w:rPr>
        <w:t>19295</w:t>
      </w:r>
      <w:r w:rsidR="00CE359D">
        <w:rPr>
          <w:rFonts w:ascii="Arial" w:hAnsi="Arial" w:cs="Arial"/>
          <w:sz w:val="20"/>
        </w:rPr>
        <w:t xml:space="preserve">, </w:t>
      </w:r>
      <w:r w:rsidR="00CE359D">
        <w:rPr>
          <w:rFonts w:ascii="Arial" w:hAnsi="Arial" w:cs="Arial"/>
          <w:sz w:val="20"/>
        </w:rPr>
        <w:t>19840</w:t>
      </w:r>
      <w:r w:rsidR="00CE359D">
        <w:rPr>
          <w:rFonts w:ascii="Arial" w:hAnsi="Arial" w:cs="Arial"/>
          <w:sz w:val="20"/>
        </w:rPr>
        <w:t xml:space="preserve">, </w:t>
      </w:r>
      <w:r w:rsidR="00CE359D">
        <w:rPr>
          <w:rFonts w:ascii="Arial" w:hAnsi="Arial" w:cs="Arial"/>
          <w:sz w:val="20"/>
        </w:rPr>
        <w:t>19842</w:t>
      </w:r>
      <w:r w:rsidR="00CE359D">
        <w:rPr>
          <w:rFonts w:ascii="Arial" w:hAnsi="Arial" w:cs="Arial"/>
          <w:sz w:val="20"/>
        </w:rPr>
        <w:t xml:space="preserve">, </w:t>
      </w:r>
      <w:r w:rsidR="00CE359D">
        <w:rPr>
          <w:rFonts w:ascii="Arial" w:hAnsi="Arial" w:cs="Arial"/>
          <w:sz w:val="20"/>
        </w:rPr>
        <w:t>19979</w:t>
      </w:r>
      <w:r w:rsidR="00CE359D">
        <w:rPr>
          <w:rFonts w:ascii="Arial" w:hAnsi="Arial" w:cs="Arial"/>
          <w:sz w:val="20"/>
        </w:rPr>
        <w:t xml:space="preserve">, </w:t>
      </w:r>
      <w:r w:rsidR="00CE359D">
        <w:rPr>
          <w:rFonts w:ascii="Arial" w:hAnsi="Arial" w:cs="Arial"/>
          <w:sz w:val="20"/>
        </w:rPr>
        <w:t>19848</w:t>
      </w:r>
      <w:r w:rsidR="00CE359D">
        <w:rPr>
          <w:rFonts w:ascii="Arial" w:hAnsi="Arial" w:cs="Arial"/>
          <w:sz w:val="20"/>
        </w:rPr>
        <w:t xml:space="preserve">, </w:t>
      </w:r>
      <w:r w:rsidR="00CE359D" w:rsidRPr="00A121F9">
        <w:rPr>
          <w:rFonts w:ascii="Arial" w:hAnsi="Arial" w:cs="Arial"/>
          <w:sz w:val="20"/>
        </w:rPr>
        <w:t>19728</w:t>
      </w:r>
      <w:r w:rsidR="00CE359D">
        <w:rPr>
          <w:rFonts w:ascii="Arial" w:hAnsi="Arial" w:cs="Arial"/>
          <w:sz w:val="20"/>
        </w:rPr>
        <w:t xml:space="preserve">, </w:t>
      </w:r>
      <w:r w:rsidR="00CE359D">
        <w:rPr>
          <w:rFonts w:ascii="Arial" w:hAnsi="Arial" w:cs="Arial"/>
          <w:sz w:val="20"/>
        </w:rPr>
        <w:t>19847</w:t>
      </w:r>
      <w:r w:rsidR="00CE359D">
        <w:rPr>
          <w:rFonts w:ascii="Arial" w:hAnsi="Arial" w:cs="Arial"/>
          <w:sz w:val="20"/>
        </w:rPr>
        <w:t xml:space="preserve">, </w:t>
      </w:r>
      <w:r w:rsidR="00CE359D">
        <w:rPr>
          <w:rFonts w:ascii="Arial" w:hAnsi="Arial" w:cs="Arial"/>
          <w:sz w:val="20"/>
        </w:rPr>
        <w:t>19846</w:t>
      </w:r>
      <w:r w:rsidR="00CE359D">
        <w:rPr>
          <w:rFonts w:ascii="Arial" w:hAnsi="Arial" w:cs="Arial"/>
          <w:sz w:val="20"/>
        </w:rPr>
        <w:t xml:space="preserve">, </w:t>
      </w:r>
      <w:r w:rsidR="00CE359D">
        <w:rPr>
          <w:rFonts w:ascii="Arial" w:hAnsi="Arial" w:cs="Arial"/>
          <w:sz w:val="20"/>
        </w:rPr>
        <w:t>19843</w:t>
      </w:r>
    </w:p>
    <w:p w14:paraId="07979AAB" w14:textId="77777777" w:rsidR="00CE359D" w:rsidRDefault="00CE359D" w:rsidP="00CE41DE">
      <w:pPr>
        <w:jc w:val="left"/>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tbl>
      <w:tblPr>
        <w:tblpPr w:leftFromText="180" w:rightFromText="180" w:vertAnchor="text" w:horzAnchor="margin" w:tblpY="2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2387"/>
        <w:gridCol w:w="2880"/>
        <w:gridCol w:w="2989"/>
      </w:tblGrid>
      <w:tr w:rsidR="00B005A5" w:rsidRPr="004112A3" w14:paraId="24C71B8F" w14:textId="77777777" w:rsidTr="00DE5147">
        <w:trPr>
          <w:trHeight w:val="553"/>
        </w:trPr>
        <w:tc>
          <w:tcPr>
            <w:tcW w:w="614" w:type="dxa"/>
            <w:shd w:val="clear" w:color="auto" w:fill="auto"/>
            <w:noWrap/>
            <w:vAlign w:val="center"/>
          </w:tcPr>
          <w:p w14:paraId="5F171708"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3DB772F"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6578016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2387" w:type="dxa"/>
            <w:shd w:val="clear" w:color="auto" w:fill="auto"/>
            <w:noWrap/>
            <w:vAlign w:val="bottom"/>
          </w:tcPr>
          <w:p w14:paraId="47DB3A51"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880" w:type="dxa"/>
            <w:shd w:val="clear" w:color="auto" w:fill="auto"/>
            <w:noWrap/>
            <w:vAlign w:val="bottom"/>
          </w:tcPr>
          <w:p w14:paraId="4059041A" w14:textId="77777777" w:rsidR="00B005A5" w:rsidRPr="009F02E9" w:rsidRDefault="00B005A5" w:rsidP="00B005A5">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2989" w:type="dxa"/>
            <w:shd w:val="clear" w:color="auto" w:fill="auto"/>
            <w:vAlign w:val="center"/>
          </w:tcPr>
          <w:p w14:paraId="31FF28A5" w14:textId="77777777" w:rsidR="00B005A5" w:rsidRPr="009F02E9" w:rsidRDefault="00B005A5" w:rsidP="00B005A5">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A31EE2" w:rsidRPr="004112A3" w14:paraId="465673C6" w14:textId="77777777" w:rsidTr="00E431F4">
        <w:trPr>
          <w:trHeight w:val="553"/>
        </w:trPr>
        <w:tc>
          <w:tcPr>
            <w:tcW w:w="614" w:type="dxa"/>
            <w:shd w:val="clear" w:color="auto" w:fill="auto"/>
            <w:noWrap/>
            <w:vAlign w:val="center"/>
          </w:tcPr>
          <w:p w14:paraId="45C1DE11" w14:textId="77777777" w:rsidR="00A31EE2" w:rsidRDefault="00A31EE2" w:rsidP="00A31EE2">
            <w:pPr>
              <w:jc w:val="center"/>
              <w:rPr>
                <w:rFonts w:ascii="Arial" w:hAnsi="Arial" w:cs="Arial"/>
                <w:sz w:val="20"/>
                <w:lang w:val="en-US"/>
              </w:rPr>
            </w:pPr>
            <w:r>
              <w:rPr>
                <w:rFonts w:ascii="Arial" w:hAnsi="Arial" w:cs="Arial"/>
                <w:sz w:val="20"/>
              </w:rPr>
              <w:t>19587</w:t>
            </w:r>
          </w:p>
          <w:p w14:paraId="124525B0" w14:textId="77777777" w:rsidR="00A31EE2" w:rsidRPr="009F02E9" w:rsidRDefault="00A31EE2" w:rsidP="00A31EE2">
            <w:pPr>
              <w:jc w:val="center"/>
              <w:rPr>
                <w:rFonts w:eastAsia="Times New Roman"/>
                <w:b/>
                <w:bCs/>
                <w:color w:val="000000"/>
                <w:sz w:val="20"/>
                <w:szCs w:val="14"/>
                <w:lang w:val="en-US"/>
              </w:rPr>
            </w:pPr>
          </w:p>
        </w:tc>
        <w:tc>
          <w:tcPr>
            <w:tcW w:w="614" w:type="dxa"/>
            <w:shd w:val="clear" w:color="auto" w:fill="auto"/>
            <w:noWrap/>
          </w:tcPr>
          <w:p w14:paraId="01C381A5" w14:textId="365E2107" w:rsidR="00A31EE2" w:rsidRPr="009F02E9" w:rsidRDefault="00A31EE2" w:rsidP="00A31EE2">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44514CF7" w14:textId="5425D405" w:rsidR="00A31EE2" w:rsidRPr="009F02E9" w:rsidRDefault="00A31EE2" w:rsidP="00A31EE2">
            <w:pPr>
              <w:jc w:val="center"/>
              <w:rPr>
                <w:rFonts w:eastAsia="Times New Roman"/>
                <w:b/>
                <w:bCs/>
                <w:color w:val="000000"/>
                <w:sz w:val="20"/>
                <w:szCs w:val="14"/>
                <w:lang w:val="en-US"/>
              </w:rPr>
            </w:pPr>
            <w:r>
              <w:rPr>
                <w:rFonts w:ascii="Arial" w:hAnsi="Arial" w:cs="Arial"/>
                <w:sz w:val="20"/>
              </w:rPr>
              <w:t>32</w:t>
            </w:r>
          </w:p>
        </w:tc>
        <w:tc>
          <w:tcPr>
            <w:tcW w:w="2387" w:type="dxa"/>
            <w:shd w:val="clear" w:color="auto" w:fill="auto"/>
            <w:noWrap/>
          </w:tcPr>
          <w:p w14:paraId="7E027825" w14:textId="0F282E51" w:rsidR="00A31EE2" w:rsidRPr="009F02E9" w:rsidRDefault="00A31EE2" w:rsidP="00A31EE2">
            <w:pPr>
              <w:jc w:val="center"/>
              <w:rPr>
                <w:rFonts w:eastAsia="Times New Roman"/>
                <w:b/>
                <w:bCs/>
                <w:color w:val="000000"/>
                <w:sz w:val="20"/>
                <w:szCs w:val="14"/>
                <w:lang w:val="en-US"/>
              </w:rPr>
            </w:pPr>
            <w:r>
              <w:rPr>
                <w:rFonts w:ascii="Arial" w:hAnsi="Arial" w:cs="Arial"/>
                <w:sz w:val="20"/>
              </w:rPr>
              <w:t>"in multiple links" is not correct</w:t>
            </w:r>
          </w:p>
        </w:tc>
        <w:tc>
          <w:tcPr>
            <w:tcW w:w="2880" w:type="dxa"/>
            <w:shd w:val="clear" w:color="auto" w:fill="auto"/>
            <w:noWrap/>
          </w:tcPr>
          <w:p w14:paraId="3FC8212C" w14:textId="13859A04" w:rsidR="00A31EE2" w:rsidRPr="009F02E9" w:rsidRDefault="00A31EE2" w:rsidP="00A31EE2">
            <w:pPr>
              <w:jc w:val="center"/>
              <w:rPr>
                <w:rFonts w:eastAsia="Times New Roman"/>
                <w:b/>
                <w:bCs/>
                <w:color w:val="000000"/>
                <w:sz w:val="20"/>
                <w:szCs w:val="14"/>
                <w:lang w:val="en-US"/>
              </w:rPr>
            </w:pPr>
            <w:r>
              <w:rPr>
                <w:rFonts w:ascii="Arial" w:hAnsi="Arial" w:cs="Arial"/>
                <w:sz w:val="20"/>
              </w:rPr>
              <w:t>change to "on multiple links"</w:t>
            </w:r>
          </w:p>
        </w:tc>
        <w:tc>
          <w:tcPr>
            <w:tcW w:w="2989" w:type="dxa"/>
            <w:shd w:val="clear" w:color="auto" w:fill="auto"/>
            <w:vAlign w:val="center"/>
          </w:tcPr>
          <w:p w14:paraId="7BAD6707" w14:textId="361443BC" w:rsidR="00A31EE2" w:rsidRPr="009F02E9" w:rsidRDefault="00A31EE2" w:rsidP="00A31EE2">
            <w:pPr>
              <w:jc w:val="left"/>
              <w:rPr>
                <w:rFonts w:eastAsia="Times New Roman"/>
                <w:color w:val="000000"/>
                <w:sz w:val="20"/>
                <w:szCs w:val="14"/>
                <w:lang w:val="en-US"/>
              </w:rPr>
            </w:pPr>
            <w:r>
              <w:rPr>
                <w:rFonts w:eastAsia="Times New Roman"/>
                <w:color w:val="000000"/>
                <w:sz w:val="20"/>
                <w:szCs w:val="14"/>
                <w:lang w:val="en-US"/>
              </w:rPr>
              <w:t>Accepted</w:t>
            </w:r>
          </w:p>
        </w:tc>
      </w:tr>
      <w:tr w:rsidR="00A31EE2" w:rsidRPr="004112A3" w14:paraId="450D7E96" w14:textId="77777777" w:rsidTr="00E431F4">
        <w:trPr>
          <w:trHeight w:val="553"/>
        </w:trPr>
        <w:tc>
          <w:tcPr>
            <w:tcW w:w="614" w:type="dxa"/>
            <w:shd w:val="clear" w:color="auto" w:fill="auto"/>
            <w:noWrap/>
            <w:vAlign w:val="center"/>
          </w:tcPr>
          <w:p w14:paraId="63EE4354" w14:textId="77777777" w:rsidR="00A31EE2" w:rsidRDefault="00A31EE2" w:rsidP="00A31EE2">
            <w:pPr>
              <w:jc w:val="center"/>
              <w:rPr>
                <w:rFonts w:ascii="Arial" w:hAnsi="Arial" w:cs="Arial"/>
                <w:sz w:val="20"/>
                <w:lang w:val="en-US"/>
              </w:rPr>
            </w:pPr>
            <w:r>
              <w:rPr>
                <w:rFonts w:ascii="Arial" w:hAnsi="Arial" w:cs="Arial"/>
                <w:sz w:val="20"/>
              </w:rPr>
              <w:t>19588</w:t>
            </w:r>
          </w:p>
          <w:p w14:paraId="1B3C87E5" w14:textId="77777777" w:rsidR="00A31EE2" w:rsidRDefault="00A31EE2" w:rsidP="00A31EE2">
            <w:pPr>
              <w:jc w:val="center"/>
              <w:rPr>
                <w:rFonts w:ascii="Arial" w:hAnsi="Arial" w:cs="Arial"/>
                <w:sz w:val="20"/>
              </w:rPr>
            </w:pPr>
          </w:p>
        </w:tc>
        <w:tc>
          <w:tcPr>
            <w:tcW w:w="614" w:type="dxa"/>
            <w:shd w:val="clear" w:color="auto" w:fill="auto"/>
            <w:noWrap/>
          </w:tcPr>
          <w:p w14:paraId="7C361B5A" w14:textId="7B8C3087" w:rsidR="00A31EE2" w:rsidRDefault="00A31EE2" w:rsidP="00A31EE2">
            <w:pPr>
              <w:jc w:val="center"/>
              <w:rPr>
                <w:rFonts w:ascii="Arial" w:hAnsi="Arial" w:cs="Arial"/>
                <w:sz w:val="20"/>
              </w:rPr>
            </w:pPr>
            <w:r>
              <w:rPr>
                <w:rFonts w:ascii="Arial" w:hAnsi="Arial" w:cs="Arial"/>
                <w:sz w:val="20"/>
              </w:rPr>
              <w:t>568</w:t>
            </w:r>
          </w:p>
        </w:tc>
        <w:tc>
          <w:tcPr>
            <w:tcW w:w="790" w:type="dxa"/>
            <w:shd w:val="clear" w:color="auto" w:fill="auto"/>
            <w:noWrap/>
          </w:tcPr>
          <w:p w14:paraId="42C4509E" w14:textId="4C2EA3C1" w:rsidR="00A31EE2" w:rsidRDefault="00A31EE2" w:rsidP="00A31EE2">
            <w:pPr>
              <w:jc w:val="center"/>
              <w:rPr>
                <w:rFonts w:ascii="Arial" w:hAnsi="Arial" w:cs="Arial"/>
                <w:sz w:val="20"/>
              </w:rPr>
            </w:pPr>
            <w:r>
              <w:rPr>
                <w:rFonts w:ascii="Arial" w:hAnsi="Arial" w:cs="Arial"/>
                <w:sz w:val="20"/>
              </w:rPr>
              <w:t>32</w:t>
            </w:r>
          </w:p>
        </w:tc>
        <w:tc>
          <w:tcPr>
            <w:tcW w:w="2387" w:type="dxa"/>
            <w:shd w:val="clear" w:color="auto" w:fill="auto"/>
            <w:noWrap/>
          </w:tcPr>
          <w:p w14:paraId="0055A03C" w14:textId="08189EB8" w:rsidR="00A31EE2" w:rsidRDefault="00A31EE2" w:rsidP="00A31EE2">
            <w:pPr>
              <w:jc w:val="center"/>
              <w:rPr>
                <w:rFonts w:ascii="Arial" w:hAnsi="Arial" w:cs="Arial"/>
                <w:sz w:val="20"/>
              </w:rPr>
            </w:pPr>
            <w:r>
              <w:rPr>
                <w:rFonts w:ascii="Arial" w:hAnsi="Arial" w:cs="Arial"/>
                <w:sz w:val="20"/>
              </w:rPr>
              <w:t>EMLMR mode allows UL frame exchange with EMLMR Supported MCS And NSS too.</w:t>
            </w:r>
          </w:p>
        </w:tc>
        <w:tc>
          <w:tcPr>
            <w:tcW w:w="2880" w:type="dxa"/>
            <w:shd w:val="clear" w:color="auto" w:fill="auto"/>
            <w:noWrap/>
          </w:tcPr>
          <w:p w14:paraId="6FF0C14F" w14:textId="338DB8E9" w:rsidR="00A31EE2" w:rsidRDefault="00A31EE2" w:rsidP="00A31EE2">
            <w:pPr>
              <w:jc w:val="center"/>
              <w:rPr>
                <w:rFonts w:ascii="Arial" w:hAnsi="Arial" w:cs="Arial"/>
                <w:sz w:val="20"/>
              </w:rPr>
            </w:pPr>
            <w:r>
              <w:rPr>
                <w:rFonts w:ascii="Arial" w:hAnsi="Arial" w:cs="Arial"/>
                <w:sz w:val="20"/>
              </w:rPr>
              <w:t>change to bullets: 1) to listen.... 2) to EDCA and do frame exchange with EMLMR Supported MCS And NSS.</w:t>
            </w:r>
          </w:p>
        </w:tc>
        <w:tc>
          <w:tcPr>
            <w:tcW w:w="2989" w:type="dxa"/>
            <w:shd w:val="clear" w:color="auto" w:fill="auto"/>
            <w:vAlign w:val="center"/>
          </w:tcPr>
          <w:p w14:paraId="45B8250A" w14:textId="77777777" w:rsidR="00A31EE2" w:rsidRDefault="00BC051C" w:rsidP="00A31EE2">
            <w:pPr>
              <w:jc w:val="left"/>
              <w:rPr>
                <w:rFonts w:eastAsia="Times New Roman"/>
                <w:color w:val="000000"/>
                <w:sz w:val="20"/>
                <w:szCs w:val="14"/>
                <w:lang w:val="en-US"/>
              </w:rPr>
            </w:pPr>
            <w:r>
              <w:rPr>
                <w:rFonts w:eastAsia="Times New Roman"/>
                <w:color w:val="000000"/>
                <w:sz w:val="20"/>
                <w:szCs w:val="14"/>
                <w:lang w:val="en-US"/>
              </w:rPr>
              <w:t>Rejected</w:t>
            </w:r>
          </w:p>
          <w:p w14:paraId="023A3A40" w14:textId="77777777" w:rsidR="00BC051C" w:rsidRDefault="00BC051C" w:rsidP="00A31EE2">
            <w:pPr>
              <w:jc w:val="left"/>
              <w:rPr>
                <w:rFonts w:eastAsia="Times New Roman"/>
                <w:color w:val="000000"/>
                <w:sz w:val="20"/>
                <w:szCs w:val="14"/>
                <w:lang w:val="en-US"/>
              </w:rPr>
            </w:pPr>
          </w:p>
          <w:p w14:paraId="0234F7A7" w14:textId="5819908F" w:rsidR="00BC051C" w:rsidRDefault="00BC051C" w:rsidP="00A31EE2">
            <w:pPr>
              <w:jc w:val="left"/>
              <w:rPr>
                <w:rFonts w:eastAsia="Times New Roman"/>
                <w:color w:val="000000"/>
                <w:sz w:val="20"/>
                <w:szCs w:val="14"/>
                <w:lang w:val="en-US"/>
              </w:rPr>
            </w:pPr>
            <w:r>
              <w:rPr>
                <w:rFonts w:eastAsia="Times New Roman"/>
                <w:color w:val="000000"/>
                <w:sz w:val="20"/>
                <w:szCs w:val="14"/>
                <w:lang w:val="en-US"/>
              </w:rPr>
              <w:t xml:space="preserve">Discussion: this paragraph is just introduction. The full protocol description is in the subclause that follows the first paragraph. </w:t>
            </w:r>
          </w:p>
        </w:tc>
      </w:tr>
      <w:tr w:rsidR="00375E13" w:rsidRPr="004112A3" w14:paraId="6E697875" w14:textId="77777777" w:rsidTr="00567A32">
        <w:trPr>
          <w:trHeight w:val="553"/>
        </w:trPr>
        <w:tc>
          <w:tcPr>
            <w:tcW w:w="614" w:type="dxa"/>
            <w:shd w:val="clear" w:color="auto" w:fill="auto"/>
            <w:noWrap/>
            <w:vAlign w:val="center"/>
          </w:tcPr>
          <w:p w14:paraId="19438E25" w14:textId="77777777" w:rsidR="00375E13" w:rsidRDefault="00375E13" w:rsidP="00375E13">
            <w:pPr>
              <w:jc w:val="center"/>
              <w:rPr>
                <w:rFonts w:ascii="Arial" w:hAnsi="Arial" w:cs="Arial"/>
                <w:sz w:val="20"/>
                <w:lang w:val="en-US"/>
              </w:rPr>
            </w:pPr>
            <w:r>
              <w:rPr>
                <w:rFonts w:ascii="Arial" w:hAnsi="Arial" w:cs="Arial"/>
                <w:sz w:val="20"/>
              </w:rPr>
              <w:t>19295</w:t>
            </w:r>
          </w:p>
          <w:p w14:paraId="7307A4B1" w14:textId="77777777" w:rsidR="00375E13" w:rsidRPr="009F02E9" w:rsidRDefault="00375E13" w:rsidP="00375E13">
            <w:pPr>
              <w:jc w:val="center"/>
              <w:rPr>
                <w:rFonts w:eastAsia="Times New Roman"/>
                <w:b/>
                <w:bCs/>
                <w:color w:val="000000"/>
                <w:sz w:val="20"/>
                <w:szCs w:val="14"/>
                <w:lang w:val="en-US"/>
              </w:rPr>
            </w:pPr>
          </w:p>
        </w:tc>
        <w:tc>
          <w:tcPr>
            <w:tcW w:w="614" w:type="dxa"/>
            <w:shd w:val="clear" w:color="auto" w:fill="auto"/>
            <w:noWrap/>
          </w:tcPr>
          <w:p w14:paraId="07460574" w14:textId="465A3084" w:rsidR="00375E13" w:rsidRPr="009F02E9" w:rsidRDefault="00375E13" w:rsidP="00375E13">
            <w:pPr>
              <w:jc w:val="center"/>
              <w:rPr>
                <w:rFonts w:eastAsia="Times New Roman"/>
                <w:b/>
                <w:bCs/>
                <w:color w:val="000000"/>
                <w:sz w:val="20"/>
                <w:szCs w:val="14"/>
                <w:lang w:val="en-US"/>
              </w:rPr>
            </w:pPr>
            <w:r>
              <w:rPr>
                <w:rFonts w:ascii="Arial" w:hAnsi="Arial" w:cs="Arial"/>
                <w:sz w:val="20"/>
              </w:rPr>
              <w:t>568</w:t>
            </w:r>
          </w:p>
        </w:tc>
        <w:tc>
          <w:tcPr>
            <w:tcW w:w="790" w:type="dxa"/>
            <w:shd w:val="clear" w:color="auto" w:fill="auto"/>
            <w:noWrap/>
          </w:tcPr>
          <w:p w14:paraId="244BDD07" w14:textId="0D0418D7" w:rsidR="00375E13" w:rsidRPr="009F02E9" w:rsidRDefault="00375E13" w:rsidP="00375E13">
            <w:pPr>
              <w:jc w:val="center"/>
              <w:rPr>
                <w:rFonts w:eastAsia="Times New Roman"/>
                <w:b/>
                <w:bCs/>
                <w:color w:val="000000"/>
                <w:sz w:val="20"/>
                <w:szCs w:val="14"/>
                <w:lang w:val="en-US"/>
              </w:rPr>
            </w:pPr>
            <w:r>
              <w:rPr>
                <w:rFonts w:ascii="Arial" w:hAnsi="Arial" w:cs="Arial"/>
                <w:sz w:val="20"/>
              </w:rPr>
              <w:t>35</w:t>
            </w:r>
          </w:p>
        </w:tc>
        <w:tc>
          <w:tcPr>
            <w:tcW w:w="2387" w:type="dxa"/>
            <w:shd w:val="clear" w:color="auto" w:fill="auto"/>
            <w:noWrap/>
          </w:tcPr>
          <w:p w14:paraId="0D6B1DA1" w14:textId="271E51EE"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The abbreviations </w:t>
            </w:r>
            <w:proofErr w:type="spellStart"/>
            <w:r>
              <w:rPr>
                <w:rFonts w:ascii="Arial" w:hAnsi="Arial" w:cs="Arial"/>
                <w:sz w:val="20"/>
              </w:rPr>
              <w:t>Nss</w:t>
            </w:r>
            <w:proofErr w:type="spellEnd"/>
            <w:r>
              <w:rPr>
                <w:rFonts w:ascii="Arial" w:hAnsi="Arial" w:cs="Arial"/>
                <w:sz w:val="20"/>
              </w:rPr>
              <w:t xml:space="preserve"> is not defined in the document it would be clearer if the meaning is spelled out.  In addition, the phrase "satisfy the MCS, </w:t>
            </w:r>
            <w:proofErr w:type="spellStart"/>
            <w:r>
              <w:rPr>
                <w:rFonts w:ascii="Arial" w:hAnsi="Arial" w:cs="Arial"/>
                <w:sz w:val="20"/>
              </w:rPr>
              <w:t>Nss</w:t>
            </w:r>
            <w:proofErr w:type="spellEnd"/>
            <w:r>
              <w:rPr>
                <w:rFonts w:ascii="Arial" w:hAnsi="Arial" w:cs="Arial"/>
                <w:sz w:val="20"/>
              </w:rPr>
              <w:t xml:space="preserve"> capabilities in the EMLMR mode" is not clear</w:t>
            </w:r>
          </w:p>
        </w:tc>
        <w:tc>
          <w:tcPr>
            <w:tcW w:w="2880" w:type="dxa"/>
            <w:shd w:val="clear" w:color="auto" w:fill="auto"/>
            <w:noWrap/>
          </w:tcPr>
          <w:p w14:paraId="615C52EC" w14:textId="5139CC23" w:rsidR="00375E13" w:rsidRPr="009F02E9" w:rsidRDefault="00375E13" w:rsidP="00375E13">
            <w:pPr>
              <w:jc w:val="center"/>
              <w:rPr>
                <w:rFonts w:eastAsia="Times New Roman"/>
                <w:b/>
                <w:bCs/>
                <w:color w:val="000000"/>
                <w:sz w:val="20"/>
                <w:szCs w:val="14"/>
                <w:lang w:val="en-US"/>
              </w:rPr>
            </w:pPr>
            <w:r>
              <w:rPr>
                <w:rFonts w:ascii="Arial" w:hAnsi="Arial" w:cs="Arial"/>
                <w:sz w:val="20"/>
              </w:rPr>
              <w:t xml:space="preserve">Replace "...whose </w:t>
            </w:r>
            <w:proofErr w:type="spellStart"/>
            <w:r>
              <w:rPr>
                <w:rFonts w:ascii="Arial" w:hAnsi="Arial" w:cs="Arial"/>
                <w:sz w:val="20"/>
              </w:rPr>
              <w:t>Nss</w:t>
            </w:r>
            <w:proofErr w:type="spellEnd"/>
            <w:r>
              <w:rPr>
                <w:rFonts w:ascii="Arial" w:hAnsi="Arial" w:cs="Arial"/>
                <w:sz w:val="20"/>
              </w:rPr>
              <w:t xml:space="preserve"> satisfy..." with "...whose number of spatial streams (</w:t>
            </w:r>
            <w:proofErr w:type="spellStart"/>
            <w:r>
              <w:rPr>
                <w:rFonts w:ascii="Arial" w:hAnsi="Arial" w:cs="Arial"/>
                <w:sz w:val="20"/>
              </w:rPr>
              <w:t>Nss</w:t>
            </w:r>
            <w:proofErr w:type="spellEnd"/>
            <w:r>
              <w:rPr>
                <w:rFonts w:ascii="Arial" w:hAnsi="Arial" w:cs="Arial"/>
                <w:sz w:val="20"/>
              </w:rPr>
              <w:t>) satisfies...".</w:t>
            </w:r>
            <w:r>
              <w:rPr>
                <w:rFonts w:ascii="Arial" w:hAnsi="Arial" w:cs="Arial"/>
                <w:sz w:val="20"/>
              </w:rPr>
              <w:br/>
            </w:r>
            <w:r>
              <w:rPr>
                <w:rFonts w:ascii="Arial" w:hAnsi="Arial" w:cs="Arial"/>
                <w:sz w:val="20"/>
              </w:rPr>
              <w:br/>
              <w:t xml:space="preserve">Replace "...frame exchanges that satisfy the MCS, </w:t>
            </w:r>
            <w:proofErr w:type="spellStart"/>
            <w:r>
              <w:rPr>
                <w:rFonts w:ascii="Arial" w:hAnsi="Arial" w:cs="Arial"/>
                <w:sz w:val="20"/>
              </w:rPr>
              <w:t>Nss</w:t>
            </w:r>
            <w:proofErr w:type="spellEnd"/>
            <w:r>
              <w:rPr>
                <w:rFonts w:ascii="Arial" w:hAnsi="Arial" w:cs="Arial"/>
                <w:sz w:val="20"/>
              </w:rPr>
              <w:t xml:space="preserve"> capabilities..." with "...frame exchanges that satisfy the MCS and spatial stream capabilities...".</w:t>
            </w:r>
          </w:p>
        </w:tc>
        <w:tc>
          <w:tcPr>
            <w:tcW w:w="2989" w:type="dxa"/>
            <w:shd w:val="clear" w:color="auto" w:fill="auto"/>
            <w:vAlign w:val="center"/>
          </w:tcPr>
          <w:p w14:paraId="146C412D" w14:textId="6C5E1002" w:rsidR="00375E13" w:rsidRDefault="00375E13" w:rsidP="00375E13">
            <w:pPr>
              <w:jc w:val="left"/>
              <w:rPr>
                <w:rFonts w:eastAsia="Times New Roman"/>
                <w:color w:val="000000"/>
                <w:sz w:val="20"/>
                <w:szCs w:val="14"/>
                <w:lang w:val="en-US"/>
              </w:rPr>
            </w:pPr>
            <w:r>
              <w:rPr>
                <w:rFonts w:eastAsia="Times New Roman"/>
                <w:color w:val="000000"/>
                <w:sz w:val="20"/>
                <w:szCs w:val="14"/>
                <w:lang w:val="en-US"/>
              </w:rPr>
              <w:t>Revised</w:t>
            </w:r>
          </w:p>
          <w:p w14:paraId="6F991895" w14:textId="59E08456" w:rsidR="00375E13" w:rsidRDefault="00375E13" w:rsidP="00375E13">
            <w:pPr>
              <w:jc w:val="left"/>
              <w:rPr>
                <w:rFonts w:eastAsia="Times New Roman"/>
                <w:color w:val="000000"/>
                <w:sz w:val="20"/>
                <w:szCs w:val="14"/>
                <w:lang w:val="en-US"/>
              </w:rPr>
            </w:pPr>
          </w:p>
          <w:p w14:paraId="1541CCCF" w14:textId="49F1C53C" w:rsidR="00375E13" w:rsidRDefault="00375E13" w:rsidP="00375E13">
            <w:pPr>
              <w:jc w:val="left"/>
              <w:rPr>
                <w:sz w:val="20"/>
              </w:rPr>
            </w:pPr>
            <w:r>
              <w:rPr>
                <w:rFonts w:eastAsia="Times New Roman"/>
                <w:color w:val="000000"/>
                <w:sz w:val="20"/>
                <w:szCs w:val="14"/>
                <w:lang w:val="en-US"/>
              </w:rPr>
              <w:t>Discussion generally agree with the commenter. However “</w:t>
            </w:r>
            <w:proofErr w:type="spellStart"/>
            <w:r>
              <w:rPr>
                <w:rFonts w:eastAsia="Times New Roman"/>
                <w:color w:val="000000"/>
                <w:sz w:val="20"/>
                <w:szCs w:val="14"/>
                <w:lang w:val="en-US"/>
              </w:rPr>
              <w:t>Nss</w:t>
            </w:r>
            <w:proofErr w:type="spellEnd"/>
            <w:r>
              <w:rPr>
                <w:rFonts w:eastAsia="Times New Roman"/>
                <w:color w:val="000000"/>
                <w:sz w:val="20"/>
                <w:szCs w:val="14"/>
                <w:lang w:val="en-US"/>
              </w:rPr>
              <w:t xml:space="preserve">” should be changed to </w:t>
            </w:r>
            <w:r>
              <w:rPr>
                <w:sz w:val="20"/>
              </w:rPr>
              <w:t>“</w:t>
            </w:r>
            <w:r w:rsidRPr="000332D4">
              <w:rPr>
                <w:noProof/>
                <w:sz w:val="18"/>
                <w:szCs w:val="18"/>
              </w:rPr>
              <w:drawing>
                <wp:inline distT="0" distB="0" distL="0" distR="0" wp14:anchorId="5836084F" wp14:editId="2BE9B157">
                  <wp:extent cx="218685" cy="12861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sz w:val="20"/>
              </w:rPr>
              <w:t>”.</w:t>
            </w:r>
          </w:p>
          <w:p w14:paraId="5B286F87" w14:textId="31A12267" w:rsidR="00375E13" w:rsidRDefault="00375E13" w:rsidP="00375E13">
            <w:pPr>
              <w:jc w:val="left"/>
              <w:rPr>
                <w:sz w:val="20"/>
              </w:rPr>
            </w:pPr>
          </w:p>
          <w:p w14:paraId="0DB188D0" w14:textId="1173850F" w:rsidR="00375E13" w:rsidRDefault="00375E13" w:rsidP="00375E13">
            <w:pPr>
              <w:jc w:val="left"/>
              <w:rPr>
                <w:rFonts w:eastAsia="Times New Roman"/>
                <w:color w:val="000000"/>
                <w:sz w:val="20"/>
                <w:szCs w:val="14"/>
                <w:lang w:val="en-US"/>
              </w:rPr>
            </w:pPr>
            <w:r>
              <w:rPr>
                <w:sz w:val="20"/>
              </w:rPr>
              <w:t>TGbe editor: Please change “</w:t>
            </w:r>
            <w:proofErr w:type="spellStart"/>
            <w:r>
              <w:rPr>
                <w:sz w:val="20"/>
              </w:rPr>
              <w:t>Nss</w:t>
            </w:r>
            <w:proofErr w:type="spellEnd"/>
            <w:r>
              <w:rPr>
                <w:sz w:val="20"/>
              </w:rPr>
              <w:t>” to “</w:t>
            </w:r>
            <w:r w:rsidRPr="000332D4">
              <w:rPr>
                <w:noProof/>
                <w:sz w:val="18"/>
                <w:szCs w:val="18"/>
              </w:rPr>
              <w:drawing>
                <wp:inline distT="0" distB="0" distL="0" distR="0" wp14:anchorId="1C379218" wp14:editId="1AEC57C5">
                  <wp:extent cx="218685" cy="12861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sz w:val="20"/>
              </w:rPr>
              <w:t>” at P568L35 and P568L36.</w:t>
            </w:r>
          </w:p>
          <w:p w14:paraId="2DE612BC" w14:textId="36632416" w:rsidR="00375E13" w:rsidRPr="009F02E9" w:rsidRDefault="00375E13" w:rsidP="00375E13">
            <w:pPr>
              <w:jc w:val="center"/>
              <w:rPr>
                <w:rFonts w:eastAsia="Times New Roman"/>
                <w:color w:val="000000"/>
                <w:sz w:val="20"/>
                <w:szCs w:val="14"/>
                <w:lang w:val="en-US"/>
              </w:rPr>
            </w:pPr>
          </w:p>
        </w:tc>
      </w:tr>
      <w:tr w:rsidR="00D07308" w:rsidRPr="00DE3A51" w14:paraId="1D4E2A0C" w14:textId="77777777" w:rsidTr="00DE5147">
        <w:trPr>
          <w:trHeight w:val="787"/>
        </w:trPr>
        <w:tc>
          <w:tcPr>
            <w:tcW w:w="614" w:type="dxa"/>
            <w:shd w:val="clear" w:color="auto" w:fill="auto"/>
            <w:noWrap/>
          </w:tcPr>
          <w:p w14:paraId="641D8211" w14:textId="77777777" w:rsidR="00D07308" w:rsidRDefault="00D07308" w:rsidP="00D07308">
            <w:pPr>
              <w:jc w:val="left"/>
              <w:rPr>
                <w:rFonts w:ascii="Arial" w:hAnsi="Arial" w:cs="Arial"/>
                <w:sz w:val="20"/>
                <w:lang w:val="en-US"/>
              </w:rPr>
            </w:pPr>
            <w:r>
              <w:rPr>
                <w:rFonts w:ascii="Arial" w:hAnsi="Arial" w:cs="Arial"/>
                <w:sz w:val="20"/>
              </w:rPr>
              <w:t>19840</w:t>
            </w:r>
          </w:p>
          <w:p w14:paraId="0578F9B8" w14:textId="45FC67DE" w:rsidR="00D07308" w:rsidRPr="009B1179" w:rsidRDefault="00D07308" w:rsidP="00D07308">
            <w:pPr>
              <w:jc w:val="left"/>
              <w:rPr>
                <w:color w:val="00B050"/>
                <w:sz w:val="20"/>
                <w:szCs w:val="14"/>
                <w:rPrChange w:id="0" w:author="Alfred Aster" w:date="2023-08-29T09:07:00Z">
                  <w:rPr>
                    <w:sz w:val="20"/>
                    <w:szCs w:val="14"/>
                  </w:rPr>
                </w:rPrChange>
              </w:rPr>
            </w:pPr>
          </w:p>
        </w:tc>
        <w:tc>
          <w:tcPr>
            <w:tcW w:w="614" w:type="dxa"/>
            <w:shd w:val="clear" w:color="auto" w:fill="auto"/>
            <w:noWrap/>
          </w:tcPr>
          <w:p w14:paraId="0D10C73D" w14:textId="34797008" w:rsidR="00D07308" w:rsidRDefault="00D07308" w:rsidP="00D07308">
            <w:pPr>
              <w:jc w:val="left"/>
              <w:rPr>
                <w:rFonts w:ascii="Arial" w:hAnsi="Arial" w:cs="Arial"/>
                <w:sz w:val="20"/>
              </w:rPr>
            </w:pPr>
            <w:r>
              <w:rPr>
                <w:rFonts w:ascii="Arial" w:hAnsi="Arial" w:cs="Arial"/>
                <w:sz w:val="20"/>
              </w:rPr>
              <w:t>568</w:t>
            </w:r>
          </w:p>
        </w:tc>
        <w:tc>
          <w:tcPr>
            <w:tcW w:w="790" w:type="dxa"/>
            <w:shd w:val="clear" w:color="auto" w:fill="auto"/>
            <w:noWrap/>
          </w:tcPr>
          <w:p w14:paraId="57B815E6" w14:textId="31CBBDA5" w:rsidR="00D07308" w:rsidRDefault="00D07308" w:rsidP="00D07308">
            <w:pPr>
              <w:jc w:val="left"/>
              <w:rPr>
                <w:rFonts w:ascii="Arial" w:hAnsi="Arial" w:cs="Arial"/>
                <w:sz w:val="20"/>
              </w:rPr>
            </w:pPr>
            <w:r>
              <w:rPr>
                <w:rFonts w:ascii="Arial" w:hAnsi="Arial" w:cs="Arial"/>
                <w:sz w:val="20"/>
              </w:rPr>
              <w:t>36</w:t>
            </w:r>
          </w:p>
        </w:tc>
        <w:tc>
          <w:tcPr>
            <w:tcW w:w="2387" w:type="dxa"/>
            <w:shd w:val="clear" w:color="auto" w:fill="auto"/>
            <w:noWrap/>
          </w:tcPr>
          <w:p w14:paraId="4C2CEEDF" w14:textId="6F92C221" w:rsidR="00D07308" w:rsidRDefault="00D07308" w:rsidP="00D07308">
            <w:pPr>
              <w:jc w:val="left"/>
              <w:rPr>
                <w:rFonts w:ascii="Arial" w:hAnsi="Arial" w:cs="Arial"/>
                <w:sz w:val="20"/>
              </w:rPr>
            </w:pPr>
            <w:r>
              <w:rPr>
                <w:rFonts w:ascii="Arial" w:hAnsi="Arial" w:cs="Arial"/>
                <w:sz w:val="20"/>
              </w:rPr>
              <w:t xml:space="preserve">The spec has </w:t>
            </w:r>
            <w:proofErr w:type="spellStart"/>
            <w:r>
              <w:rPr>
                <w:rFonts w:ascii="Arial" w:hAnsi="Arial" w:cs="Arial"/>
                <w:sz w:val="20"/>
              </w:rPr>
              <w:t>N_ss</w:t>
            </w:r>
            <w:proofErr w:type="spellEnd"/>
            <w:r>
              <w:rPr>
                <w:rFonts w:ascii="Arial" w:hAnsi="Arial" w:cs="Arial"/>
                <w:sz w:val="20"/>
              </w:rPr>
              <w:t xml:space="preserve">, NSS and </w:t>
            </w:r>
            <w:proofErr w:type="spellStart"/>
            <w:r>
              <w:rPr>
                <w:rFonts w:ascii="Arial" w:hAnsi="Arial" w:cs="Arial"/>
                <w:sz w:val="20"/>
              </w:rPr>
              <w:t>Nss</w:t>
            </w:r>
            <w:proofErr w:type="spellEnd"/>
            <w:r>
              <w:rPr>
                <w:rFonts w:ascii="Arial" w:hAnsi="Arial" w:cs="Arial"/>
                <w:sz w:val="20"/>
              </w:rPr>
              <w:t xml:space="preserve"> used in different places. Please unify.</w:t>
            </w:r>
          </w:p>
        </w:tc>
        <w:tc>
          <w:tcPr>
            <w:tcW w:w="2880" w:type="dxa"/>
            <w:shd w:val="clear" w:color="auto" w:fill="auto"/>
            <w:noWrap/>
          </w:tcPr>
          <w:p w14:paraId="72D4C470" w14:textId="6C2E54A9" w:rsidR="00D07308" w:rsidRDefault="00D07308" w:rsidP="00D07308">
            <w:pPr>
              <w:jc w:val="left"/>
              <w:rPr>
                <w:rFonts w:ascii="Arial" w:hAnsi="Arial" w:cs="Arial"/>
                <w:sz w:val="20"/>
              </w:rPr>
            </w:pPr>
            <w:r>
              <w:rPr>
                <w:rFonts w:ascii="Arial" w:hAnsi="Arial" w:cs="Arial"/>
                <w:sz w:val="20"/>
              </w:rPr>
              <w:t>As in the comment.</w:t>
            </w:r>
          </w:p>
        </w:tc>
        <w:tc>
          <w:tcPr>
            <w:tcW w:w="2989" w:type="dxa"/>
            <w:shd w:val="clear" w:color="auto" w:fill="auto"/>
          </w:tcPr>
          <w:p w14:paraId="6938F5D6" w14:textId="1F8F0B43" w:rsidR="00D07308" w:rsidRDefault="00D07308" w:rsidP="00D07308">
            <w:pPr>
              <w:pStyle w:val="Default"/>
              <w:rPr>
                <w:sz w:val="20"/>
                <w:szCs w:val="20"/>
              </w:rPr>
            </w:pPr>
            <w:r>
              <w:rPr>
                <w:sz w:val="20"/>
                <w:szCs w:val="20"/>
              </w:rPr>
              <w:t>Re</w:t>
            </w:r>
            <w:r w:rsidR="00375E13">
              <w:rPr>
                <w:sz w:val="20"/>
                <w:szCs w:val="20"/>
              </w:rPr>
              <w:t>vised</w:t>
            </w:r>
          </w:p>
          <w:p w14:paraId="7C3ADB13" w14:textId="77777777" w:rsidR="00D07308" w:rsidRDefault="00D07308" w:rsidP="00D07308">
            <w:pPr>
              <w:pStyle w:val="Default"/>
              <w:rPr>
                <w:sz w:val="20"/>
                <w:szCs w:val="20"/>
              </w:rPr>
            </w:pPr>
          </w:p>
          <w:p w14:paraId="38CC7136" w14:textId="0A98CE30" w:rsidR="00D07308" w:rsidRDefault="00D07308" w:rsidP="00D07308">
            <w:pPr>
              <w:pStyle w:val="SP21278922"/>
              <w:spacing w:before="480" w:after="240"/>
              <w:rPr>
                <w:sz w:val="20"/>
                <w:szCs w:val="20"/>
              </w:rPr>
            </w:pPr>
            <w:r>
              <w:rPr>
                <w:sz w:val="20"/>
                <w:szCs w:val="20"/>
              </w:rPr>
              <w:t xml:space="preserve">Discussion: </w:t>
            </w:r>
            <w:r w:rsidR="00375E13">
              <w:rPr>
                <w:sz w:val="20"/>
                <w:szCs w:val="20"/>
              </w:rPr>
              <w:t>at</w:t>
            </w:r>
            <w:r>
              <w:rPr>
                <w:sz w:val="20"/>
                <w:szCs w:val="20"/>
              </w:rPr>
              <w:t xml:space="preserve"> P568L57, P570L45, P570L50, “NSS” is used since it is defined as part of  the field name “</w:t>
            </w:r>
            <w:r w:rsidRPr="00D07308">
              <w:rPr>
                <w:rFonts w:ascii="Times New Roman" w:hAnsi="Times New Roman" w:cs="Times New Roman"/>
                <w:sz w:val="20"/>
                <w:szCs w:val="20"/>
              </w:rPr>
              <w:t>EMLMR Supported MCS And NSS Set</w:t>
            </w:r>
            <w:r>
              <w:rPr>
                <w:sz w:val="20"/>
                <w:szCs w:val="20"/>
              </w:rPr>
              <w:t xml:space="preserve">”. </w:t>
            </w:r>
            <w:r w:rsidR="00375E13">
              <w:rPr>
                <w:sz w:val="20"/>
                <w:szCs w:val="20"/>
              </w:rPr>
              <w:t>At</w:t>
            </w:r>
            <w:r>
              <w:rPr>
                <w:sz w:val="20"/>
                <w:szCs w:val="20"/>
              </w:rPr>
              <w:t xml:space="preserve"> P568L55, P568L63, P568L64, </w:t>
            </w:r>
            <w:r w:rsidR="000332D4">
              <w:rPr>
                <w:sz w:val="20"/>
                <w:szCs w:val="20"/>
              </w:rPr>
              <w:t>“</w:t>
            </w:r>
            <w:r w:rsidRPr="000332D4">
              <w:rPr>
                <w:noProof/>
                <w:sz w:val="18"/>
                <w:szCs w:val="18"/>
              </w:rPr>
              <w:drawing>
                <wp:inline distT="0" distB="0" distL="0" distR="0" wp14:anchorId="65A3B74B" wp14:editId="0E584E66">
                  <wp:extent cx="218685" cy="1286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0332D4">
              <w:rPr>
                <w:sz w:val="20"/>
                <w:szCs w:val="20"/>
              </w:rPr>
              <w:t xml:space="preserve">” </w:t>
            </w:r>
            <w:r>
              <w:rPr>
                <w:sz w:val="20"/>
                <w:szCs w:val="20"/>
              </w:rPr>
              <w:t xml:space="preserve">is used to </w:t>
            </w:r>
            <w:r w:rsidR="00AB43F6">
              <w:rPr>
                <w:sz w:val="20"/>
                <w:szCs w:val="20"/>
              </w:rPr>
              <w:t>as</w:t>
            </w:r>
            <w:r>
              <w:rPr>
                <w:sz w:val="20"/>
                <w:szCs w:val="20"/>
              </w:rPr>
              <w:t xml:space="preserve"> the number of spatial stream. </w:t>
            </w:r>
            <w:proofErr w:type="spellStart"/>
            <w:r w:rsidR="000332D4">
              <w:rPr>
                <w:sz w:val="20"/>
                <w:szCs w:val="20"/>
              </w:rPr>
              <w:t>N_ss</w:t>
            </w:r>
            <w:proofErr w:type="spellEnd"/>
            <w:r w:rsidR="000332D4">
              <w:rPr>
                <w:sz w:val="20"/>
                <w:szCs w:val="20"/>
              </w:rPr>
              <w:t xml:space="preserve"> can’t be found in 35.3.18.</w:t>
            </w:r>
            <w:r w:rsidR="00375E13">
              <w:rPr>
                <w:sz w:val="20"/>
                <w:szCs w:val="20"/>
              </w:rPr>
              <w:t xml:space="preserve"> However “</w:t>
            </w:r>
            <w:proofErr w:type="spellStart"/>
            <w:r w:rsidR="00375E13">
              <w:rPr>
                <w:sz w:val="20"/>
                <w:szCs w:val="20"/>
              </w:rPr>
              <w:t>Nss</w:t>
            </w:r>
            <w:proofErr w:type="spellEnd"/>
            <w:r w:rsidR="00375E13">
              <w:rPr>
                <w:sz w:val="20"/>
                <w:szCs w:val="20"/>
              </w:rPr>
              <w:t>” at L35, L36 should be changed to “</w:t>
            </w:r>
            <w:r w:rsidR="00375E13" w:rsidRPr="000332D4">
              <w:rPr>
                <w:noProof/>
                <w:sz w:val="18"/>
                <w:szCs w:val="18"/>
              </w:rPr>
              <w:drawing>
                <wp:inline distT="0" distB="0" distL="0" distR="0" wp14:anchorId="7EB34BF6" wp14:editId="3F76086A">
                  <wp:extent cx="218685" cy="128611"/>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sidR="00375E13">
              <w:rPr>
                <w:sz w:val="20"/>
                <w:szCs w:val="20"/>
              </w:rPr>
              <w:t>”.</w:t>
            </w:r>
          </w:p>
          <w:p w14:paraId="34A525B3" w14:textId="072973A0" w:rsidR="00375E13" w:rsidRDefault="00375E13" w:rsidP="00375E13">
            <w:pPr>
              <w:pStyle w:val="Default"/>
            </w:pPr>
          </w:p>
          <w:p w14:paraId="63F3EB52" w14:textId="77777777" w:rsidR="00375E13" w:rsidRDefault="00375E13" w:rsidP="00375E13">
            <w:pPr>
              <w:jc w:val="left"/>
              <w:rPr>
                <w:rFonts w:eastAsia="Times New Roman"/>
                <w:color w:val="000000"/>
                <w:sz w:val="20"/>
                <w:szCs w:val="14"/>
                <w:lang w:val="en-US"/>
              </w:rPr>
            </w:pPr>
            <w:r>
              <w:rPr>
                <w:sz w:val="20"/>
              </w:rPr>
              <w:t>TGbe editor: Please change “</w:t>
            </w:r>
            <w:proofErr w:type="spellStart"/>
            <w:r>
              <w:rPr>
                <w:sz w:val="20"/>
              </w:rPr>
              <w:t>Nss</w:t>
            </w:r>
            <w:proofErr w:type="spellEnd"/>
            <w:r>
              <w:rPr>
                <w:sz w:val="20"/>
              </w:rPr>
              <w:t>” to “</w:t>
            </w:r>
            <w:r w:rsidRPr="000332D4">
              <w:rPr>
                <w:noProof/>
                <w:sz w:val="18"/>
                <w:szCs w:val="18"/>
              </w:rPr>
              <w:drawing>
                <wp:inline distT="0" distB="0" distL="0" distR="0" wp14:anchorId="1F978D58" wp14:editId="141639AB">
                  <wp:extent cx="218685" cy="128611"/>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670" cy="140953"/>
                          </a:xfrm>
                          <a:prstGeom prst="rect">
                            <a:avLst/>
                          </a:prstGeom>
                          <a:noFill/>
                          <a:ln>
                            <a:noFill/>
                          </a:ln>
                        </pic:spPr>
                      </pic:pic>
                    </a:graphicData>
                  </a:graphic>
                </wp:inline>
              </w:drawing>
            </w:r>
            <w:r>
              <w:rPr>
                <w:sz w:val="20"/>
              </w:rPr>
              <w:t>” at P568L35 and P568L36.</w:t>
            </w:r>
          </w:p>
          <w:p w14:paraId="5C4575B9" w14:textId="77777777" w:rsidR="00375E13" w:rsidRPr="00375E13" w:rsidRDefault="00375E13" w:rsidP="00375E13">
            <w:pPr>
              <w:pStyle w:val="Default"/>
            </w:pPr>
          </w:p>
          <w:p w14:paraId="796B1D40" w14:textId="1ADD59D8" w:rsidR="00375E13" w:rsidRPr="00375E13" w:rsidRDefault="00375E13" w:rsidP="00375E13">
            <w:pPr>
              <w:pStyle w:val="Default"/>
            </w:pPr>
          </w:p>
        </w:tc>
      </w:tr>
      <w:tr w:rsidR="000332D4" w:rsidRPr="004112A3" w14:paraId="4D3124B7" w14:textId="77777777" w:rsidTr="00DE5147">
        <w:trPr>
          <w:trHeight w:val="787"/>
        </w:trPr>
        <w:tc>
          <w:tcPr>
            <w:tcW w:w="614" w:type="dxa"/>
            <w:shd w:val="clear" w:color="auto" w:fill="auto"/>
            <w:noWrap/>
          </w:tcPr>
          <w:p w14:paraId="14D6B1B9" w14:textId="77777777" w:rsidR="000332D4" w:rsidRDefault="000332D4" w:rsidP="000332D4">
            <w:pPr>
              <w:jc w:val="left"/>
              <w:rPr>
                <w:rFonts w:ascii="Arial" w:hAnsi="Arial" w:cs="Arial"/>
                <w:sz w:val="20"/>
                <w:lang w:val="en-US"/>
              </w:rPr>
            </w:pPr>
            <w:r>
              <w:rPr>
                <w:rFonts w:ascii="Arial" w:hAnsi="Arial" w:cs="Arial"/>
                <w:sz w:val="20"/>
              </w:rPr>
              <w:t>19842</w:t>
            </w:r>
          </w:p>
          <w:p w14:paraId="5AAFC355" w14:textId="774EAF6A" w:rsidR="000332D4" w:rsidRDefault="000332D4" w:rsidP="000332D4">
            <w:pPr>
              <w:jc w:val="left"/>
              <w:rPr>
                <w:sz w:val="20"/>
                <w:szCs w:val="14"/>
              </w:rPr>
            </w:pPr>
          </w:p>
        </w:tc>
        <w:tc>
          <w:tcPr>
            <w:tcW w:w="614" w:type="dxa"/>
            <w:shd w:val="clear" w:color="auto" w:fill="auto"/>
            <w:noWrap/>
          </w:tcPr>
          <w:p w14:paraId="23E57DD4" w14:textId="70F997B5" w:rsidR="000332D4" w:rsidRDefault="000332D4" w:rsidP="000332D4">
            <w:pPr>
              <w:jc w:val="left"/>
              <w:rPr>
                <w:sz w:val="18"/>
                <w:szCs w:val="18"/>
              </w:rPr>
            </w:pPr>
            <w:r>
              <w:rPr>
                <w:rFonts w:ascii="Arial" w:hAnsi="Arial" w:cs="Arial"/>
                <w:sz w:val="20"/>
              </w:rPr>
              <w:t>568</w:t>
            </w:r>
          </w:p>
        </w:tc>
        <w:tc>
          <w:tcPr>
            <w:tcW w:w="790" w:type="dxa"/>
            <w:shd w:val="clear" w:color="auto" w:fill="auto"/>
            <w:noWrap/>
          </w:tcPr>
          <w:p w14:paraId="361901B6" w14:textId="323DF902" w:rsidR="000332D4" w:rsidRDefault="000332D4" w:rsidP="000332D4">
            <w:pPr>
              <w:jc w:val="left"/>
              <w:rPr>
                <w:sz w:val="18"/>
                <w:szCs w:val="18"/>
              </w:rPr>
            </w:pPr>
            <w:r>
              <w:rPr>
                <w:rFonts w:ascii="Arial" w:hAnsi="Arial" w:cs="Arial"/>
                <w:sz w:val="20"/>
              </w:rPr>
              <w:t>60</w:t>
            </w:r>
          </w:p>
        </w:tc>
        <w:tc>
          <w:tcPr>
            <w:tcW w:w="2387" w:type="dxa"/>
            <w:shd w:val="clear" w:color="auto" w:fill="auto"/>
            <w:noWrap/>
          </w:tcPr>
          <w:p w14:paraId="786378D5" w14:textId="28F7480C" w:rsidR="000332D4" w:rsidRDefault="000332D4" w:rsidP="000332D4">
            <w:pPr>
              <w:jc w:val="left"/>
              <w:rPr>
                <w:sz w:val="18"/>
                <w:szCs w:val="18"/>
              </w:rPr>
            </w:pPr>
            <w:r>
              <w:rPr>
                <w:rFonts w:ascii="Arial" w:hAnsi="Arial" w:cs="Arial"/>
                <w:sz w:val="20"/>
              </w:rPr>
              <w:t>Why is a 20MHz-only non-AP EHT STA not allowed to be an EMLMR STA?</w:t>
            </w:r>
          </w:p>
        </w:tc>
        <w:tc>
          <w:tcPr>
            <w:tcW w:w="2880" w:type="dxa"/>
            <w:shd w:val="clear" w:color="auto" w:fill="auto"/>
            <w:noWrap/>
          </w:tcPr>
          <w:p w14:paraId="1B1F7BCB" w14:textId="3193B27A" w:rsidR="000332D4" w:rsidRDefault="000332D4" w:rsidP="000332D4">
            <w:pPr>
              <w:jc w:val="left"/>
              <w:rPr>
                <w:sz w:val="18"/>
                <w:szCs w:val="18"/>
              </w:rPr>
            </w:pPr>
            <w:r>
              <w:rPr>
                <w:rFonts w:ascii="Arial" w:hAnsi="Arial" w:cs="Arial"/>
                <w:sz w:val="20"/>
              </w:rPr>
              <w:t>Please clarify.</w:t>
            </w:r>
          </w:p>
        </w:tc>
        <w:tc>
          <w:tcPr>
            <w:tcW w:w="2989" w:type="dxa"/>
            <w:shd w:val="clear" w:color="auto" w:fill="auto"/>
          </w:tcPr>
          <w:p w14:paraId="36A132CD" w14:textId="77777777" w:rsidR="000332D4" w:rsidRDefault="000332D4" w:rsidP="000332D4">
            <w:pPr>
              <w:jc w:val="left"/>
              <w:rPr>
                <w:rFonts w:eastAsia="Times New Roman"/>
                <w:color w:val="000000"/>
                <w:sz w:val="20"/>
                <w:lang w:val="en-US"/>
              </w:rPr>
            </w:pPr>
            <w:r>
              <w:rPr>
                <w:rFonts w:eastAsia="Times New Roman"/>
                <w:color w:val="000000"/>
                <w:sz w:val="20"/>
                <w:lang w:val="en-US"/>
              </w:rPr>
              <w:t>Rejected</w:t>
            </w:r>
          </w:p>
          <w:p w14:paraId="52894295" w14:textId="77777777" w:rsidR="000332D4" w:rsidRDefault="000332D4" w:rsidP="000332D4">
            <w:pPr>
              <w:jc w:val="left"/>
              <w:rPr>
                <w:rFonts w:eastAsia="Times New Roman"/>
                <w:color w:val="000000"/>
                <w:sz w:val="20"/>
                <w:lang w:val="en-US"/>
              </w:rPr>
            </w:pPr>
          </w:p>
          <w:p w14:paraId="7F85DB0B" w14:textId="20EDA091" w:rsidR="000332D4" w:rsidRPr="00D436D2" w:rsidRDefault="000332D4" w:rsidP="000332D4">
            <w:pPr>
              <w:jc w:val="left"/>
              <w:rPr>
                <w:rFonts w:eastAsia="Times New Roman"/>
                <w:color w:val="000000"/>
                <w:sz w:val="20"/>
                <w:lang w:val="en-US"/>
              </w:rPr>
            </w:pPr>
            <w:r>
              <w:rPr>
                <w:rFonts w:eastAsia="Times New Roman"/>
                <w:color w:val="000000"/>
                <w:sz w:val="20"/>
                <w:lang w:val="en-US"/>
              </w:rPr>
              <w:t>Discussion: the non-AP MLD with 20MHz STA in 5/6 GHz link is IOT device, and should be implemented as simple as possible. The STA in 2.4 GHz link will be part of STR link pair whose support of EMLMR can’t help the throughput improvement.</w:t>
            </w:r>
          </w:p>
        </w:tc>
      </w:tr>
      <w:tr w:rsidR="000332D4" w:rsidRPr="004112A3" w14:paraId="29C21B67" w14:textId="77777777" w:rsidTr="00DE5147">
        <w:trPr>
          <w:trHeight w:val="787"/>
        </w:trPr>
        <w:tc>
          <w:tcPr>
            <w:tcW w:w="614" w:type="dxa"/>
            <w:shd w:val="clear" w:color="auto" w:fill="auto"/>
            <w:noWrap/>
          </w:tcPr>
          <w:p w14:paraId="283C4E87" w14:textId="77777777" w:rsidR="000332D4" w:rsidRDefault="000332D4" w:rsidP="000332D4">
            <w:pPr>
              <w:jc w:val="left"/>
              <w:rPr>
                <w:rFonts w:ascii="Arial" w:hAnsi="Arial" w:cs="Arial"/>
                <w:sz w:val="20"/>
                <w:lang w:val="en-US"/>
              </w:rPr>
            </w:pPr>
            <w:r>
              <w:rPr>
                <w:rFonts w:ascii="Arial" w:hAnsi="Arial" w:cs="Arial"/>
                <w:sz w:val="20"/>
              </w:rPr>
              <w:lastRenderedPageBreak/>
              <w:t>19979</w:t>
            </w:r>
          </w:p>
          <w:p w14:paraId="715A53B9" w14:textId="7E780E2F" w:rsidR="000332D4" w:rsidRDefault="000332D4" w:rsidP="000332D4">
            <w:pPr>
              <w:jc w:val="left"/>
              <w:rPr>
                <w:sz w:val="20"/>
                <w:szCs w:val="14"/>
              </w:rPr>
            </w:pPr>
          </w:p>
        </w:tc>
        <w:tc>
          <w:tcPr>
            <w:tcW w:w="614" w:type="dxa"/>
            <w:shd w:val="clear" w:color="auto" w:fill="auto"/>
            <w:noWrap/>
          </w:tcPr>
          <w:p w14:paraId="314AD8D8" w14:textId="6D5D7BA4" w:rsidR="000332D4" w:rsidRDefault="000332D4" w:rsidP="000332D4">
            <w:pPr>
              <w:jc w:val="left"/>
              <w:rPr>
                <w:sz w:val="18"/>
                <w:szCs w:val="18"/>
              </w:rPr>
            </w:pPr>
            <w:r>
              <w:rPr>
                <w:rFonts w:ascii="Arial" w:hAnsi="Arial" w:cs="Arial"/>
                <w:sz w:val="20"/>
              </w:rPr>
              <w:t>568</w:t>
            </w:r>
          </w:p>
        </w:tc>
        <w:tc>
          <w:tcPr>
            <w:tcW w:w="790" w:type="dxa"/>
            <w:shd w:val="clear" w:color="auto" w:fill="auto"/>
            <w:noWrap/>
          </w:tcPr>
          <w:p w14:paraId="1F6D9B08" w14:textId="365D3DB0" w:rsidR="000332D4" w:rsidRDefault="000332D4" w:rsidP="000332D4">
            <w:pPr>
              <w:jc w:val="left"/>
              <w:rPr>
                <w:sz w:val="18"/>
                <w:szCs w:val="18"/>
              </w:rPr>
            </w:pPr>
            <w:r>
              <w:rPr>
                <w:rFonts w:ascii="Arial" w:hAnsi="Arial" w:cs="Arial"/>
                <w:sz w:val="20"/>
              </w:rPr>
              <w:t>29</w:t>
            </w:r>
          </w:p>
        </w:tc>
        <w:tc>
          <w:tcPr>
            <w:tcW w:w="2387" w:type="dxa"/>
            <w:shd w:val="clear" w:color="auto" w:fill="auto"/>
            <w:noWrap/>
          </w:tcPr>
          <w:p w14:paraId="4AE13D19" w14:textId="18584641" w:rsidR="000332D4" w:rsidRDefault="000332D4" w:rsidP="000332D4">
            <w:pPr>
              <w:jc w:val="left"/>
              <w:rPr>
                <w:sz w:val="18"/>
                <w:szCs w:val="18"/>
              </w:rPr>
            </w:pPr>
            <w:r>
              <w:rPr>
                <w:rFonts w:ascii="Arial" w:hAnsi="Arial" w:cs="Arial"/>
                <w:sz w:val="20"/>
              </w:rPr>
              <w:t>While a non-AP MLD is communicating with its associated AP MLD and is operating under the EMLMR mode, how it is possible for the non-AP MLD to establish one or multiple peer-to-peer links with another peer non-AP MLD is not clear based on the latest IEEE 802.11be specification. Also, the P2P setup procedure, while operating in the EMLMR mode, is currently missing in the spec.</w:t>
            </w:r>
          </w:p>
        </w:tc>
        <w:tc>
          <w:tcPr>
            <w:tcW w:w="2880" w:type="dxa"/>
            <w:shd w:val="clear" w:color="auto" w:fill="auto"/>
            <w:noWrap/>
          </w:tcPr>
          <w:p w14:paraId="3DF1D4F4" w14:textId="0D8BF3C6" w:rsidR="000332D4" w:rsidRDefault="000332D4" w:rsidP="000332D4">
            <w:pPr>
              <w:jc w:val="left"/>
              <w:rPr>
                <w:sz w:val="18"/>
                <w:szCs w:val="18"/>
              </w:rPr>
            </w:pPr>
            <w:r>
              <w:rPr>
                <w:rFonts w:ascii="Arial" w:hAnsi="Arial" w:cs="Arial"/>
                <w:sz w:val="20"/>
              </w:rPr>
              <w:t>Please provide text on the procedures to transition into P2P mode when the non-AP MLD has been in EMLMR mode with its associated AP MLD.</w:t>
            </w:r>
          </w:p>
        </w:tc>
        <w:tc>
          <w:tcPr>
            <w:tcW w:w="2989" w:type="dxa"/>
            <w:shd w:val="clear" w:color="auto" w:fill="auto"/>
          </w:tcPr>
          <w:p w14:paraId="6FE132FA" w14:textId="2FEC96C1" w:rsidR="000332D4" w:rsidRDefault="00AB43F6" w:rsidP="000332D4">
            <w:pPr>
              <w:jc w:val="left"/>
              <w:rPr>
                <w:rFonts w:eastAsia="Times New Roman"/>
                <w:color w:val="000000"/>
                <w:sz w:val="18"/>
                <w:szCs w:val="18"/>
                <w:lang w:val="en-US"/>
              </w:rPr>
            </w:pPr>
            <w:r>
              <w:rPr>
                <w:rFonts w:eastAsia="Times New Roman"/>
                <w:color w:val="000000"/>
                <w:sz w:val="18"/>
                <w:szCs w:val="18"/>
                <w:lang w:val="en-US"/>
              </w:rPr>
              <w:t>Rejected</w:t>
            </w:r>
          </w:p>
          <w:p w14:paraId="4F3A641C" w14:textId="77777777" w:rsidR="00AB43F6" w:rsidRDefault="00AB43F6" w:rsidP="000332D4">
            <w:pPr>
              <w:jc w:val="left"/>
              <w:rPr>
                <w:rFonts w:eastAsia="Times New Roman"/>
                <w:color w:val="000000"/>
                <w:sz w:val="18"/>
                <w:szCs w:val="18"/>
                <w:lang w:val="en-US"/>
              </w:rPr>
            </w:pPr>
          </w:p>
          <w:p w14:paraId="01836B90" w14:textId="3724B578" w:rsidR="00AB43F6" w:rsidRPr="001909E5" w:rsidRDefault="00AB43F6" w:rsidP="000332D4">
            <w:pPr>
              <w:jc w:val="left"/>
              <w:rPr>
                <w:rFonts w:eastAsia="Times New Roman"/>
                <w:color w:val="000000"/>
                <w:sz w:val="18"/>
                <w:szCs w:val="18"/>
                <w:lang w:val="en-US"/>
              </w:rPr>
            </w:pPr>
            <w:r>
              <w:rPr>
                <w:rFonts w:eastAsia="Times New Roman"/>
                <w:color w:val="000000"/>
                <w:sz w:val="18"/>
                <w:szCs w:val="18"/>
                <w:lang w:val="en-US"/>
              </w:rPr>
              <w:t xml:space="preserve">Discussion: </w:t>
            </w:r>
            <w:r w:rsidR="00C87281">
              <w:rPr>
                <w:rFonts w:eastAsia="Times New Roman"/>
                <w:color w:val="000000"/>
                <w:sz w:val="18"/>
                <w:szCs w:val="18"/>
                <w:lang w:val="en-US"/>
              </w:rPr>
              <w:t>there is no P2P MLD setup protocol in 11be. Between two non-AP MLDs, a single link TDLS with no MLD operation can be established.</w:t>
            </w:r>
          </w:p>
        </w:tc>
      </w:tr>
      <w:tr w:rsidR="00C87281" w:rsidRPr="004112A3" w14:paraId="0631FBDB" w14:textId="77777777" w:rsidTr="00DE5147">
        <w:trPr>
          <w:trHeight w:val="787"/>
        </w:trPr>
        <w:tc>
          <w:tcPr>
            <w:tcW w:w="614" w:type="dxa"/>
            <w:shd w:val="clear" w:color="auto" w:fill="auto"/>
            <w:noWrap/>
          </w:tcPr>
          <w:p w14:paraId="407E12ED" w14:textId="77777777" w:rsidR="00C87281" w:rsidRDefault="00C87281" w:rsidP="00C87281">
            <w:pPr>
              <w:jc w:val="left"/>
              <w:rPr>
                <w:rFonts w:ascii="Arial" w:hAnsi="Arial" w:cs="Arial"/>
                <w:sz w:val="20"/>
                <w:lang w:val="en-US"/>
              </w:rPr>
            </w:pPr>
            <w:r>
              <w:rPr>
                <w:rFonts w:ascii="Arial" w:hAnsi="Arial" w:cs="Arial"/>
                <w:sz w:val="20"/>
              </w:rPr>
              <w:t>19848</w:t>
            </w:r>
          </w:p>
          <w:p w14:paraId="16A1F8B7" w14:textId="206EF950" w:rsidR="00C87281" w:rsidRDefault="00C87281" w:rsidP="00C87281">
            <w:pPr>
              <w:jc w:val="left"/>
              <w:rPr>
                <w:sz w:val="20"/>
                <w:szCs w:val="14"/>
              </w:rPr>
            </w:pPr>
          </w:p>
        </w:tc>
        <w:tc>
          <w:tcPr>
            <w:tcW w:w="614" w:type="dxa"/>
            <w:shd w:val="clear" w:color="auto" w:fill="auto"/>
            <w:noWrap/>
          </w:tcPr>
          <w:p w14:paraId="5ECF4F98" w14:textId="72D5D9DA" w:rsidR="00C87281" w:rsidRDefault="00C87281" w:rsidP="00C87281">
            <w:pPr>
              <w:jc w:val="left"/>
              <w:rPr>
                <w:sz w:val="18"/>
                <w:szCs w:val="18"/>
              </w:rPr>
            </w:pPr>
            <w:r>
              <w:rPr>
                <w:rFonts w:ascii="Arial" w:hAnsi="Arial" w:cs="Arial"/>
                <w:sz w:val="20"/>
              </w:rPr>
              <w:t>569</w:t>
            </w:r>
          </w:p>
        </w:tc>
        <w:tc>
          <w:tcPr>
            <w:tcW w:w="790" w:type="dxa"/>
            <w:shd w:val="clear" w:color="auto" w:fill="auto"/>
            <w:noWrap/>
          </w:tcPr>
          <w:p w14:paraId="522D6ADF" w14:textId="11136D4B" w:rsidR="00C87281" w:rsidRDefault="00C87281" w:rsidP="00C87281">
            <w:pPr>
              <w:jc w:val="left"/>
              <w:rPr>
                <w:sz w:val="18"/>
                <w:szCs w:val="18"/>
              </w:rPr>
            </w:pPr>
            <w:r>
              <w:rPr>
                <w:rFonts w:ascii="Arial" w:hAnsi="Arial" w:cs="Arial"/>
                <w:sz w:val="20"/>
              </w:rPr>
              <w:t>45</w:t>
            </w:r>
          </w:p>
        </w:tc>
        <w:tc>
          <w:tcPr>
            <w:tcW w:w="2387" w:type="dxa"/>
            <w:shd w:val="clear" w:color="auto" w:fill="auto"/>
            <w:noWrap/>
          </w:tcPr>
          <w:p w14:paraId="3369DDB4" w14:textId="4AC25FB6" w:rsidR="00C87281" w:rsidRDefault="00C87281" w:rsidP="00C87281">
            <w:pPr>
              <w:jc w:val="left"/>
              <w:rPr>
                <w:sz w:val="18"/>
                <w:szCs w:val="18"/>
              </w:rPr>
            </w:pPr>
            <w:r>
              <w:rPr>
                <w:rFonts w:ascii="Arial" w:hAnsi="Arial" w:cs="Arial"/>
                <w:sz w:val="20"/>
              </w:rPr>
              <w:t>Clarification is required on how group-addressed frames are received by an EMLMR device</w:t>
            </w:r>
          </w:p>
        </w:tc>
        <w:tc>
          <w:tcPr>
            <w:tcW w:w="2880" w:type="dxa"/>
            <w:shd w:val="clear" w:color="auto" w:fill="auto"/>
            <w:noWrap/>
          </w:tcPr>
          <w:p w14:paraId="7F6B236B" w14:textId="1DDEB132" w:rsidR="00C87281" w:rsidRDefault="00C87281" w:rsidP="00C87281">
            <w:pPr>
              <w:jc w:val="left"/>
              <w:rPr>
                <w:sz w:val="18"/>
                <w:szCs w:val="18"/>
              </w:rPr>
            </w:pPr>
            <w:r>
              <w:rPr>
                <w:rFonts w:ascii="Arial" w:hAnsi="Arial" w:cs="Arial"/>
                <w:sz w:val="20"/>
              </w:rPr>
              <w:t>Please provide details.</w:t>
            </w:r>
          </w:p>
        </w:tc>
        <w:tc>
          <w:tcPr>
            <w:tcW w:w="2989" w:type="dxa"/>
            <w:shd w:val="clear" w:color="auto" w:fill="auto"/>
          </w:tcPr>
          <w:p w14:paraId="55BE55BC" w14:textId="77777777" w:rsidR="00C87281" w:rsidRDefault="00C87281" w:rsidP="00C87281">
            <w:pPr>
              <w:jc w:val="left"/>
              <w:rPr>
                <w:rFonts w:eastAsia="Times New Roman"/>
                <w:color w:val="000000"/>
                <w:sz w:val="18"/>
                <w:szCs w:val="18"/>
                <w:lang w:val="en-US"/>
              </w:rPr>
            </w:pPr>
            <w:r>
              <w:rPr>
                <w:rFonts w:eastAsia="Times New Roman"/>
                <w:color w:val="000000"/>
                <w:sz w:val="18"/>
                <w:szCs w:val="18"/>
                <w:lang w:val="en-US"/>
              </w:rPr>
              <w:t>Rejected</w:t>
            </w:r>
          </w:p>
          <w:p w14:paraId="01EC0171" w14:textId="77777777" w:rsidR="00C87281" w:rsidRDefault="00C87281" w:rsidP="00C87281">
            <w:pPr>
              <w:jc w:val="left"/>
              <w:rPr>
                <w:rFonts w:eastAsia="Times New Roman"/>
                <w:color w:val="000000"/>
                <w:sz w:val="18"/>
                <w:szCs w:val="18"/>
                <w:lang w:val="en-US"/>
              </w:rPr>
            </w:pPr>
          </w:p>
          <w:p w14:paraId="55FFEDFE" w14:textId="77777777" w:rsidR="00C87281" w:rsidRDefault="00C87281" w:rsidP="00C87281">
            <w:pPr>
              <w:jc w:val="left"/>
              <w:rPr>
                <w:rFonts w:eastAsia="Times New Roman"/>
                <w:color w:val="000000"/>
                <w:sz w:val="18"/>
                <w:szCs w:val="18"/>
                <w:lang w:val="en-US"/>
              </w:rPr>
            </w:pPr>
            <w:r>
              <w:rPr>
                <w:rFonts w:eastAsia="Times New Roman"/>
                <w:color w:val="000000"/>
                <w:sz w:val="18"/>
                <w:szCs w:val="18"/>
                <w:lang w:val="en-US"/>
              </w:rPr>
              <w:t>Discussion: it is up to the non-AP MLD to decide the link for receiving the Beacon and group-addressed frames.</w:t>
            </w:r>
          </w:p>
          <w:p w14:paraId="4C3AC8B1" w14:textId="5EC51FB4" w:rsidR="00C87281" w:rsidRPr="001909E5" w:rsidRDefault="00C87281" w:rsidP="00C87281">
            <w:pPr>
              <w:jc w:val="left"/>
              <w:rPr>
                <w:rFonts w:eastAsia="Times New Roman"/>
                <w:color w:val="000000"/>
                <w:sz w:val="18"/>
                <w:szCs w:val="18"/>
                <w:lang w:val="en-US"/>
              </w:rPr>
            </w:pPr>
          </w:p>
        </w:tc>
      </w:tr>
      <w:tr w:rsidR="00A121F9" w:rsidRPr="004112A3" w14:paraId="7DE55485" w14:textId="77777777" w:rsidTr="00DE5147">
        <w:trPr>
          <w:trHeight w:val="787"/>
        </w:trPr>
        <w:tc>
          <w:tcPr>
            <w:tcW w:w="614" w:type="dxa"/>
            <w:shd w:val="clear" w:color="auto" w:fill="auto"/>
            <w:noWrap/>
          </w:tcPr>
          <w:p w14:paraId="55BC1FCC" w14:textId="77777777" w:rsidR="00A121F9" w:rsidRPr="00A121F9" w:rsidRDefault="00A121F9" w:rsidP="00A121F9">
            <w:pPr>
              <w:jc w:val="left"/>
              <w:rPr>
                <w:rFonts w:ascii="Arial" w:hAnsi="Arial" w:cs="Arial"/>
                <w:sz w:val="20"/>
                <w:lang w:val="en-US"/>
              </w:rPr>
            </w:pPr>
            <w:r w:rsidRPr="00A121F9">
              <w:rPr>
                <w:rFonts w:ascii="Arial" w:hAnsi="Arial" w:cs="Arial"/>
                <w:sz w:val="20"/>
              </w:rPr>
              <w:t>19728</w:t>
            </w:r>
          </w:p>
          <w:p w14:paraId="4697B3F6" w14:textId="6A03EAE2" w:rsidR="00A121F9" w:rsidRDefault="00A121F9" w:rsidP="00A121F9">
            <w:pPr>
              <w:jc w:val="left"/>
              <w:rPr>
                <w:sz w:val="20"/>
                <w:szCs w:val="14"/>
              </w:rPr>
            </w:pPr>
          </w:p>
        </w:tc>
        <w:tc>
          <w:tcPr>
            <w:tcW w:w="614" w:type="dxa"/>
            <w:shd w:val="clear" w:color="auto" w:fill="auto"/>
            <w:noWrap/>
          </w:tcPr>
          <w:p w14:paraId="44DFAF12" w14:textId="5AAF6CA6" w:rsidR="00A121F9" w:rsidRDefault="00A121F9" w:rsidP="00A121F9">
            <w:pPr>
              <w:jc w:val="left"/>
              <w:rPr>
                <w:sz w:val="18"/>
                <w:szCs w:val="18"/>
              </w:rPr>
            </w:pPr>
            <w:r>
              <w:rPr>
                <w:rFonts w:ascii="Arial" w:hAnsi="Arial" w:cs="Arial"/>
                <w:sz w:val="20"/>
              </w:rPr>
              <w:t>568</w:t>
            </w:r>
          </w:p>
        </w:tc>
        <w:tc>
          <w:tcPr>
            <w:tcW w:w="790" w:type="dxa"/>
            <w:shd w:val="clear" w:color="auto" w:fill="auto"/>
            <w:noWrap/>
          </w:tcPr>
          <w:p w14:paraId="544C230C" w14:textId="16E80BF3" w:rsidR="00A121F9" w:rsidRDefault="00A121F9" w:rsidP="00A121F9">
            <w:pPr>
              <w:jc w:val="left"/>
              <w:rPr>
                <w:sz w:val="18"/>
                <w:szCs w:val="18"/>
              </w:rPr>
            </w:pPr>
            <w:r>
              <w:rPr>
                <w:rFonts w:ascii="Arial" w:hAnsi="Arial" w:cs="Arial"/>
                <w:sz w:val="20"/>
              </w:rPr>
              <w:t>31</w:t>
            </w:r>
          </w:p>
        </w:tc>
        <w:tc>
          <w:tcPr>
            <w:tcW w:w="2387" w:type="dxa"/>
            <w:shd w:val="clear" w:color="auto" w:fill="auto"/>
            <w:noWrap/>
          </w:tcPr>
          <w:p w14:paraId="07E97794" w14:textId="11F2311F" w:rsidR="00A121F9" w:rsidRDefault="00A121F9" w:rsidP="00A121F9">
            <w:pPr>
              <w:jc w:val="left"/>
              <w:rPr>
                <w:sz w:val="18"/>
                <w:szCs w:val="18"/>
              </w:rPr>
            </w:pPr>
            <w:r>
              <w:rPr>
                <w:rFonts w:ascii="Arial" w:hAnsi="Arial" w:cs="Arial"/>
                <w:sz w:val="20"/>
              </w:rPr>
              <w:t>Is it not clear that once the initial control frame transmitted by the AP, all the links whose link IDs correspond to the bits in the EMLMR Link Bitmap subfield set to 1 are enabled or some of the links whose IDs correspond to the bits in the EMLMR Link Bitmap subfield set to 1 are enabled?</w:t>
            </w:r>
          </w:p>
        </w:tc>
        <w:tc>
          <w:tcPr>
            <w:tcW w:w="2880" w:type="dxa"/>
            <w:shd w:val="clear" w:color="auto" w:fill="auto"/>
            <w:noWrap/>
          </w:tcPr>
          <w:p w14:paraId="229D11AE" w14:textId="13533A59" w:rsidR="00A121F9" w:rsidRDefault="00A121F9" w:rsidP="00A121F9">
            <w:pPr>
              <w:jc w:val="left"/>
              <w:rPr>
                <w:sz w:val="18"/>
                <w:szCs w:val="18"/>
              </w:rPr>
            </w:pPr>
            <w:r>
              <w:rPr>
                <w:rFonts w:ascii="Arial" w:hAnsi="Arial" w:cs="Arial"/>
                <w:sz w:val="20"/>
              </w:rPr>
              <w:t>Please clarify that after the initial frame sent by the AP, it is to enable all links whose corresponding bits in the EMLMR Link Bitmap subfield are set to 1 or it can enable part of links whose corresponding bits in the EMLMR Link Bitmap subfield are set to 1 .</w:t>
            </w:r>
          </w:p>
        </w:tc>
        <w:tc>
          <w:tcPr>
            <w:tcW w:w="2989" w:type="dxa"/>
            <w:shd w:val="clear" w:color="auto" w:fill="auto"/>
          </w:tcPr>
          <w:p w14:paraId="6125878F" w14:textId="77777777" w:rsidR="00A121F9" w:rsidRDefault="00A121F9" w:rsidP="00A121F9">
            <w:pPr>
              <w:jc w:val="left"/>
              <w:rPr>
                <w:rFonts w:eastAsia="Times New Roman"/>
                <w:color w:val="000000"/>
                <w:sz w:val="18"/>
                <w:szCs w:val="18"/>
                <w:lang w:val="en-US"/>
              </w:rPr>
            </w:pPr>
            <w:r>
              <w:rPr>
                <w:rFonts w:eastAsia="Times New Roman"/>
                <w:color w:val="000000"/>
                <w:sz w:val="18"/>
                <w:szCs w:val="18"/>
                <w:lang w:val="en-US"/>
              </w:rPr>
              <w:t>Rejected</w:t>
            </w:r>
          </w:p>
          <w:p w14:paraId="4B229671" w14:textId="77777777" w:rsidR="00A121F9" w:rsidRDefault="00A121F9" w:rsidP="00A121F9">
            <w:pPr>
              <w:jc w:val="left"/>
              <w:rPr>
                <w:rFonts w:eastAsia="Times New Roman"/>
                <w:color w:val="000000"/>
                <w:sz w:val="18"/>
                <w:szCs w:val="18"/>
                <w:lang w:val="en-US"/>
              </w:rPr>
            </w:pPr>
          </w:p>
          <w:p w14:paraId="595DC898" w14:textId="5FD6A7CB" w:rsidR="00A121F9" w:rsidRPr="001909E5" w:rsidRDefault="00A121F9" w:rsidP="00A121F9">
            <w:pPr>
              <w:jc w:val="left"/>
              <w:rPr>
                <w:rFonts w:eastAsia="Times New Roman"/>
                <w:color w:val="000000"/>
                <w:sz w:val="18"/>
                <w:szCs w:val="18"/>
                <w:lang w:val="en-US"/>
              </w:rPr>
            </w:pPr>
            <w:r>
              <w:rPr>
                <w:rFonts w:eastAsia="Times New Roman"/>
                <w:color w:val="000000"/>
                <w:sz w:val="18"/>
                <w:szCs w:val="18"/>
                <w:lang w:val="en-US"/>
              </w:rPr>
              <w:t>Discussion:  the initial control frame has no influence to the EMLMR links being enabled or disabled. The EMLMR links being enabled or disabled are decided by the TID-to-link mapping.</w:t>
            </w:r>
          </w:p>
        </w:tc>
      </w:tr>
      <w:tr w:rsidR="00CA7866" w:rsidRPr="004112A3" w14:paraId="4FA1ADD5" w14:textId="77777777" w:rsidTr="00DE5147">
        <w:trPr>
          <w:trHeight w:val="787"/>
        </w:trPr>
        <w:tc>
          <w:tcPr>
            <w:tcW w:w="614" w:type="dxa"/>
            <w:shd w:val="clear" w:color="auto" w:fill="auto"/>
            <w:noWrap/>
          </w:tcPr>
          <w:p w14:paraId="21010F0C" w14:textId="77777777" w:rsidR="00CA7866" w:rsidRDefault="00CA7866" w:rsidP="00CA7866">
            <w:pPr>
              <w:jc w:val="left"/>
              <w:rPr>
                <w:rFonts w:ascii="Arial" w:hAnsi="Arial" w:cs="Arial"/>
                <w:sz w:val="20"/>
                <w:lang w:val="en-US"/>
              </w:rPr>
            </w:pPr>
            <w:r>
              <w:rPr>
                <w:rFonts w:ascii="Arial" w:hAnsi="Arial" w:cs="Arial"/>
                <w:sz w:val="20"/>
              </w:rPr>
              <w:t>19847</w:t>
            </w:r>
          </w:p>
          <w:p w14:paraId="61E86255" w14:textId="3242CE3B" w:rsidR="00CA7866" w:rsidRDefault="00CA7866" w:rsidP="00CA7866">
            <w:pPr>
              <w:jc w:val="left"/>
              <w:rPr>
                <w:sz w:val="20"/>
                <w:szCs w:val="14"/>
              </w:rPr>
            </w:pPr>
          </w:p>
        </w:tc>
        <w:tc>
          <w:tcPr>
            <w:tcW w:w="614" w:type="dxa"/>
            <w:shd w:val="clear" w:color="auto" w:fill="auto"/>
            <w:noWrap/>
          </w:tcPr>
          <w:p w14:paraId="2B114600" w14:textId="313D3FDF" w:rsidR="00CA7866" w:rsidRDefault="00CA7866" w:rsidP="00CA7866">
            <w:pPr>
              <w:jc w:val="left"/>
              <w:rPr>
                <w:sz w:val="18"/>
                <w:szCs w:val="18"/>
              </w:rPr>
            </w:pPr>
            <w:r>
              <w:rPr>
                <w:rFonts w:ascii="Arial" w:hAnsi="Arial" w:cs="Arial"/>
                <w:sz w:val="20"/>
              </w:rPr>
              <w:t>571</w:t>
            </w:r>
          </w:p>
        </w:tc>
        <w:tc>
          <w:tcPr>
            <w:tcW w:w="790" w:type="dxa"/>
            <w:shd w:val="clear" w:color="auto" w:fill="auto"/>
            <w:noWrap/>
          </w:tcPr>
          <w:p w14:paraId="50B72FC9" w14:textId="15C81DF7" w:rsidR="00CA7866" w:rsidRDefault="00CA7866" w:rsidP="00CA7866">
            <w:pPr>
              <w:jc w:val="left"/>
              <w:rPr>
                <w:sz w:val="18"/>
                <w:szCs w:val="18"/>
              </w:rPr>
            </w:pPr>
            <w:r>
              <w:rPr>
                <w:rFonts w:ascii="Arial" w:hAnsi="Arial" w:cs="Arial"/>
                <w:sz w:val="20"/>
              </w:rPr>
              <w:t>1</w:t>
            </w:r>
          </w:p>
        </w:tc>
        <w:tc>
          <w:tcPr>
            <w:tcW w:w="2387" w:type="dxa"/>
            <w:shd w:val="clear" w:color="auto" w:fill="auto"/>
            <w:noWrap/>
          </w:tcPr>
          <w:p w14:paraId="1EB11E4B" w14:textId="4B627CAB" w:rsidR="00CA7866" w:rsidRDefault="00CA7866" w:rsidP="00CA7866">
            <w:pPr>
              <w:jc w:val="left"/>
              <w:rPr>
                <w:sz w:val="18"/>
                <w:szCs w:val="18"/>
              </w:rPr>
            </w:pPr>
            <w:r>
              <w:rPr>
                <w:rFonts w:ascii="Arial" w:hAnsi="Arial" w:cs="Arial"/>
                <w:sz w:val="20"/>
              </w:rPr>
              <w:t>If two EMLSR STAs affiliated with a non-AP MLD obtain TXOPs that overlap and initiate frame exchanges with the respective APs affiliated with AP MLD, are there any restrictions on their TXOP duration or end times?</w:t>
            </w:r>
          </w:p>
        </w:tc>
        <w:tc>
          <w:tcPr>
            <w:tcW w:w="2880" w:type="dxa"/>
            <w:shd w:val="clear" w:color="auto" w:fill="auto"/>
            <w:noWrap/>
          </w:tcPr>
          <w:p w14:paraId="0BE3E8C8" w14:textId="1C557B66" w:rsidR="00CA7866" w:rsidRDefault="00CA7866" w:rsidP="00CA7866">
            <w:pPr>
              <w:jc w:val="left"/>
              <w:rPr>
                <w:sz w:val="18"/>
                <w:szCs w:val="18"/>
              </w:rPr>
            </w:pPr>
            <w:r>
              <w:rPr>
                <w:rFonts w:ascii="Arial" w:hAnsi="Arial" w:cs="Arial"/>
                <w:sz w:val="20"/>
              </w:rPr>
              <w:t>Please clarify.</w:t>
            </w:r>
          </w:p>
        </w:tc>
        <w:tc>
          <w:tcPr>
            <w:tcW w:w="2989" w:type="dxa"/>
            <w:shd w:val="clear" w:color="auto" w:fill="auto"/>
          </w:tcPr>
          <w:p w14:paraId="173DCF16"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Rejected</w:t>
            </w:r>
          </w:p>
          <w:p w14:paraId="526898F7" w14:textId="77777777" w:rsidR="00CA7866" w:rsidRDefault="00CA7866" w:rsidP="00CA7866">
            <w:pPr>
              <w:jc w:val="left"/>
              <w:rPr>
                <w:rFonts w:eastAsia="Times New Roman"/>
                <w:color w:val="000000"/>
                <w:sz w:val="18"/>
                <w:szCs w:val="18"/>
                <w:lang w:val="en-US"/>
              </w:rPr>
            </w:pPr>
          </w:p>
          <w:p w14:paraId="6CB37ED5" w14:textId="77777777" w:rsidR="00CA7866" w:rsidRDefault="00CA7866" w:rsidP="00CA7866">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19522</w:t>
            </w:r>
          </w:p>
          <w:p w14:paraId="0D175731" w14:textId="77777777" w:rsidR="00CA7866" w:rsidRDefault="00CA7866" w:rsidP="00CA7866">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43FCADBB" w14:textId="33660AA7" w:rsidR="00CA7866" w:rsidRPr="001909E5" w:rsidRDefault="00CA7866" w:rsidP="00CA7866">
            <w:pPr>
              <w:jc w:val="left"/>
              <w:rPr>
                <w:rFonts w:eastAsia="Times New Roman"/>
                <w:color w:val="000000"/>
                <w:sz w:val="18"/>
                <w:szCs w:val="18"/>
                <w:lang w:val="en-US"/>
              </w:rPr>
            </w:pPr>
          </w:p>
        </w:tc>
      </w:tr>
      <w:tr w:rsidR="00FD7CF8" w:rsidRPr="004112A3" w14:paraId="1D5AFBD4" w14:textId="77777777" w:rsidTr="00DE5147">
        <w:trPr>
          <w:trHeight w:val="787"/>
        </w:trPr>
        <w:tc>
          <w:tcPr>
            <w:tcW w:w="614" w:type="dxa"/>
            <w:shd w:val="clear" w:color="auto" w:fill="auto"/>
            <w:noWrap/>
          </w:tcPr>
          <w:p w14:paraId="3A03524B" w14:textId="77777777" w:rsidR="00FD7CF8" w:rsidRDefault="00FD7CF8" w:rsidP="00FD7CF8">
            <w:pPr>
              <w:jc w:val="left"/>
              <w:rPr>
                <w:rFonts w:ascii="Arial" w:hAnsi="Arial" w:cs="Arial"/>
                <w:sz w:val="20"/>
                <w:lang w:val="en-US"/>
              </w:rPr>
            </w:pPr>
            <w:r>
              <w:rPr>
                <w:rFonts w:ascii="Arial" w:hAnsi="Arial" w:cs="Arial"/>
                <w:sz w:val="20"/>
              </w:rPr>
              <w:t>19846</w:t>
            </w:r>
          </w:p>
          <w:p w14:paraId="49E5F69B" w14:textId="77777777" w:rsidR="00FD7CF8" w:rsidRDefault="00FD7CF8" w:rsidP="00FD7CF8">
            <w:pPr>
              <w:jc w:val="left"/>
              <w:rPr>
                <w:rFonts w:ascii="Arial" w:hAnsi="Arial" w:cs="Arial"/>
                <w:sz w:val="20"/>
              </w:rPr>
            </w:pPr>
          </w:p>
        </w:tc>
        <w:tc>
          <w:tcPr>
            <w:tcW w:w="614" w:type="dxa"/>
            <w:shd w:val="clear" w:color="auto" w:fill="auto"/>
            <w:noWrap/>
          </w:tcPr>
          <w:p w14:paraId="16326CD5" w14:textId="7E5999AA" w:rsidR="00FD7CF8" w:rsidRDefault="00FD7CF8" w:rsidP="00FD7CF8">
            <w:pPr>
              <w:jc w:val="left"/>
              <w:rPr>
                <w:rFonts w:ascii="Arial" w:hAnsi="Arial" w:cs="Arial"/>
                <w:sz w:val="20"/>
              </w:rPr>
            </w:pPr>
            <w:r>
              <w:rPr>
                <w:rFonts w:ascii="Arial" w:hAnsi="Arial" w:cs="Arial"/>
                <w:sz w:val="20"/>
              </w:rPr>
              <w:t>571</w:t>
            </w:r>
          </w:p>
        </w:tc>
        <w:tc>
          <w:tcPr>
            <w:tcW w:w="790" w:type="dxa"/>
            <w:shd w:val="clear" w:color="auto" w:fill="auto"/>
            <w:noWrap/>
          </w:tcPr>
          <w:p w14:paraId="2785D6A9" w14:textId="4E690691" w:rsidR="00FD7CF8" w:rsidRDefault="00FD7CF8" w:rsidP="00FD7CF8">
            <w:pPr>
              <w:jc w:val="left"/>
              <w:rPr>
                <w:rFonts w:ascii="Arial" w:hAnsi="Arial" w:cs="Arial"/>
                <w:sz w:val="20"/>
              </w:rPr>
            </w:pPr>
            <w:r>
              <w:rPr>
                <w:rFonts w:ascii="Arial" w:hAnsi="Arial" w:cs="Arial"/>
                <w:sz w:val="20"/>
              </w:rPr>
              <w:t>1</w:t>
            </w:r>
          </w:p>
        </w:tc>
        <w:tc>
          <w:tcPr>
            <w:tcW w:w="2387" w:type="dxa"/>
            <w:shd w:val="clear" w:color="auto" w:fill="auto"/>
            <w:noWrap/>
          </w:tcPr>
          <w:p w14:paraId="5488DC79" w14:textId="6A7FFB81" w:rsidR="00FD7CF8" w:rsidRDefault="00FD7CF8" w:rsidP="00FD7CF8">
            <w:pPr>
              <w:jc w:val="left"/>
              <w:rPr>
                <w:rFonts w:ascii="Arial" w:hAnsi="Arial" w:cs="Arial"/>
                <w:sz w:val="20"/>
              </w:rPr>
            </w:pPr>
            <w:r>
              <w:rPr>
                <w:rFonts w:ascii="Arial" w:hAnsi="Arial" w:cs="Arial"/>
                <w:sz w:val="20"/>
              </w:rPr>
              <w:t>If an EMLMR STA affiliated with a non-AP MLD obtains a TXOP and transmits a frame to the AP MLD, is another AP affiliated with the AP MLD allowed to initiate a frame exchange with another EMLSR STA of the non-AP MLD during that TXOP?</w:t>
            </w:r>
          </w:p>
        </w:tc>
        <w:tc>
          <w:tcPr>
            <w:tcW w:w="2880" w:type="dxa"/>
            <w:shd w:val="clear" w:color="auto" w:fill="auto"/>
            <w:noWrap/>
          </w:tcPr>
          <w:p w14:paraId="217EE7F3" w14:textId="4AE06233" w:rsidR="00FD7CF8" w:rsidRDefault="00FD7CF8" w:rsidP="00FD7CF8">
            <w:pPr>
              <w:jc w:val="left"/>
              <w:rPr>
                <w:rFonts w:ascii="Arial" w:hAnsi="Arial" w:cs="Arial"/>
                <w:sz w:val="20"/>
              </w:rPr>
            </w:pPr>
            <w:r>
              <w:rPr>
                <w:rFonts w:ascii="Arial" w:hAnsi="Arial" w:cs="Arial"/>
                <w:sz w:val="20"/>
              </w:rPr>
              <w:t>Please clarify.</w:t>
            </w:r>
          </w:p>
        </w:tc>
        <w:tc>
          <w:tcPr>
            <w:tcW w:w="2989" w:type="dxa"/>
            <w:shd w:val="clear" w:color="auto" w:fill="auto"/>
          </w:tcPr>
          <w:p w14:paraId="698F6E7F" w14:textId="77777777"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Rejected</w:t>
            </w:r>
          </w:p>
          <w:p w14:paraId="3E8EE218" w14:textId="77777777" w:rsidR="00FD7CF8" w:rsidRDefault="00FD7CF8" w:rsidP="00FD7CF8">
            <w:pPr>
              <w:jc w:val="left"/>
              <w:rPr>
                <w:rFonts w:eastAsia="Times New Roman"/>
                <w:color w:val="000000"/>
                <w:sz w:val="18"/>
                <w:szCs w:val="18"/>
                <w:lang w:val="en-US"/>
              </w:rPr>
            </w:pPr>
          </w:p>
          <w:p w14:paraId="0A847D80" w14:textId="53201879" w:rsidR="00FD7CF8" w:rsidRDefault="00FD7CF8" w:rsidP="00FD7CF8">
            <w:pPr>
              <w:jc w:val="left"/>
              <w:rPr>
                <w:rFonts w:eastAsia="Times New Roman"/>
                <w:color w:val="000000"/>
                <w:sz w:val="18"/>
                <w:szCs w:val="18"/>
                <w:lang w:val="en-US"/>
              </w:rPr>
            </w:pPr>
            <w:r>
              <w:rPr>
                <w:rFonts w:eastAsia="Times New Roman"/>
                <w:color w:val="000000"/>
                <w:sz w:val="18"/>
                <w:szCs w:val="18"/>
                <w:lang w:val="en-US"/>
              </w:rPr>
              <w:t>Discussion: several similar comments were submitted where the group rejected them. The following is the resolution agreed by the group in LB 271 for  comment 16429</w:t>
            </w:r>
          </w:p>
          <w:p w14:paraId="5D611097" w14:textId="77777777" w:rsidR="00FD7CF8" w:rsidRDefault="00FD7CF8" w:rsidP="00FD7CF8">
            <w:pPr>
              <w:ind w:left="720"/>
              <w:jc w:val="left"/>
              <w:rPr>
                <w:rFonts w:eastAsia="Times New Roman"/>
                <w:color w:val="000000"/>
                <w:sz w:val="18"/>
                <w:szCs w:val="18"/>
                <w:lang w:val="en-US"/>
              </w:rPr>
            </w:pPr>
            <w:r>
              <w:rPr>
                <w:rFonts w:eastAsia="Times New Roman"/>
                <w:color w:val="000000"/>
                <w:sz w:val="18"/>
                <w:szCs w:val="18"/>
                <w:lang w:val="en-US"/>
              </w:rPr>
              <w:t xml:space="preserve">The comment fails to identify a technical issue. The spec clarifies what the behavior is on the </w:t>
            </w:r>
            <w:proofErr w:type="spellStart"/>
            <w:r>
              <w:rPr>
                <w:rFonts w:eastAsia="Times New Roman"/>
                <w:color w:val="000000"/>
                <w:sz w:val="18"/>
                <w:szCs w:val="18"/>
                <w:lang w:val="en-US"/>
              </w:rPr>
              <w:t>eMLMR</w:t>
            </w:r>
            <w:proofErr w:type="spellEnd"/>
            <w:r>
              <w:rPr>
                <w:rFonts w:eastAsia="Times New Roman"/>
                <w:color w:val="000000"/>
                <w:sz w:val="18"/>
                <w:szCs w:val="18"/>
                <w:lang w:val="en-US"/>
              </w:rPr>
              <w:t xml:space="preserve"> links which is required to provide the desired functionality. Defining functionality for the other links adds to the complexity while not providing much gains. Please note that if the non-AP MLD intends to use the multiple links it can always move to operate as an MLMR MLD.</w:t>
            </w:r>
          </w:p>
          <w:p w14:paraId="1C950E86" w14:textId="77777777" w:rsidR="00FD7CF8" w:rsidRDefault="00FD7CF8" w:rsidP="00FD7CF8">
            <w:pPr>
              <w:jc w:val="left"/>
              <w:rPr>
                <w:rFonts w:eastAsia="Times New Roman"/>
                <w:color w:val="000000"/>
                <w:sz w:val="18"/>
                <w:szCs w:val="18"/>
                <w:lang w:val="en-US"/>
              </w:rPr>
            </w:pPr>
          </w:p>
        </w:tc>
      </w:tr>
      <w:tr w:rsidR="00B2623D" w:rsidRPr="004112A3" w14:paraId="3E4ED620" w14:textId="77777777" w:rsidTr="00DE5147">
        <w:trPr>
          <w:trHeight w:val="787"/>
        </w:trPr>
        <w:tc>
          <w:tcPr>
            <w:tcW w:w="614" w:type="dxa"/>
            <w:shd w:val="clear" w:color="auto" w:fill="auto"/>
            <w:noWrap/>
          </w:tcPr>
          <w:p w14:paraId="55A10ACD" w14:textId="77777777" w:rsidR="00B2623D" w:rsidRDefault="00B2623D" w:rsidP="00B2623D">
            <w:pPr>
              <w:jc w:val="left"/>
              <w:rPr>
                <w:rFonts w:ascii="Arial" w:hAnsi="Arial" w:cs="Arial"/>
                <w:sz w:val="20"/>
                <w:lang w:val="en-US"/>
              </w:rPr>
            </w:pPr>
            <w:r>
              <w:rPr>
                <w:rFonts w:ascii="Arial" w:hAnsi="Arial" w:cs="Arial"/>
                <w:sz w:val="20"/>
              </w:rPr>
              <w:t>19843</w:t>
            </w:r>
          </w:p>
          <w:p w14:paraId="61F20E4C" w14:textId="77777777" w:rsidR="00B2623D" w:rsidRDefault="00B2623D" w:rsidP="00B2623D">
            <w:pPr>
              <w:jc w:val="left"/>
              <w:rPr>
                <w:rFonts w:ascii="Arial" w:hAnsi="Arial" w:cs="Arial"/>
                <w:sz w:val="20"/>
              </w:rPr>
            </w:pPr>
          </w:p>
        </w:tc>
        <w:tc>
          <w:tcPr>
            <w:tcW w:w="614" w:type="dxa"/>
            <w:shd w:val="clear" w:color="auto" w:fill="auto"/>
            <w:noWrap/>
          </w:tcPr>
          <w:p w14:paraId="1E1B52ED" w14:textId="02A7968B" w:rsidR="00B2623D" w:rsidRDefault="00B2623D" w:rsidP="00B2623D">
            <w:pPr>
              <w:jc w:val="left"/>
              <w:rPr>
                <w:rFonts w:ascii="Arial" w:hAnsi="Arial" w:cs="Arial"/>
                <w:sz w:val="20"/>
              </w:rPr>
            </w:pPr>
            <w:r>
              <w:rPr>
                <w:rFonts w:ascii="Arial" w:hAnsi="Arial" w:cs="Arial"/>
                <w:sz w:val="20"/>
              </w:rPr>
              <w:t>569</w:t>
            </w:r>
          </w:p>
        </w:tc>
        <w:tc>
          <w:tcPr>
            <w:tcW w:w="790" w:type="dxa"/>
            <w:shd w:val="clear" w:color="auto" w:fill="auto"/>
            <w:noWrap/>
          </w:tcPr>
          <w:p w14:paraId="1949155B" w14:textId="72470F56" w:rsidR="00B2623D" w:rsidRDefault="00B2623D" w:rsidP="00B2623D">
            <w:pPr>
              <w:jc w:val="left"/>
              <w:rPr>
                <w:rFonts w:ascii="Arial" w:hAnsi="Arial" w:cs="Arial"/>
                <w:sz w:val="20"/>
              </w:rPr>
            </w:pPr>
            <w:r>
              <w:rPr>
                <w:rFonts w:ascii="Arial" w:hAnsi="Arial" w:cs="Arial"/>
                <w:sz w:val="20"/>
              </w:rPr>
              <w:t>45</w:t>
            </w:r>
          </w:p>
        </w:tc>
        <w:tc>
          <w:tcPr>
            <w:tcW w:w="2387" w:type="dxa"/>
            <w:shd w:val="clear" w:color="auto" w:fill="auto"/>
            <w:noWrap/>
          </w:tcPr>
          <w:p w14:paraId="23C513EF" w14:textId="70CAA879" w:rsidR="00B2623D" w:rsidRDefault="00B2623D" w:rsidP="00B2623D">
            <w:pPr>
              <w:jc w:val="left"/>
              <w:rPr>
                <w:rFonts w:ascii="Arial" w:hAnsi="Arial" w:cs="Arial"/>
                <w:sz w:val="20"/>
              </w:rPr>
            </w:pPr>
            <w:r>
              <w:rPr>
                <w:rFonts w:ascii="Arial" w:hAnsi="Arial" w:cs="Arial"/>
                <w:sz w:val="20"/>
              </w:rPr>
              <w:t xml:space="preserve">"When an AP affiliated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han</w:t>
            </w:r>
            <w:proofErr w:type="spellEnd"/>
            <w:r>
              <w:rPr>
                <w:rFonts w:ascii="Arial" w:hAnsi="Arial" w:cs="Arial"/>
                <w:sz w:val="20"/>
              </w:rPr>
              <w:t xml:space="preserve"> AP MLD transmits a PPDU that initiates a frame exchange..." Does this apply to group-addressed frames?</w:t>
            </w:r>
          </w:p>
        </w:tc>
        <w:tc>
          <w:tcPr>
            <w:tcW w:w="2880" w:type="dxa"/>
            <w:shd w:val="clear" w:color="auto" w:fill="auto"/>
            <w:noWrap/>
          </w:tcPr>
          <w:p w14:paraId="5A9A836D" w14:textId="29AE1F26" w:rsidR="00B2623D" w:rsidRDefault="00B2623D" w:rsidP="00B2623D">
            <w:pPr>
              <w:jc w:val="left"/>
              <w:rPr>
                <w:rFonts w:ascii="Arial" w:hAnsi="Arial" w:cs="Arial"/>
                <w:sz w:val="20"/>
              </w:rPr>
            </w:pPr>
            <w:r>
              <w:rPr>
                <w:rFonts w:ascii="Arial" w:hAnsi="Arial" w:cs="Arial"/>
                <w:sz w:val="20"/>
              </w:rPr>
              <w:t>Consider rephrasing to: "When an AP affiliated with an AP MLD transmits an individually-addressed PPDU that initiates ...."</w:t>
            </w:r>
          </w:p>
        </w:tc>
        <w:tc>
          <w:tcPr>
            <w:tcW w:w="2989" w:type="dxa"/>
            <w:shd w:val="clear" w:color="auto" w:fill="auto"/>
          </w:tcPr>
          <w:p w14:paraId="333D0AC0" w14:textId="77777777"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Reject</w:t>
            </w:r>
          </w:p>
          <w:p w14:paraId="77A9F4F7" w14:textId="77777777" w:rsidR="00B2623D" w:rsidRDefault="00B2623D" w:rsidP="00B2623D">
            <w:pPr>
              <w:jc w:val="left"/>
              <w:rPr>
                <w:rFonts w:eastAsia="Times New Roman"/>
                <w:color w:val="000000"/>
                <w:sz w:val="18"/>
                <w:szCs w:val="18"/>
                <w:lang w:val="en-US"/>
              </w:rPr>
            </w:pPr>
          </w:p>
          <w:p w14:paraId="74B0D100" w14:textId="54371369" w:rsidR="00B2623D" w:rsidRDefault="00B2623D" w:rsidP="00B2623D">
            <w:pPr>
              <w:jc w:val="left"/>
              <w:rPr>
                <w:rFonts w:eastAsia="Times New Roman"/>
                <w:color w:val="000000"/>
                <w:sz w:val="18"/>
                <w:szCs w:val="18"/>
                <w:lang w:val="en-US"/>
              </w:rPr>
            </w:pPr>
            <w:r>
              <w:rPr>
                <w:rFonts w:eastAsia="Times New Roman"/>
                <w:color w:val="000000"/>
                <w:sz w:val="18"/>
                <w:szCs w:val="18"/>
                <w:lang w:val="en-US"/>
              </w:rPr>
              <w:t xml:space="preserve">Discussion: the sentence mentions that the PPDU is </w:t>
            </w:r>
          </w:p>
        </w:tc>
      </w:tr>
    </w:tbl>
    <w:p w14:paraId="45B883E0" w14:textId="77777777" w:rsidR="00960933" w:rsidRDefault="00960933" w:rsidP="00440001">
      <w:pPr>
        <w:rPr>
          <w:sz w:val="20"/>
          <w:szCs w:val="22"/>
          <w:highlight w:val="yellow"/>
        </w:rPr>
      </w:pPr>
    </w:p>
    <w:p w14:paraId="5933020F" w14:textId="350338DA" w:rsidR="00621939" w:rsidRDefault="00621939" w:rsidP="00621939">
      <w:pPr>
        <w:tabs>
          <w:tab w:val="left" w:pos="4764"/>
        </w:tabs>
        <w:rPr>
          <w:b/>
          <w:bCs/>
          <w:sz w:val="20"/>
        </w:rPr>
      </w:pPr>
    </w:p>
    <w:p w14:paraId="5AA02898" w14:textId="3C934B97" w:rsidR="005D77E5" w:rsidRPr="00473958" w:rsidRDefault="005D77E5" w:rsidP="005D77E5">
      <w:pPr>
        <w:pStyle w:val="Default"/>
        <w:rPr>
          <w:lang w:val="en-GB"/>
        </w:rPr>
      </w:pPr>
    </w:p>
    <w:sectPr w:rsidR="005D77E5" w:rsidRPr="00473958" w:rsidSect="00285B6D">
      <w:headerReference w:type="default" r:id="rId9"/>
      <w:footerReference w:type="default" r:id="rId10"/>
      <w:pgSz w:w="12240" w:h="15840"/>
      <w:pgMar w:top="1280" w:right="1420" w:bottom="960" w:left="142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E456" w14:textId="77777777" w:rsidR="00CE6E63" w:rsidRDefault="00CE6E63">
      <w:r>
        <w:separator/>
      </w:r>
    </w:p>
  </w:endnote>
  <w:endnote w:type="continuationSeparator" w:id="0">
    <w:p w14:paraId="6574F940" w14:textId="77777777" w:rsidR="00CE6E63" w:rsidRDefault="00CE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9934" w14:textId="77777777" w:rsidR="00B005A5" w:rsidRPr="00DF3474" w:rsidRDefault="00B005A5" w:rsidP="00B005A5">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B005A5">
      <w:rPr>
        <w:lang w:val="fr-FR"/>
        <w:rPrChange w:id="1" w:author="Liwen Chu" w:date="2023-08-23T08:40:00Z">
          <w:rPr/>
        </w:rPrChange>
      </w:rPr>
      <w:t>1</w:t>
    </w:r>
    <w:r>
      <w:rPr>
        <w:noProof/>
      </w:rPr>
      <w:fldChar w:fldCharType="end"/>
    </w:r>
    <w:r w:rsidRPr="00DF3474">
      <w:rPr>
        <w:lang w:val="fr-FR"/>
      </w:rPr>
      <w:tab/>
    </w:r>
    <w:r w:rsidRPr="00D434AC">
      <w:rPr>
        <w:noProof/>
        <w:lang w:val="fr-FR"/>
      </w:rPr>
      <w:t>Liwen Chu (NXP)</w:t>
    </w:r>
  </w:p>
  <w:p w14:paraId="68DED3AB" w14:textId="3D666E0C" w:rsidR="0052420D" w:rsidRPr="00B005A5" w:rsidRDefault="0052420D" w:rsidP="00B005A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C26D" w14:textId="77777777" w:rsidR="00CE6E63" w:rsidRDefault="00CE6E63">
      <w:r>
        <w:separator/>
      </w:r>
    </w:p>
  </w:footnote>
  <w:footnote w:type="continuationSeparator" w:id="0">
    <w:p w14:paraId="4B21408A" w14:textId="77777777" w:rsidR="00CE6E63" w:rsidRDefault="00CE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77886688"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CE359D">
      <w:rPr>
        <w:noProof/>
      </w:rPr>
      <w:t>September 2023</w:t>
    </w:r>
    <w:r>
      <w:fldChar w:fldCharType="end"/>
    </w:r>
    <w:r>
      <w:tab/>
    </w:r>
    <w:r>
      <w:tab/>
    </w:r>
    <w:fldSimple w:instr=" TITLE  \* MERGEFORMAT ">
      <w:r>
        <w:t>doc.: IEEE 802.11-2</w:t>
      </w:r>
      <w:r w:rsidR="001D4896">
        <w:t>3</w:t>
      </w:r>
      <w:r>
        <w:t>/</w:t>
      </w:r>
      <w:r w:rsidR="005B2F81">
        <w:t>1</w:t>
      </w:r>
      <w:r w:rsidR="009A39B1">
        <w:t>541</w:t>
      </w:r>
      <w:r>
        <w:t>r</w:t>
      </w:r>
    </w:fldSimple>
    <w:r w:rsidR="005C6422">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8533">
    <w:abstractNumId w:val="0"/>
  </w:num>
  <w:num w:numId="2" w16cid:durableId="1528715914">
    <w:abstractNumId w:val="15"/>
  </w:num>
  <w:num w:numId="3" w16cid:durableId="88587390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78777473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26750976">
    <w:abstractNumId w:val="23"/>
  </w:num>
  <w:num w:numId="6" w16cid:durableId="2093315572">
    <w:abstractNumId w:val="13"/>
  </w:num>
  <w:num w:numId="7" w16cid:durableId="2135823731">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73380510">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94511724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25594721">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021005707">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74287057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14226939">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77922391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2549324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0629269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59040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22209626">
    <w:abstractNumId w:val="12"/>
  </w:num>
  <w:num w:numId="19" w16cid:durableId="786432338">
    <w:abstractNumId w:val="9"/>
  </w:num>
  <w:num w:numId="20" w16cid:durableId="103115275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28572535">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860582535">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041782275">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81637507">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541286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82918532">
    <w:abstractNumId w:val="10"/>
  </w:num>
  <w:num w:numId="27" w16cid:durableId="2144888095">
    <w:abstractNumId w:val="8"/>
  </w:num>
  <w:num w:numId="28" w16cid:durableId="1039210326">
    <w:abstractNumId w:val="3"/>
  </w:num>
  <w:num w:numId="29" w16cid:durableId="1584990812">
    <w:abstractNumId w:val="2"/>
  </w:num>
  <w:num w:numId="30" w16cid:durableId="2135521891">
    <w:abstractNumId w:val="4"/>
  </w:num>
  <w:num w:numId="31" w16cid:durableId="1359626184">
    <w:abstractNumId w:val="5"/>
  </w:num>
  <w:num w:numId="32" w16cid:durableId="306740879">
    <w:abstractNumId w:val="7"/>
  </w:num>
  <w:num w:numId="33" w16cid:durableId="31351284">
    <w:abstractNumId w:val="6"/>
  </w:num>
  <w:num w:numId="34" w16cid:durableId="166377702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964189346">
    <w:abstractNumId w:val="11"/>
  </w:num>
  <w:num w:numId="36" w16cid:durableId="1919512171">
    <w:abstractNumId w:val="17"/>
  </w:num>
  <w:num w:numId="37" w16cid:durableId="703287091">
    <w:abstractNumId w:val="22"/>
  </w:num>
  <w:num w:numId="38" w16cid:durableId="1562784219">
    <w:abstractNumId w:val="20"/>
  </w:num>
  <w:num w:numId="39" w16cid:durableId="275986259">
    <w:abstractNumId w:val="16"/>
  </w:num>
  <w:num w:numId="40" w16cid:durableId="1703628485">
    <w:abstractNumId w:val="14"/>
  </w:num>
  <w:num w:numId="41" w16cid:durableId="517238850">
    <w:abstractNumId w:val="21"/>
  </w:num>
  <w:num w:numId="42" w16cid:durableId="1683781598">
    <w:abstractNumId w:val="18"/>
  </w:num>
  <w:num w:numId="43" w16cid:durableId="93559602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014"/>
    <w:rsid w:val="0001124B"/>
    <w:rsid w:val="00013A38"/>
    <w:rsid w:val="00013F2D"/>
    <w:rsid w:val="00015EE0"/>
    <w:rsid w:val="00016100"/>
    <w:rsid w:val="00017168"/>
    <w:rsid w:val="00021324"/>
    <w:rsid w:val="000225F0"/>
    <w:rsid w:val="000229C4"/>
    <w:rsid w:val="00022B2A"/>
    <w:rsid w:val="0002338B"/>
    <w:rsid w:val="000233A6"/>
    <w:rsid w:val="00025D3B"/>
    <w:rsid w:val="0002651F"/>
    <w:rsid w:val="00026850"/>
    <w:rsid w:val="0002714F"/>
    <w:rsid w:val="00027385"/>
    <w:rsid w:val="0002756A"/>
    <w:rsid w:val="000278B0"/>
    <w:rsid w:val="000308AB"/>
    <w:rsid w:val="00030ACD"/>
    <w:rsid w:val="000332D4"/>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09"/>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713"/>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5888"/>
    <w:rsid w:val="0013617A"/>
    <w:rsid w:val="00136CFC"/>
    <w:rsid w:val="001374E0"/>
    <w:rsid w:val="00137A74"/>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AF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379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B7ADC"/>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4896"/>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5B6D"/>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625"/>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387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660C0"/>
    <w:rsid w:val="003711EB"/>
    <w:rsid w:val="0037198F"/>
    <w:rsid w:val="00373C00"/>
    <w:rsid w:val="00374DB1"/>
    <w:rsid w:val="003751AF"/>
    <w:rsid w:val="00375D98"/>
    <w:rsid w:val="00375E13"/>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BA0"/>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6EEC"/>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3958"/>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3F0D"/>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20D"/>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4419"/>
    <w:rsid w:val="005859F6"/>
    <w:rsid w:val="0058671F"/>
    <w:rsid w:val="00590F0D"/>
    <w:rsid w:val="00591CE2"/>
    <w:rsid w:val="0059472C"/>
    <w:rsid w:val="005979BC"/>
    <w:rsid w:val="005A0075"/>
    <w:rsid w:val="005A2B46"/>
    <w:rsid w:val="005A36B9"/>
    <w:rsid w:val="005A3CE6"/>
    <w:rsid w:val="005A4469"/>
    <w:rsid w:val="005A52C4"/>
    <w:rsid w:val="005A5DE3"/>
    <w:rsid w:val="005A7953"/>
    <w:rsid w:val="005B02D3"/>
    <w:rsid w:val="005B23EA"/>
    <w:rsid w:val="005B2F81"/>
    <w:rsid w:val="005B33DA"/>
    <w:rsid w:val="005B341A"/>
    <w:rsid w:val="005B3884"/>
    <w:rsid w:val="005B41FC"/>
    <w:rsid w:val="005B5A9F"/>
    <w:rsid w:val="005B75E2"/>
    <w:rsid w:val="005C08EA"/>
    <w:rsid w:val="005C0EC6"/>
    <w:rsid w:val="005C11BF"/>
    <w:rsid w:val="005C1485"/>
    <w:rsid w:val="005C2730"/>
    <w:rsid w:val="005C436B"/>
    <w:rsid w:val="005C60C1"/>
    <w:rsid w:val="005C6422"/>
    <w:rsid w:val="005C7A72"/>
    <w:rsid w:val="005D0034"/>
    <w:rsid w:val="005D1E21"/>
    <w:rsid w:val="005D2073"/>
    <w:rsid w:val="005D2E21"/>
    <w:rsid w:val="005D5886"/>
    <w:rsid w:val="005D6C33"/>
    <w:rsid w:val="005D743B"/>
    <w:rsid w:val="005D77E5"/>
    <w:rsid w:val="005D7D9A"/>
    <w:rsid w:val="005E14D1"/>
    <w:rsid w:val="005E2F43"/>
    <w:rsid w:val="005E4B9F"/>
    <w:rsid w:val="005E5099"/>
    <w:rsid w:val="005E52A9"/>
    <w:rsid w:val="005E5B2F"/>
    <w:rsid w:val="005E5B31"/>
    <w:rsid w:val="005E77EC"/>
    <w:rsid w:val="005F3BED"/>
    <w:rsid w:val="006000E6"/>
    <w:rsid w:val="0060090F"/>
    <w:rsid w:val="00601010"/>
    <w:rsid w:val="006015A6"/>
    <w:rsid w:val="00602236"/>
    <w:rsid w:val="00602BDA"/>
    <w:rsid w:val="00602DB5"/>
    <w:rsid w:val="00602EBF"/>
    <w:rsid w:val="00604420"/>
    <w:rsid w:val="00605CEB"/>
    <w:rsid w:val="00606F4D"/>
    <w:rsid w:val="00610C38"/>
    <w:rsid w:val="0061129C"/>
    <w:rsid w:val="00611E65"/>
    <w:rsid w:val="00612629"/>
    <w:rsid w:val="00613220"/>
    <w:rsid w:val="0061349D"/>
    <w:rsid w:val="00613553"/>
    <w:rsid w:val="00613E61"/>
    <w:rsid w:val="00614B04"/>
    <w:rsid w:val="00615061"/>
    <w:rsid w:val="006158D4"/>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CF4"/>
    <w:rsid w:val="006A4C8B"/>
    <w:rsid w:val="006A5204"/>
    <w:rsid w:val="006A701A"/>
    <w:rsid w:val="006B00D4"/>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5ED6"/>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390A"/>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39B1"/>
    <w:rsid w:val="009A4ACB"/>
    <w:rsid w:val="009A633D"/>
    <w:rsid w:val="009A6B9C"/>
    <w:rsid w:val="009A7336"/>
    <w:rsid w:val="009A776E"/>
    <w:rsid w:val="009B1179"/>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21F9"/>
    <w:rsid w:val="00A141E0"/>
    <w:rsid w:val="00A14C3A"/>
    <w:rsid w:val="00A16207"/>
    <w:rsid w:val="00A17CDA"/>
    <w:rsid w:val="00A17E70"/>
    <w:rsid w:val="00A203F7"/>
    <w:rsid w:val="00A21C2F"/>
    <w:rsid w:val="00A21E2D"/>
    <w:rsid w:val="00A2328B"/>
    <w:rsid w:val="00A24A48"/>
    <w:rsid w:val="00A24DFC"/>
    <w:rsid w:val="00A26728"/>
    <w:rsid w:val="00A26D93"/>
    <w:rsid w:val="00A27594"/>
    <w:rsid w:val="00A310F5"/>
    <w:rsid w:val="00A31489"/>
    <w:rsid w:val="00A31AB1"/>
    <w:rsid w:val="00A31EE2"/>
    <w:rsid w:val="00A34A39"/>
    <w:rsid w:val="00A353C3"/>
    <w:rsid w:val="00A35784"/>
    <w:rsid w:val="00A35A05"/>
    <w:rsid w:val="00A35B6C"/>
    <w:rsid w:val="00A35F6E"/>
    <w:rsid w:val="00A3653F"/>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6B3"/>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42FC"/>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3F6"/>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5A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623D"/>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279"/>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51C"/>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427"/>
    <w:rsid w:val="00BC7917"/>
    <w:rsid w:val="00BC7D0E"/>
    <w:rsid w:val="00BD0616"/>
    <w:rsid w:val="00BD15F5"/>
    <w:rsid w:val="00BD223A"/>
    <w:rsid w:val="00BD271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10FC"/>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36A"/>
    <w:rsid w:val="00C16999"/>
    <w:rsid w:val="00C22302"/>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248"/>
    <w:rsid w:val="00C83496"/>
    <w:rsid w:val="00C83859"/>
    <w:rsid w:val="00C8416E"/>
    <w:rsid w:val="00C85E1F"/>
    <w:rsid w:val="00C868B8"/>
    <w:rsid w:val="00C86DAD"/>
    <w:rsid w:val="00C87281"/>
    <w:rsid w:val="00C87338"/>
    <w:rsid w:val="00C87466"/>
    <w:rsid w:val="00C91B69"/>
    <w:rsid w:val="00C93286"/>
    <w:rsid w:val="00C947DC"/>
    <w:rsid w:val="00C96A1A"/>
    <w:rsid w:val="00C96E20"/>
    <w:rsid w:val="00CA011B"/>
    <w:rsid w:val="00CA028E"/>
    <w:rsid w:val="00CA0752"/>
    <w:rsid w:val="00CA09B2"/>
    <w:rsid w:val="00CA0A57"/>
    <w:rsid w:val="00CA4E45"/>
    <w:rsid w:val="00CA7672"/>
    <w:rsid w:val="00CA7866"/>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1630"/>
    <w:rsid w:val="00CE359D"/>
    <w:rsid w:val="00CE41DE"/>
    <w:rsid w:val="00CE5032"/>
    <w:rsid w:val="00CE6972"/>
    <w:rsid w:val="00CE6E63"/>
    <w:rsid w:val="00CE6FE1"/>
    <w:rsid w:val="00CE7016"/>
    <w:rsid w:val="00CF1147"/>
    <w:rsid w:val="00CF1270"/>
    <w:rsid w:val="00CF1DF8"/>
    <w:rsid w:val="00CF4970"/>
    <w:rsid w:val="00CF6B83"/>
    <w:rsid w:val="00D021BE"/>
    <w:rsid w:val="00D02630"/>
    <w:rsid w:val="00D0591E"/>
    <w:rsid w:val="00D05AA8"/>
    <w:rsid w:val="00D06A2B"/>
    <w:rsid w:val="00D07308"/>
    <w:rsid w:val="00D1060A"/>
    <w:rsid w:val="00D11103"/>
    <w:rsid w:val="00D112FD"/>
    <w:rsid w:val="00D1138B"/>
    <w:rsid w:val="00D12945"/>
    <w:rsid w:val="00D15004"/>
    <w:rsid w:val="00D1700E"/>
    <w:rsid w:val="00D21374"/>
    <w:rsid w:val="00D218DD"/>
    <w:rsid w:val="00D229B8"/>
    <w:rsid w:val="00D2371A"/>
    <w:rsid w:val="00D23B71"/>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6D2"/>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706"/>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0DE"/>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147"/>
    <w:rsid w:val="00DE5798"/>
    <w:rsid w:val="00DE662B"/>
    <w:rsid w:val="00DE6A26"/>
    <w:rsid w:val="00DE78D5"/>
    <w:rsid w:val="00DF15DA"/>
    <w:rsid w:val="00DF1971"/>
    <w:rsid w:val="00DF3474"/>
    <w:rsid w:val="00DF3E53"/>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9A8"/>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55B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1E8E"/>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1C1"/>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5CE"/>
    <w:rsid w:val="00FD16C8"/>
    <w:rsid w:val="00FD217F"/>
    <w:rsid w:val="00FD2B81"/>
    <w:rsid w:val="00FD3534"/>
    <w:rsid w:val="00FD4359"/>
    <w:rsid w:val="00FD46FD"/>
    <w:rsid w:val="00FD63D0"/>
    <w:rsid w:val="00FD6617"/>
    <w:rsid w:val="00FD709D"/>
    <w:rsid w:val="00FD7CF8"/>
    <w:rsid w:val="00FE07DA"/>
    <w:rsid w:val="00FE0D53"/>
    <w:rsid w:val="00FE0F83"/>
    <w:rsid w:val="00FE23AC"/>
    <w:rsid w:val="00FE3BDB"/>
    <w:rsid w:val="00FE5850"/>
    <w:rsid w:val="00FE60C2"/>
    <w:rsid w:val="00FE7E82"/>
    <w:rsid w:val="00FF0336"/>
    <w:rsid w:val="00FF0471"/>
    <w:rsid w:val="00FF1F3B"/>
    <w:rsid w:val="00FF3C77"/>
    <w:rsid w:val="00FF55D7"/>
    <w:rsid w:val="00FF59F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15180311">
    <w:name w:val="SP.15.180311"/>
    <w:basedOn w:val="Default"/>
    <w:next w:val="Default"/>
    <w:uiPriority w:val="99"/>
    <w:rsid w:val="00151AF5"/>
    <w:rPr>
      <w:color w:val="auto"/>
    </w:rPr>
  </w:style>
  <w:style w:type="character" w:customStyle="1" w:styleId="SC15323594">
    <w:name w:val="SC.15.323594"/>
    <w:uiPriority w:val="99"/>
    <w:rsid w:val="00151AF5"/>
    <w:rPr>
      <w:b/>
      <w:bCs/>
      <w:color w:val="000000"/>
      <w:sz w:val="22"/>
      <w:szCs w:val="22"/>
    </w:rPr>
  </w:style>
  <w:style w:type="character" w:customStyle="1" w:styleId="SC15323589">
    <w:name w:val="SC.15.323589"/>
    <w:uiPriority w:val="99"/>
    <w:rsid w:val="00151AF5"/>
    <w:rPr>
      <w:b/>
      <w:bCs/>
      <w:color w:val="000000"/>
      <w:sz w:val="20"/>
      <w:szCs w:val="20"/>
    </w:rPr>
  </w:style>
  <w:style w:type="character" w:customStyle="1" w:styleId="HeaderChar">
    <w:name w:val="Header Char"/>
    <w:basedOn w:val="DefaultParagraphFont"/>
    <w:link w:val="Header"/>
    <w:rsid w:val="00A3653F"/>
    <w:rPr>
      <w:b/>
      <w:sz w:val="28"/>
      <w:lang w:val="en-GB"/>
    </w:rPr>
  </w:style>
  <w:style w:type="paragraph" w:customStyle="1" w:styleId="SP21127370">
    <w:name w:val="SP.21.127370"/>
    <w:basedOn w:val="Default"/>
    <w:next w:val="Default"/>
    <w:uiPriority w:val="99"/>
    <w:rsid w:val="00137A74"/>
    <w:rPr>
      <w:color w:val="auto"/>
    </w:rPr>
  </w:style>
  <w:style w:type="paragraph" w:customStyle="1" w:styleId="SP21127381">
    <w:name w:val="SP.21.127381"/>
    <w:basedOn w:val="Default"/>
    <w:next w:val="Default"/>
    <w:uiPriority w:val="99"/>
    <w:rsid w:val="00137A74"/>
    <w:rPr>
      <w:color w:val="auto"/>
    </w:rPr>
  </w:style>
  <w:style w:type="paragraph" w:customStyle="1" w:styleId="SP1573773">
    <w:name w:val="SP.15.73773"/>
    <w:basedOn w:val="Default"/>
    <w:next w:val="Default"/>
    <w:uiPriority w:val="99"/>
    <w:rsid w:val="0032387A"/>
    <w:rPr>
      <w:color w:val="auto"/>
    </w:rPr>
  </w:style>
  <w:style w:type="paragraph" w:customStyle="1" w:styleId="SP1573815">
    <w:name w:val="SP.15.73815"/>
    <w:basedOn w:val="Default"/>
    <w:next w:val="Default"/>
    <w:uiPriority w:val="99"/>
    <w:rsid w:val="0032387A"/>
    <w:rPr>
      <w:color w:val="auto"/>
    </w:rPr>
  </w:style>
  <w:style w:type="paragraph" w:customStyle="1" w:styleId="SP1573793">
    <w:name w:val="SP.15.73793"/>
    <w:basedOn w:val="Default"/>
    <w:next w:val="Default"/>
    <w:uiPriority w:val="99"/>
    <w:rsid w:val="0032387A"/>
    <w:rPr>
      <w:rFonts w:ascii="Times New Roman" w:hAnsi="Times New Roman" w:cs="Times New Roman"/>
      <w:color w:val="auto"/>
    </w:rPr>
  </w:style>
  <w:style w:type="character" w:customStyle="1" w:styleId="SC15323612">
    <w:name w:val="SC.15.323612"/>
    <w:uiPriority w:val="99"/>
    <w:rsid w:val="0032387A"/>
    <w:rPr>
      <w:color w:val="000000"/>
      <w:sz w:val="20"/>
      <w:szCs w:val="20"/>
      <w:u w:val="single"/>
    </w:rPr>
  </w:style>
  <w:style w:type="paragraph" w:customStyle="1" w:styleId="SP21278922">
    <w:name w:val="SP.21.278922"/>
    <w:basedOn w:val="Default"/>
    <w:next w:val="Default"/>
    <w:uiPriority w:val="99"/>
    <w:rsid w:val="00473958"/>
    <w:rPr>
      <w:color w:val="auto"/>
    </w:rPr>
  </w:style>
  <w:style w:type="paragraph" w:customStyle="1" w:styleId="SP21278933">
    <w:name w:val="SP.21.278933"/>
    <w:basedOn w:val="Default"/>
    <w:next w:val="Default"/>
    <w:uiPriority w:val="99"/>
    <w:rsid w:val="00473958"/>
    <w:rPr>
      <w:color w:val="auto"/>
    </w:rPr>
  </w:style>
  <w:style w:type="paragraph" w:customStyle="1" w:styleId="SP8200819">
    <w:name w:val="SP.8.200819"/>
    <w:basedOn w:val="Default"/>
    <w:next w:val="Default"/>
    <w:uiPriority w:val="99"/>
    <w:rsid w:val="005D77E5"/>
    <w:rPr>
      <w:rFonts w:ascii="Times New Roman" w:hAnsi="Times New Roman" w:cs="Times New Roman"/>
      <w:color w:val="auto"/>
    </w:rPr>
  </w:style>
  <w:style w:type="paragraph" w:customStyle="1" w:styleId="SP8200899">
    <w:name w:val="SP.8.200899"/>
    <w:basedOn w:val="Default"/>
    <w:next w:val="Default"/>
    <w:uiPriority w:val="99"/>
    <w:rsid w:val="005D77E5"/>
    <w:rPr>
      <w:rFonts w:ascii="Times New Roman" w:hAnsi="Times New Roman" w:cs="Times New Roman"/>
      <w:color w:val="auto"/>
    </w:rPr>
  </w:style>
  <w:style w:type="paragraph" w:customStyle="1" w:styleId="SP8200886">
    <w:name w:val="SP.8.200886"/>
    <w:basedOn w:val="Default"/>
    <w:next w:val="Default"/>
    <w:uiPriority w:val="99"/>
    <w:rsid w:val="005D77E5"/>
    <w:rPr>
      <w:rFonts w:ascii="Times New Roman" w:hAnsi="Times New Roman" w:cs="Times New Roman"/>
      <w:color w:val="auto"/>
    </w:rPr>
  </w:style>
  <w:style w:type="character" w:customStyle="1" w:styleId="SC16323589">
    <w:name w:val="SC.16.323589"/>
    <w:uiPriority w:val="99"/>
    <w:rsid w:val="00FE60C2"/>
    <w:rPr>
      <w:color w:val="000000"/>
      <w:sz w:val="20"/>
      <w:szCs w:val="20"/>
    </w:rPr>
  </w:style>
  <w:style w:type="paragraph" w:customStyle="1" w:styleId="SP21278544">
    <w:name w:val="SP.21.278544"/>
    <w:basedOn w:val="Default"/>
    <w:next w:val="Default"/>
    <w:uiPriority w:val="99"/>
    <w:rsid w:val="00D073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36291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0926140">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00345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7183900">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1220095">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076295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057165">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67494363">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586151">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402497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934287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579063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06266440">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6</cp:revision>
  <cp:lastPrinted>2014-09-06T00:13:00Z</cp:lastPrinted>
  <dcterms:created xsi:type="dcterms:W3CDTF">2023-09-09T16:00:00Z</dcterms:created>
  <dcterms:modified xsi:type="dcterms:W3CDTF">2023-09-20T19:55:00Z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