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348DF04D" w:rsidR="00CA09B2" w:rsidRDefault="0097630D">
            <w:pPr>
              <w:pStyle w:val="T2"/>
            </w:pPr>
            <w:r w:rsidRPr="0097630D">
              <w:t>LB2</w:t>
            </w:r>
            <w:r w:rsidR="00A97603">
              <w:t>7</w:t>
            </w:r>
            <w:r w:rsidR="004B4122">
              <w:rPr>
                <w:rFonts w:hint="eastAsia"/>
                <w:lang w:eastAsia="ja-JP"/>
              </w:rPr>
              <w:t>6</w:t>
            </w:r>
            <w:r w:rsidRPr="0097630D">
              <w:t xml:space="preserve"> </w:t>
            </w:r>
            <w:r w:rsidR="00217C24">
              <w:t>CR for</w:t>
            </w:r>
            <w:r w:rsidR="00061F3E">
              <w:t xml:space="preserve"> </w:t>
            </w:r>
            <w:r w:rsidR="00217C24">
              <w:t xml:space="preserve">OST </w:t>
            </w:r>
            <w:r w:rsidR="008831F9">
              <w:t xml:space="preserve">related </w:t>
            </w:r>
            <w:r w:rsidR="00217C24">
              <w:t>editorial CIDs</w:t>
            </w:r>
          </w:p>
        </w:tc>
      </w:tr>
      <w:tr w:rsidR="00CA09B2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0A242BE9"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30D">
              <w:rPr>
                <w:b w:val="0"/>
                <w:sz w:val="20"/>
              </w:rPr>
              <w:t>202</w:t>
            </w:r>
            <w:r w:rsidR="00764B1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7630D">
              <w:rPr>
                <w:b w:val="0"/>
                <w:sz w:val="20"/>
              </w:rPr>
              <w:t>0</w:t>
            </w:r>
            <w:r w:rsidR="00B424A7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86EAA">
              <w:rPr>
                <w:b w:val="0"/>
                <w:sz w:val="20"/>
                <w:lang w:eastAsia="ja-JP"/>
              </w:rPr>
              <w:t>13</w:t>
            </w:r>
          </w:p>
        </w:tc>
      </w:tr>
      <w:tr w:rsidR="00CA09B2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A</w:t>
            </w:r>
            <w:r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</w:t>
            </w:r>
            <w:r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254B44">
              <w:rPr>
                <w:b w:val="0"/>
                <w:sz w:val="18"/>
                <w:szCs w:val="21"/>
                <w:lang w:eastAsia="ja-JP"/>
              </w:rPr>
              <w:t>shirakawa.atsushi@</w:t>
            </w:r>
            <w:r w:rsidR="006722AF" w:rsidRPr="00254B44">
              <w:rPr>
                <w:b w:val="0"/>
                <w:sz w:val="18"/>
                <w:szCs w:val="21"/>
                <w:lang w:eastAsia="ja-JP"/>
              </w:rPr>
              <w:t>ieee.org</w:t>
            </w:r>
          </w:p>
        </w:tc>
      </w:tr>
      <w:tr w:rsidR="00CA09B2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Default="00B10F4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2583328B" w:rsidR="0029020B" w:rsidRDefault="00A946A3" w:rsidP="00CA196F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B82A57" w:rsidRPr="00BB17A9">
                              <w:t>3003, 3004, 3005, 3006, 3032, 3033, 3034</w:t>
                            </w:r>
                            <w:r w:rsidR="0067252F" w:rsidRPr="00BB17A9">
                              <w:t xml:space="preserve">, </w:t>
                            </w:r>
                            <w:r w:rsidR="00B74F2B" w:rsidRPr="00BB17A9">
                              <w:t xml:space="preserve">3071, </w:t>
                            </w:r>
                            <w:r w:rsidR="00AD7138" w:rsidRPr="00BB17A9">
                              <w:t xml:space="preserve">3081, </w:t>
                            </w:r>
                            <w:r w:rsidR="00D704AC" w:rsidRPr="00BB17A9">
                              <w:t xml:space="preserve">3093, </w:t>
                            </w:r>
                            <w:r w:rsidR="00CA196F" w:rsidRPr="00BB17A9">
                              <w:t>3094</w:t>
                            </w:r>
                            <w:r w:rsidR="00CA196F" w:rsidRPr="00BB17A9">
                              <w:rPr>
                                <w:lang w:eastAsia="ja-JP"/>
                              </w:rPr>
                              <w:t xml:space="preserve">, </w:t>
                            </w:r>
                            <w:r w:rsidR="00CA196F" w:rsidRPr="00BB17A9">
                              <w:t>3131,</w:t>
                            </w:r>
                            <w:r w:rsidRPr="00BB17A9">
                              <w:t xml:space="preserve"> </w:t>
                            </w:r>
                            <w:r w:rsidR="00CA196F" w:rsidRPr="00BB17A9">
                              <w:t>3213, 3340</w:t>
                            </w:r>
                            <w:r w:rsidR="00CA196F" w:rsidRPr="00BB17A9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 w:rsidRPr="00BB17A9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 w:rsidRPr="00BB17A9">
                              <w:t>3342</w:t>
                            </w:r>
                            <w:r w:rsidR="00CA196F" w:rsidRPr="00BB17A9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 w:rsidRPr="00BB17A9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 w:rsidRPr="00BB17A9">
                              <w:t>3398</w:t>
                            </w:r>
                            <w:r w:rsidR="00CA196F" w:rsidRPr="00BB17A9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 w:rsidRPr="00BB17A9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 w:rsidRPr="00BB17A9">
                              <w:t>3399, 3404</w:t>
                            </w:r>
                            <w:r w:rsidR="00CA196F" w:rsidRPr="00BB17A9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 w:rsidRPr="00BB17A9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 w:rsidRPr="00BB17A9">
                              <w:t>3480</w:t>
                            </w:r>
                            <w:r w:rsidR="00CA196F" w:rsidRPr="00BB17A9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 w:rsidRPr="00BB17A9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 w:rsidRPr="00BB17A9">
                              <w:t>3481</w:t>
                            </w:r>
                            <w:r w:rsidR="00CA196F" w:rsidRPr="00BB17A9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 w:rsidRPr="00BB17A9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 w:rsidRPr="00BB17A9">
                              <w:t>3487</w:t>
                            </w:r>
                            <w:r w:rsidRPr="00A946A3">
                              <w:t xml:space="preserve"> 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6722AF">
                              <w:t>7</w:t>
                            </w:r>
                            <w:r w:rsidR="00F0707C">
                              <w:t>6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325F3750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  <w:r w:rsidR="00CD2FFD">
                              <w:t>M</w:t>
                            </w:r>
                            <w:r w:rsidR="00BB17A9">
                              <w:t>ove CID3068</w:t>
                            </w:r>
                            <w:r w:rsidR="00CD2FFD">
                              <w:t xml:space="preserve"> to 23/1657r0</w:t>
                            </w:r>
                            <w:r w:rsidR="00F05632">
                              <w:t xml:space="preserve"> and update resolution column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44717490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F0707C">
                              <w:t>2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2583328B" w:rsidR="0029020B" w:rsidRDefault="00A946A3" w:rsidP="00CA196F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B82A57" w:rsidRPr="00BB17A9">
                        <w:t>3003, 3004, 3005, 3006, 3032, 3033, 3034</w:t>
                      </w:r>
                      <w:r w:rsidR="0067252F" w:rsidRPr="00BB17A9">
                        <w:t xml:space="preserve">, </w:t>
                      </w:r>
                      <w:r w:rsidR="00B74F2B" w:rsidRPr="00BB17A9">
                        <w:t xml:space="preserve">3071, </w:t>
                      </w:r>
                      <w:r w:rsidR="00AD7138" w:rsidRPr="00BB17A9">
                        <w:t xml:space="preserve">3081, </w:t>
                      </w:r>
                      <w:r w:rsidR="00D704AC" w:rsidRPr="00BB17A9">
                        <w:t xml:space="preserve">3093, </w:t>
                      </w:r>
                      <w:r w:rsidR="00CA196F" w:rsidRPr="00BB17A9">
                        <w:t>3094</w:t>
                      </w:r>
                      <w:r w:rsidR="00CA196F" w:rsidRPr="00BB17A9">
                        <w:rPr>
                          <w:lang w:eastAsia="ja-JP"/>
                        </w:rPr>
                        <w:t xml:space="preserve">, </w:t>
                      </w:r>
                      <w:r w:rsidR="00CA196F" w:rsidRPr="00BB17A9">
                        <w:t>3131,</w:t>
                      </w:r>
                      <w:r w:rsidRPr="00BB17A9">
                        <w:t xml:space="preserve"> </w:t>
                      </w:r>
                      <w:r w:rsidR="00CA196F" w:rsidRPr="00BB17A9">
                        <w:t>3213, 3340</w:t>
                      </w:r>
                      <w:r w:rsidR="00CA196F" w:rsidRPr="00BB17A9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 w:rsidRPr="00BB17A9">
                        <w:rPr>
                          <w:lang w:eastAsia="ja-JP"/>
                        </w:rPr>
                        <w:t xml:space="preserve"> </w:t>
                      </w:r>
                      <w:r w:rsidR="00CA196F" w:rsidRPr="00BB17A9">
                        <w:t>3342</w:t>
                      </w:r>
                      <w:r w:rsidR="00CA196F" w:rsidRPr="00BB17A9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 w:rsidRPr="00BB17A9">
                        <w:rPr>
                          <w:lang w:eastAsia="ja-JP"/>
                        </w:rPr>
                        <w:t xml:space="preserve"> </w:t>
                      </w:r>
                      <w:r w:rsidR="00CA196F" w:rsidRPr="00BB17A9">
                        <w:t>3398</w:t>
                      </w:r>
                      <w:r w:rsidR="00CA196F" w:rsidRPr="00BB17A9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 w:rsidRPr="00BB17A9">
                        <w:rPr>
                          <w:lang w:eastAsia="ja-JP"/>
                        </w:rPr>
                        <w:t xml:space="preserve"> </w:t>
                      </w:r>
                      <w:r w:rsidR="00CA196F" w:rsidRPr="00BB17A9">
                        <w:t>3399, 3404</w:t>
                      </w:r>
                      <w:r w:rsidR="00CA196F" w:rsidRPr="00BB17A9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 w:rsidRPr="00BB17A9">
                        <w:rPr>
                          <w:lang w:eastAsia="ja-JP"/>
                        </w:rPr>
                        <w:t xml:space="preserve"> </w:t>
                      </w:r>
                      <w:r w:rsidR="00CA196F" w:rsidRPr="00BB17A9">
                        <w:t>3480</w:t>
                      </w:r>
                      <w:r w:rsidR="00CA196F" w:rsidRPr="00BB17A9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 w:rsidRPr="00BB17A9">
                        <w:rPr>
                          <w:lang w:eastAsia="ja-JP"/>
                        </w:rPr>
                        <w:t xml:space="preserve"> </w:t>
                      </w:r>
                      <w:r w:rsidR="00CA196F" w:rsidRPr="00BB17A9">
                        <w:t>3481</w:t>
                      </w:r>
                      <w:r w:rsidR="00CA196F" w:rsidRPr="00BB17A9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 w:rsidRPr="00BB17A9">
                        <w:rPr>
                          <w:lang w:eastAsia="ja-JP"/>
                        </w:rPr>
                        <w:t xml:space="preserve"> </w:t>
                      </w:r>
                      <w:r w:rsidR="00CA196F" w:rsidRPr="00BB17A9">
                        <w:t>3487</w:t>
                      </w:r>
                      <w:r w:rsidRPr="00A946A3">
                        <w:t xml:space="preserve"> 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6722AF">
                        <w:t>7</w:t>
                      </w:r>
                      <w:r w:rsidR="00F0707C">
                        <w:t>6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325F3750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  <w:r w:rsidR="00CD2FFD">
                        <w:t>M</w:t>
                      </w:r>
                      <w:r w:rsidR="00BB17A9">
                        <w:t>ove CID3068</w:t>
                      </w:r>
                      <w:r w:rsidR="00CD2FFD">
                        <w:t xml:space="preserve"> to 23/1657r0</w:t>
                      </w:r>
                      <w:r w:rsidR="00F05632">
                        <w:t xml:space="preserve"> and update resolution column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44717490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F0707C">
                        <w:t>2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Default="00CA09B2" w:rsidP="00AD75D2">
      <w:r>
        <w:br w:type="page"/>
      </w:r>
    </w:p>
    <w:p w14:paraId="6904098C" w14:textId="3ECFE449" w:rsidR="00F84B98" w:rsidRPr="004929C3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rFonts w:hint="eastAsia"/>
          <w:b/>
          <w:color w:val="000000"/>
          <w:w w:val="0"/>
          <w:szCs w:val="22"/>
          <w:u w:val="single"/>
          <w:lang w:eastAsia="ja-JP"/>
        </w:rPr>
        <w:t>1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5AEF39FE" w14:textId="08D92317" w:rsidR="00F84B98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5331DC8C" w14:textId="77777777" w:rsidTr="00254B4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13BB" w14:textId="77777777" w:rsidR="00386E26" w:rsidRPr="00254B44" w:rsidRDefault="00386E26" w:rsidP="00386E26">
            <w:pPr>
              <w:jc w:val="right"/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E7E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E47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13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125B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E9E75B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F84B98" w:rsidDel="00F93FE7" w14:paraId="271E6A22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2690A1F6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3093</w:t>
            </w:r>
          </w:p>
        </w:tc>
        <w:tc>
          <w:tcPr>
            <w:tcW w:w="1276" w:type="dxa"/>
            <w:shd w:val="clear" w:color="auto" w:fill="auto"/>
          </w:tcPr>
          <w:p w14:paraId="15A2284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Pei Zhou</w:t>
            </w:r>
          </w:p>
        </w:tc>
        <w:tc>
          <w:tcPr>
            <w:tcW w:w="1134" w:type="dxa"/>
            <w:shd w:val="clear" w:color="auto" w:fill="auto"/>
          </w:tcPr>
          <w:p w14:paraId="08F09B7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136.65</w:t>
            </w:r>
          </w:p>
        </w:tc>
        <w:tc>
          <w:tcPr>
            <w:tcW w:w="2409" w:type="dxa"/>
            <w:shd w:val="clear" w:color="auto" w:fill="auto"/>
          </w:tcPr>
          <w:p w14:paraId="1189E6E0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Change "Measurement Query frame" to "Sensing Measurement Query frame".</w:t>
            </w:r>
          </w:p>
        </w:tc>
        <w:tc>
          <w:tcPr>
            <w:tcW w:w="2268" w:type="dxa"/>
            <w:shd w:val="clear" w:color="auto" w:fill="auto"/>
          </w:tcPr>
          <w:p w14:paraId="726AD865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As in comment.</w:t>
            </w:r>
          </w:p>
        </w:tc>
        <w:tc>
          <w:tcPr>
            <w:tcW w:w="2044" w:type="dxa"/>
            <w:shd w:val="clear" w:color="auto" w:fill="auto"/>
          </w:tcPr>
          <w:p w14:paraId="07FC7D4D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7CBAD8DC" w14:textId="663225D8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</w:tc>
      </w:tr>
      <w:tr w:rsidR="00F84B98" w:rsidDel="00F93FE7" w14:paraId="479B1411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54DA57B8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3094</w:t>
            </w:r>
          </w:p>
        </w:tc>
        <w:tc>
          <w:tcPr>
            <w:tcW w:w="1276" w:type="dxa"/>
            <w:shd w:val="clear" w:color="auto" w:fill="auto"/>
          </w:tcPr>
          <w:p w14:paraId="5763FE9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Pei Zhou</w:t>
            </w:r>
          </w:p>
        </w:tc>
        <w:tc>
          <w:tcPr>
            <w:tcW w:w="1134" w:type="dxa"/>
            <w:shd w:val="clear" w:color="auto" w:fill="auto"/>
          </w:tcPr>
          <w:p w14:paraId="322BC5E5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137.46</w:t>
            </w:r>
          </w:p>
        </w:tc>
        <w:tc>
          <w:tcPr>
            <w:tcW w:w="2409" w:type="dxa"/>
            <w:shd w:val="clear" w:color="auto" w:fill="auto"/>
          </w:tcPr>
          <w:p w14:paraId="5453BB81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Change "Sensing Measurement Session Query frame" to "Sensing Measurement Query frame".</w:t>
            </w:r>
          </w:p>
        </w:tc>
        <w:tc>
          <w:tcPr>
            <w:tcW w:w="2268" w:type="dxa"/>
            <w:shd w:val="clear" w:color="auto" w:fill="auto"/>
          </w:tcPr>
          <w:p w14:paraId="2B4D317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 xml:space="preserve">There are many other places (e.g., P137 L59) have this issue, please </w:t>
            </w:r>
            <w:proofErr w:type="gramStart"/>
            <w:r w:rsidRPr="005F5B66">
              <w:t>check</w:t>
            </w:r>
            <w:proofErr w:type="gramEnd"/>
            <w:r w:rsidRPr="005F5B66">
              <w:t xml:space="preserve"> and fix them.</w:t>
            </w:r>
          </w:p>
        </w:tc>
        <w:tc>
          <w:tcPr>
            <w:tcW w:w="2044" w:type="dxa"/>
            <w:shd w:val="clear" w:color="auto" w:fill="auto"/>
          </w:tcPr>
          <w:p w14:paraId="4B7031EC" w14:textId="2CE2B0BA" w:rsidR="00F84B98" w:rsidRPr="00254B44" w:rsidRDefault="005F111B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Revised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2A37F657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1EAFFB2" w14:textId="7284AB58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</w:t>
            </w:r>
            <w:r w:rsidR="00DC140C" w:rsidRPr="00254B44">
              <w:rPr>
                <w:rFonts w:eastAsia="ＭＳ Ｐゴシック"/>
                <w:szCs w:val="22"/>
                <w:lang w:val="en-US" w:eastAsia="ja-JP"/>
              </w:rPr>
              <w:t>not defined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="003F32D8" w:rsidRPr="00254B44">
              <w:rPr>
                <w:rFonts w:eastAsia="ＭＳ Ｐゴシック"/>
                <w:szCs w:val="22"/>
                <w:lang w:val="en-US" w:eastAsia="ja-JP"/>
              </w:rPr>
              <w:t xml:space="preserve"> </w:t>
            </w:r>
            <w:proofErr w:type="gramStart"/>
            <w:r w:rsidR="003F32D8" w:rsidRPr="00254B44">
              <w:rPr>
                <w:rFonts w:eastAsia="ＭＳ Ｐゴシック"/>
                <w:szCs w:val="22"/>
                <w:lang w:val="en-US" w:eastAsia="ja-JP"/>
              </w:rPr>
              <w:t>“ Sensing</w:t>
            </w:r>
            <w:proofErr w:type="gramEnd"/>
            <w:r w:rsidR="003F32D8" w:rsidRPr="00254B44">
              <w:rPr>
                <w:rFonts w:eastAsia="ＭＳ Ｐゴシック"/>
                <w:szCs w:val="22"/>
                <w:lang w:val="en-US" w:eastAsia="ja-JP"/>
              </w:rPr>
              <w:t xml:space="preserve"> Measurement Query”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3FF225A5" w14:textId="64611E7C" w:rsidR="00E41C2A" w:rsidRPr="00254B44" w:rsidDel="00F93FE7" w:rsidRDefault="00E41C2A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Same modification is needed on P.L. 137.59, </w:t>
            </w:r>
            <w:r w:rsidRPr="00C37C3B">
              <w:rPr>
                <w:szCs w:val="22"/>
              </w:rPr>
              <w:t>140.50.</w:t>
            </w:r>
          </w:p>
        </w:tc>
      </w:tr>
      <w:tr w:rsidR="00F84B98" w:rsidDel="00F93FE7" w14:paraId="79AEB4DB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235DA3F3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3340</w:t>
            </w:r>
          </w:p>
        </w:tc>
        <w:tc>
          <w:tcPr>
            <w:tcW w:w="1276" w:type="dxa"/>
            <w:shd w:val="clear" w:color="auto" w:fill="auto"/>
          </w:tcPr>
          <w:p w14:paraId="5A675799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Chris Beg</w:t>
            </w:r>
          </w:p>
        </w:tc>
        <w:tc>
          <w:tcPr>
            <w:tcW w:w="1134" w:type="dxa"/>
            <w:shd w:val="clear" w:color="auto" w:fill="auto"/>
          </w:tcPr>
          <w:p w14:paraId="49987CDF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137.46</w:t>
            </w:r>
          </w:p>
        </w:tc>
        <w:tc>
          <w:tcPr>
            <w:tcW w:w="2409" w:type="dxa"/>
            <w:shd w:val="clear" w:color="auto" w:fill="auto"/>
          </w:tcPr>
          <w:p w14:paraId="79FB4D40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 xml:space="preserve">"Sensing Measurement Session Query frame" is </w:t>
            </w:r>
            <w:proofErr w:type="gramStart"/>
            <w:r w:rsidRPr="00A14927">
              <w:t>undefined, and</w:t>
            </w:r>
            <w:proofErr w:type="gramEnd"/>
            <w:r w:rsidRPr="00A14927">
              <w:t xml:space="preserve"> should be "Sensing Measurement Query frame".</w:t>
            </w:r>
          </w:p>
        </w:tc>
        <w:tc>
          <w:tcPr>
            <w:tcW w:w="2268" w:type="dxa"/>
            <w:shd w:val="clear" w:color="auto" w:fill="auto"/>
          </w:tcPr>
          <w:p w14:paraId="38CF9313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0E4A1F70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4CA4D5DE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BFDFBB9" w14:textId="41129ACD" w:rsidR="00F84B98" w:rsidRPr="00254B44" w:rsidDel="00F93FE7" w:rsidRDefault="005F111B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 xml:space="preserve">Note: </w:t>
            </w:r>
            <w:r w:rsidR="00537DE4">
              <w:rPr>
                <w:rFonts w:eastAsia="ＭＳ Ｐゴシック"/>
                <w:szCs w:val="22"/>
                <w:lang w:val="en-US" w:eastAsia="ja-JP"/>
              </w:rPr>
              <w:t>s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  <w:tr w:rsidR="00F84B98" w:rsidDel="00F93FE7" w14:paraId="7F15FAB2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3E5D2ECB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3342</w:t>
            </w:r>
          </w:p>
        </w:tc>
        <w:tc>
          <w:tcPr>
            <w:tcW w:w="1276" w:type="dxa"/>
            <w:shd w:val="clear" w:color="auto" w:fill="auto"/>
          </w:tcPr>
          <w:p w14:paraId="17D8F7B1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Chris Beg</w:t>
            </w:r>
          </w:p>
        </w:tc>
        <w:tc>
          <w:tcPr>
            <w:tcW w:w="1134" w:type="dxa"/>
            <w:shd w:val="clear" w:color="auto" w:fill="auto"/>
          </w:tcPr>
          <w:p w14:paraId="79A301E3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140.50</w:t>
            </w:r>
          </w:p>
        </w:tc>
        <w:tc>
          <w:tcPr>
            <w:tcW w:w="2409" w:type="dxa"/>
            <w:shd w:val="clear" w:color="auto" w:fill="auto"/>
          </w:tcPr>
          <w:p w14:paraId="7D8C5154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 xml:space="preserve">"Sensing Measurement Session Request frame" is </w:t>
            </w:r>
            <w:proofErr w:type="gramStart"/>
            <w:r w:rsidRPr="00A14927">
              <w:t>undefined, and</w:t>
            </w:r>
            <w:proofErr w:type="gramEnd"/>
            <w:r w:rsidRPr="00A14927">
              <w:t xml:space="preserve"> should be "Sensing Measurement Request frame".</w:t>
            </w:r>
          </w:p>
        </w:tc>
        <w:tc>
          <w:tcPr>
            <w:tcW w:w="2268" w:type="dxa"/>
            <w:shd w:val="clear" w:color="auto" w:fill="auto"/>
          </w:tcPr>
          <w:p w14:paraId="0B190B11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5ACA2EEA" w14:textId="34E05027" w:rsidR="00F84B98" w:rsidRPr="00254B44" w:rsidRDefault="00F84B98" w:rsidP="005F111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1976B980" w14:textId="53A1839E" w:rsidR="00F84B98" w:rsidRPr="00254B44" w:rsidRDefault="00F84B98" w:rsidP="005F111B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01E2247" w14:textId="4776B377" w:rsidR="00F84B98" w:rsidRPr="00254B44" w:rsidDel="00F93FE7" w:rsidRDefault="00537DE4" w:rsidP="005F111B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Note: s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  <w:tr w:rsidR="00F84B98" w:rsidDel="00F93FE7" w14:paraId="6C827D0C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093F7701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3398</w:t>
            </w:r>
          </w:p>
        </w:tc>
        <w:tc>
          <w:tcPr>
            <w:tcW w:w="1276" w:type="dxa"/>
            <w:shd w:val="clear" w:color="auto" w:fill="auto"/>
          </w:tcPr>
          <w:p w14:paraId="62C50A0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Mahmoud Kamel</w:t>
            </w:r>
          </w:p>
        </w:tc>
        <w:tc>
          <w:tcPr>
            <w:tcW w:w="1134" w:type="dxa"/>
            <w:shd w:val="clear" w:color="auto" w:fill="auto"/>
          </w:tcPr>
          <w:p w14:paraId="3C1F6067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137.46</w:t>
            </w:r>
          </w:p>
        </w:tc>
        <w:tc>
          <w:tcPr>
            <w:tcW w:w="2409" w:type="dxa"/>
            <w:shd w:val="clear" w:color="auto" w:fill="auto"/>
          </w:tcPr>
          <w:p w14:paraId="1AC2146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Change to "Sensing Measurement Query frame</w:t>
            </w:r>
          </w:p>
        </w:tc>
        <w:tc>
          <w:tcPr>
            <w:tcW w:w="2268" w:type="dxa"/>
            <w:shd w:val="clear" w:color="auto" w:fill="auto"/>
          </w:tcPr>
          <w:p w14:paraId="22967E9A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0283AE18" w14:textId="24F85D05" w:rsidR="00F84B98" w:rsidRPr="00254B44" w:rsidRDefault="00F84B98" w:rsidP="005F111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10BA8186" w14:textId="2848BC81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B1E35A7" w14:textId="006A465B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7380E1E" w14:textId="0819BB2C" w:rsidR="00F84B98" w:rsidRPr="00254B44" w:rsidDel="00F93FE7" w:rsidRDefault="00537DE4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Note: s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  <w:tr w:rsidR="00F84B98" w:rsidDel="00F93FE7" w14:paraId="2F2B859B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650421A1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3399</w:t>
            </w:r>
          </w:p>
        </w:tc>
        <w:tc>
          <w:tcPr>
            <w:tcW w:w="1276" w:type="dxa"/>
            <w:shd w:val="clear" w:color="auto" w:fill="auto"/>
          </w:tcPr>
          <w:p w14:paraId="6A8B0975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Mahmoud Kamel</w:t>
            </w:r>
          </w:p>
        </w:tc>
        <w:tc>
          <w:tcPr>
            <w:tcW w:w="1134" w:type="dxa"/>
            <w:shd w:val="clear" w:color="auto" w:fill="auto"/>
          </w:tcPr>
          <w:p w14:paraId="72F6C3E3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137.59</w:t>
            </w:r>
          </w:p>
        </w:tc>
        <w:tc>
          <w:tcPr>
            <w:tcW w:w="2409" w:type="dxa"/>
            <w:shd w:val="clear" w:color="auto" w:fill="auto"/>
          </w:tcPr>
          <w:p w14:paraId="7FC5DB5D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Change to "Sensing Measurement Query frame</w:t>
            </w:r>
          </w:p>
        </w:tc>
        <w:tc>
          <w:tcPr>
            <w:tcW w:w="2268" w:type="dxa"/>
            <w:shd w:val="clear" w:color="auto" w:fill="auto"/>
          </w:tcPr>
          <w:p w14:paraId="647D8162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3DD97D85" w14:textId="4CA72E91" w:rsidR="00F84B98" w:rsidRPr="00254B44" w:rsidRDefault="00F84B98" w:rsidP="005F111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5BB126E4" w14:textId="3DB969F5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6680243" w14:textId="2BBEC6B4" w:rsidR="00F84B98" w:rsidRPr="00254B44" w:rsidDel="00F93FE7" w:rsidRDefault="00537DE4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Note: s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  <w:tr w:rsidR="00F84B98" w:rsidDel="00F93FE7" w14:paraId="337F1BE5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33B146CE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3404</w:t>
            </w:r>
          </w:p>
        </w:tc>
        <w:tc>
          <w:tcPr>
            <w:tcW w:w="1276" w:type="dxa"/>
            <w:shd w:val="clear" w:color="auto" w:fill="auto"/>
          </w:tcPr>
          <w:p w14:paraId="32F608DB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Mahmoud Kamel</w:t>
            </w:r>
          </w:p>
        </w:tc>
        <w:tc>
          <w:tcPr>
            <w:tcW w:w="1134" w:type="dxa"/>
            <w:shd w:val="clear" w:color="auto" w:fill="auto"/>
          </w:tcPr>
          <w:p w14:paraId="23BE7FF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140.50</w:t>
            </w:r>
          </w:p>
        </w:tc>
        <w:tc>
          <w:tcPr>
            <w:tcW w:w="2409" w:type="dxa"/>
            <w:shd w:val="clear" w:color="auto" w:fill="auto"/>
          </w:tcPr>
          <w:p w14:paraId="5E410338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Change to "Sensing Measurement Request frame</w:t>
            </w:r>
          </w:p>
        </w:tc>
        <w:tc>
          <w:tcPr>
            <w:tcW w:w="2268" w:type="dxa"/>
            <w:shd w:val="clear" w:color="auto" w:fill="auto"/>
          </w:tcPr>
          <w:p w14:paraId="7F257446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5AEAA813" w14:textId="5B27B8C6" w:rsidR="00F84B98" w:rsidRPr="00254B44" w:rsidRDefault="00F84B98" w:rsidP="005F111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773ECA79" w14:textId="70E920FB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A504E11" w14:textId="5AD3409A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5784F18" w14:textId="75622850" w:rsidR="00F84B98" w:rsidRPr="00254B44" w:rsidDel="00F93FE7" w:rsidRDefault="00537DE4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Note: s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  <w:tr w:rsidR="00F84B98" w:rsidDel="00F93FE7" w14:paraId="5FBEFF96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2E5DE14E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lastRenderedPageBreak/>
              <w:t>3480</w:t>
            </w:r>
          </w:p>
        </w:tc>
        <w:tc>
          <w:tcPr>
            <w:tcW w:w="1276" w:type="dxa"/>
            <w:shd w:val="clear" w:color="auto" w:fill="auto"/>
          </w:tcPr>
          <w:p w14:paraId="62994141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A11905">
              <w:t>narengerile</w:t>
            </w:r>
            <w:proofErr w:type="spellEnd"/>
            <w:r w:rsidRPr="00A11905">
              <w:t xml:space="preserve"> </w:t>
            </w:r>
            <w:proofErr w:type="spellStart"/>
            <w:r w:rsidRPr="00A11905">
              <w:t>narengerile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C69453D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137.46</w:t>
            </w:r>
          </w:p>
        </w:tc>
        <w:tc>
          <w:tcPr>
            <w:tcW w:w="2409" w:type="dxa"/>
            <w:shd w:val="clear" w:color="auto" w:fill="auto"/>
          </w:tcPr>
          <w:p w14:paraId="5D91FAD8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Typo</w:t>
            </w:r>
          </w:p>
        </w:tc>
        <w:tc>
          <w:tcPr>
            <w:tcW w:w="2268" w:type="dxa"/>
            <w:shd w:val="clear" w:color="auto" w:fill="auto"/>
          </w:tcPr>
          <w:p w14:paraId="44510776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Delete "Session"</w:t>
            </w:r>
          </w:p>
        </w:tc>
        <w:tc>
          <w:tcPr>
            <w:tcW w:w="2044" w:type="dxa"/>
            <w:shd w:val="clear" w:color="auto" w:fill="auto"/>
          </w:tcPr>
          <w:p w14:paraId="73980F48" w14:textId="2C52732C" w:rsidR="00F84B98" w:rsidRPr="00254B44" w:rsidRDefault="00F84B98" w:rsidP="005F111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2B8F400F" w14:textId="57CD3613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5F266A0B" w14:textId="75F08EBF" w:rsidR="00F84B98" w:rsidRPr="00254B44" w:rsidDel="00F93FE7" w:rsidRDefault="00537DE4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Note: s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  <w:tr w:rsidR="00F84B98" w:rsidDel="00F93FE7" w14:paraId="69C4BF6D" w14:textId="77777777" w:rsidTr="005D74B0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60044B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3481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91932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A11905">
              <w:t>narengerile</w:t>
            </w:r>
            <w:proofErr w:type="spellEnd"/>
            <w:r w:rsidRPr="00A11905">
              <w:t xml:space="preserve"> </w:t>
            </w:r>
            <w:proofErr w:type="spellStart"/>
            <w:r w:rsidRPr="00A11905">
              <w:t>narengerile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C80EB3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137.59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3E8AB58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Typo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01F8ED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Delete "Session"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46B79183" w14:textId="057E3726" w:rsidR="00F84B98" w:rsidRPr="00254B44" w:rsidRDefault="00F84B98" w:rsidP="005F111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0B561A45" w14:textId="3CF429AA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E6953E8" w14:textId="3E703487" w:rsidR="00F84B98" w:rsidRPr="00254B44" w:rsidDel="00F93FE7" w:rsidRDefault="00537DE4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Note: s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  <w:tr w:rsidR="00F84B98" w:rsidDel="00F93FE7" w14:paraId="03FB59D4" w14:textId="77777777" w:rsidTr="005D74B0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BF09D3A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3487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CC91BD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A11905">
              <w:t>narengerile</w:t>
            </w:r>
            <w:proofErr w:type="spellEnd"/>
            <w:r w:rsidRPr="00A11905">
              <w:t xml:space="preserve"> </w:t>
            </w:r>
            <w:proofErr w:type="spellStart"/>
            <w:r w:rsidRPr="00A11905">
              <w:t>narengerile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FFC710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140.50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184B4F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Typo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201146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Delete "Session"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3F737D8" w14:textId="46AF4602" w:rsidR="00C37C3B" w:rsidRPr="00DD7D46" w:rsidRDefault="00C37C3B" w:rsidP="005F111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DD7D46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1E2654F4" w14:textId="25940ACA" w:rsidR="00C37C3B" w:rsidRPr="00DD7D46" w:rsidRDefault="00C37C3B" w:rsidP="00C37C3B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9169FC0" w14:textId="77E73C95" w:rsidR="00F84B98" w:rsidRPr="00254B44" w:rsidDel="00F93FE7" w:rsidRDefault="00537DE4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Note: s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</w:tbl>
    <w:p w14:paraId="5CB1BBA8" w14:textId="523F67E1" w:rsidR="00F84B98" w:rsidRDefault="00F84B98" w:rsidP="00F84B98">
      <w:pPr>
        <w:jc w:val="both"/>
        <w:rPr>
          <w:sz w:val="21"/>
          <w:szCs w:val="21"/>
        </w:rPr>
      </w:pPr>
    </w:p>
    <w:p w14:paraId="65810830" w14:textId="77777777" w:rsidR="00487BE7" w:rsidRDefault="00487BE7" w:rsidP="00F84B98">
      <w:pPr>
        <w:jc w:val="both"/>
        <w:rPr>
          <w:sz w:val="21"/>
          <w:szCs w:val="21"/>
        </w:rPr>
      </w:pPr>
    </w:p>
    <w:p w14:paraId="29790B3A" w14:textId="77777777" w:rsidR="00F84B98" w:rsidRDefault="00F84B98" w:rsidP="00F84B98">
      <w:pPr>
        <w:jc w:val="both"/>
        <w:rPr>
          <w:sz w:val="21"/>
          <w:szCs w:val="21"/>
        </w:rPr>
      </w:pPr>
    </w:p>
    <w:p w14:paraId="23B078D4" w14:textId="22437FD8" w:rsidR="00F84B98" w:rsidRPr="004929C3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b/>
          <w:color w:val="000000"/>
          <w:w w:val="0"/>
          <w:szCs w:val="22"/>
          <w:u w:val="single"/>
          <w:lang w:eastAsia="ja-JP"/>
        </w:rPr>
        <w:t>2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44181ECE" w14:textId="7936CA9B" w:rsidR="00F84B98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1C3ED8E7" w14:textId="77777777" w:rsidTr="00254B4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6620" w14:textId="77777777" w:rsidR="00386E26" w:rsidRPr="00254B44" w:rsidRDefault="00386E26" w:rsidP="00F835DC">
            <w:pPr>
              <w:jc w:val="right"/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AB3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F441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BCA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46B2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959EAFD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F84B98" w:rsidDel="00F93FE7" w14:paraId="2B1EBFF2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6C628ABE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3131</w:t>
            </w:r>
          </w:p>
        </w:tc>
        <w:tc>
          <w:tcPr>
            <w:tcW w:w="1276" w:type="dxa"/>
            <w:shd w:val="clear" w:color="auto" w:fill="auto"/>
          </w:tcPr>
          <w:p w14:paraId="1B7186E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Sang Gook Kim</w:t>
            </w:r>
          </w:p>
        </w:tc>
        <w:tc>
          <w:tcPr>
            <w:tcW w:w="1134" w:type="dxa"/>
            <w:shd w:val="clear" w:color="auto" w:fill="auto"/>
          </w:tcPr>
          <w:p w14:paraId="6D51D4C9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142.11</w:t>
            </w:r>
          </w:p>
        </w:tc>
        <w:tc>
          <w:tcPr>
            <w:tcW w:w="2409" w:type="dxa"/>
            <w:shd w:val="clear" w:color="auto" w:fill="auto"/>
          </w:tcPr>
          <w:p w14:paraId="775D270A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Typo</w:t>
            </w:r>
          </w:p>
        </w:tc>
        <w:tc>
          <w:tcPr>
            <w:tcW w:w="2268" w:type="dxa"/>
            <w:shd w:val="clear" w:color="auto" w:fill="auto"/>
          </w:tcPr>
          <w:p w14:paraId="4BAFACEF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Change MS timer to "SMS timer" in Figure 11-75a.</w:t>
            </w:r>
          </w:p>
        </w:tc>
        <w:tc>
          <w:tcPr>
            <w:tcW w:w="2044" w:type="dxa"/>
            <w:shd w:val="clear" w:color="auto" w:fill="auto"/>
          </w:tcPr>
          <w:p w14:paraId="2D8A21DF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Accepted </w:t>
            </w:r>
          </w:p>
          <w:p w14:paraId="274221B5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F13F159" w14:textId="6FFF8996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</w:tc>
      </w:tr>
      <w:tr w:rsidR="00F84B98" w:rsidDel="00F93FE7" w14:paraId="1EDFB15D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55B66DDF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3213</w:t>
            </w:r>
          </w:p>
        </w:tc>
        <w:tc>
          <w:tcPr>
            <w:tcW w:w="1276" w:type="dxa"/>
            <w:shd w:val="clear" w:color="auto" w:fill="auto"/>
          </w:tcPr>
          <w:p w14:paraId="52A1DE60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Atsushi Shirakawa</w:t>
            </w:r>
          </w:p>
        </w:tc>
        <w:tc>
          <w:tcPr>
            <w:tcW w:w="1134" w:type="dxa"/>
            <w:shd w:val="clear" w:color="auto" w:fill="auto"/>
          </w:tcPr>
          <w:p w14:paraId="26DCE4F7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142.11</w:t>
            </w:r>
          </w:p>
        </w:tc>
        <w:tc>
          <w:tcPr>
            <w:tcW w:w="2409" w:type="dxa"/>
            <w:shd w:val="clear" w:color="auto" w:fill="auto"/>
          </w:tcPr>
          <w:p w14:paraId="03489447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What is the "MS timer</w:t>
            </w:r>
            <w:proofErr w:type="gramStart"/>
            <w:r w:rsidRPr="005F5B66">
              <w:t>" ?</w:t>
            </w:r>
            <w:proofErr w:type="gramEnd"/>
            <w:r w:rsidRPr="005F5B66">
              <w:t xml:space="preserve"> Is this </w:t>
            </w:r>
            <w:proofErr w:type="spellStart"/>
            <w:r w:rsidRPr="005F5B66">
              <w:t>typo</w:t>
            </w:r>
            <w:proofErr w:type="spellEnd"/>
            <w:r w:rsidRPr="005F5B66">
              <w:t xml:space="preserve"> of "SMS timer</w:t>
            </w:r>
            <w:proofErr w:type="gramStart"/>
            <w:r w:rsidRPr="005F5B66">
              <w:t>" ?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26D1248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7D630742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Accepted </w:t>
            </w:r>
          </w:p>
          <w:p w14:paraId="5B1A5B2C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78C5D2F" w14:textId="0608EE37" w:rsidR="00F84B98" w:rsidRPr="00254B44" w:rsidDel="00F93FE7" w:rsidRDefault="005F111B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Note: </w:t>
            </w:r>
            <w:r w:rsidR="002A5651">
              <w:rPr>
                <w:rFonts w:eastAsia="ＭＳ Ｐゴシック"/>
                <w:szCs w:val="22"/>
                <w:lang w:val="en-US" w:eastAsia="ja-JP"/>
              </w:rPr>
              <w:t>s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ame as CID 3131</w:t>
            </w:r>
          </w:p>
        </w:tc>
      </w:tr>
    </w:tbl>
    <w:p w14:paraId="06A3F5BC" w14:textId="410C9765" w:rsidR="00F84B98" w:rsidRDefault="00F84B98" w:rsidP="00F84B98">
      <w:pPr>
        <w:jc w:val="both"/>
        <w:rPr>
          <w:sz w:val="21"/>
          <w:szCs w:val="21"/>
        </w:rPr>
      </w:pPr>
    </w:p>
    <w:p w14:paraId="1B18E372" w14:textId="77777777" w:rsidR="00487BE7" w:rsidRDefault="00487BE7" w:rsidP="00F84B98">
      <w:pPr>
        <w:jc w:val="both"/>
        <w:rPr>
          <w:sz w:val="21"/>
          <w:szCs w:val="21"/>
        </w:rPr>
      </w:pPr>
    </w:p>
    <w:p w14:paraId="0DEA2FDC" w14:textId="77777777" w:rsidR="00F84B98" w:rsidRDefault="00F84B98" w:rsidP="00772432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</w:p>
    <w:p w14:paraId="0DAD696A" w14:textId="77777777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  <w:r>
        <w:rPr>
          <w:b/>
          <w:color w:val="000000"/>
          <w:w w:val="0"/>
          <w:szCs w:val="22"/>
          <w:u w:val="single"/>
          <w:lang w:eastAsia="ja-JP"/>
        </w:rPr>
        <w:br w:type="page"/>
      </w:r>
    </w:p>
    <w:p w14:paraId="137213EA" w14:textId="7341EF7E" w:rsidR="007C39BB" w:rsidRDefault="00923024" w:rsidP="007C39BB">
      <w:pPr>
        <w:jc w:val="both"/>
        <w:rPr>
          <w:b/>
          <w:color w:val="000000"/>
          <w:w w:val="0"/>
          <w:sz w:val="20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F84B98">
        <w:rPr>
          <w:b/>
          <w:color w:val="000000"/>
          <w:w w:val="0"/>
          <w:szCs w:val="22"/>
          <w:u w:val="single"/>
          <w:lang w:eastAsia="ja-JP"/>
        </w:rPr>
        <w:t>3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6B0C8E08" w14:textId="77777777" w:rsidR="00386E26" w:rsidRPr="00923024" w:rsidRDefault="00386E26" w:rsidP="007C39BB">
      <w:pPr>
        <w:jc w:val="both"/>
        <w:rPr>
          <w:b/>
          <w:color w:val="000000"/>
          <w:w w:val="0"/>
          <w:sz w:val="20"/>
          <w:u w:val="single"/>
          <w:lang w:eastAsia="ja-JP"/>
        </w:rPr>
      </w:pPr>
    </w:p>
    <w:tbl>
      <w:tblPr>
        <w:tblW w:w="0" w:type="auto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2409"/>
        <w:gridCol w:w="2268"/>
        <w:gridCol w:w="2044"/>
      </w:tblGrid>
      <w:tr w:rsidR="007C39BB" w:rsidRPr="00772432" w14:paraId="00CC6215" w14:textId="77777777" w:rsidTr="00254B44">
        <w:trPr>
          <w:trHeight w:val="27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2B873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CID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1ACF59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914C52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29A81A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22BDC5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D6FD9F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Resolution</w:t>
            </w:r>
          </w:p>
        </w:tc>
      </w:tr>
      <w:tr w:rsidR="007C39BB" w:rsidRPr="00772432" w14:paraId="3F15DC9E" w14:textId="77777777" w:rsidTr="00254B44">
        <w:trPr>
          <w:trHeight w:val="277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BDB5E46" w14:textId="77777777" w:rsidR="007C39BB" w:rsidRPr="00772432" w:rsidRDefault="007C39BB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>3003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9BC886F" w14:textId="77777777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 xml:space="preserve">John </w:t>
            </w:r>
            <w:proofErr w:type="spellStart"/>
            <w:r w:rsidRPr="00DD6DB9">
              <w:t>Wullert</w:t>
            </w:r>
            <w:proofErr w:type="spellEnd"/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0CAE9F0" w14:textId="77777777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>135.20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37D46FA" w14:textId="77777777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>The text refers to Nb with no indication of what if refers to.  Nb, as a variable, is not included in the definitions.  This makes it very hard for the reader to understand what is going on.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188D6E" w14:textId="77777777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>change "A sensing STA shall support Nb" to "A sensing STA shall support a number of quantized bits, Nb..."</w:t>
            </w:r>
          </w:p>
        </w:tc>
        <w:tc>
          <w:tcPr>
            <w:tcW w:w="204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0F6AB87" w14:textId="23E4833C" w:rsidR="007C39BB" w:rsidRPr="00254B44" w:rsidRDefault="007C39BB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721F50A7" w14:textId="0B8B7A68" w:rsidR="007C39BB" w:rsidRPr="00254B44" w:rsidRDefault="007C39BB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E228C7D" w14:textId="5FEE5268" w:rsidR="007C39BB" w:rsidRPr="00254B44" w:rsidRDefault="007C39BB" w:rsidP="007C39B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>It is clear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 xml:space="preserve"> </w:t>
            </w:r>
            <w:proofErr w:type="gramStart"/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>N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vertAlign w:val="subscript"/>
                <w:lang w:val="en-US" w:eastAsia="ja-JP"/>
              </w:rPr>
              <w:t xml:space="preserve">b </w:t>
            </w: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means</w:t>
            </w:r>
            <w:proofErr w:type="gramEnd"/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“a number of bits for each CSI value”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if you refer to Table 9-127h according to original description.</w:t>
            </w:r>
          </w:p>
          <w:p w14:paraId="02DEF97D" w14:textId="3AC6F9BD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</w:p>
        </w:tc>
      </w:tr>
      <w:tr w:rsidR="00C27923" w:rsidRPr="00772432" w14:paraId="265A8536" w14:textId="77777777" w:rsidTr="00254B44">
        <w:trPr>
          <w:trHeight w:val="277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5AAE46F" w14:textId="57590819" w:rsidR="00C27923" w:rsidRPr="00DD6DB9" w:rsidRDefault="00C27923" w:rsidP="00254B44">
            <w:pPr>
              <w:ind w:right="110"/>
              <w:jc w:val="right"/>
            </w:pPr>
            <w:r w:rsidRPr="00A879E9">
              <w:t>3004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0A59AD" w14:textId="0D9897ED" w:rsidR="00C27923" w:rsidRPr="00DD6DB9" w:rsidRDefault="00C27923" w:rsidP="00C27923">
            <w:r w:rsidRPr="00A879E9">
              <w:t xml:space="preserve">John </w:t>
            </w:r>
            <w:proofErr w:type="spellStart"/>
            <w:r w:rsidRPr="00A879E9">
              <w:t>Wullert</w:t>
            </w:r>
            <w:proofErr w:type="spellEnd"/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01F3C81" w14:textId="320927B4" w:rsidR="00C27923" w:rsidRPr="00DD6DB9" w:rsidRDefault="00C27923" w:rsidP="00C27923">
            <w:r w:rsidRPr="00A879E9">
              <w:t>135.20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961080B" w14:textId="2444FE9B" w:rsidR="00C27923" w:rsidRPr="00DD6DB9" w:rsidRDefault="00C27923" w:rsidP="00C27923">
            <w:r w:rsidRPr="00A879E9">
              <w:t>The text refers to Ng with no indication of what Ng refers to. Ng, as a variable, is not included in the definitions.  This makes it very hard for the reader to understand what is going on.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A7E460A" w14:textId="05E84E76" w:rsidR="00C27923" w:rsidRPr="00DD6DB9" w:rsidRDefault="00C27923" w:rsidP="00C27923">
            <w:r w:rsidRPr="00A879E9">
              <w:t>change "A sensing STA that supports receiving up to four spatial streams shall support an Ng..." to "A sensing STA that supports receiving up to four spatial streams shall support a subcarrier grouping, Ng"</w:t>
            </w:r>
          </w:p>
        </w:tc>
        <w:tc>
          <w:tcPr>
            <w:tcW w:w="204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C16C9A7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5142DBC4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951E8BE" w14:textId="0CF5CEB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>It is clear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 xml:space="preserve"> </w:t>
            </w:r>
            <w:proofErr w:type="gramStart"/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>N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vertAlign w:val="subscript"/>
                <w:lang w:val="en-US" w:eastAsia="ja-JP"/>
              </w:rPr>
              <w:t xml:space="preserve">g </w:t>
            </w: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means</w:t>
            </w:r>
            <w:proofErr w:type="gramEnd"/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“subcarrier grouping setting”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if you refer to Table 9-127h according to original description.</w:t>
            </w:r>
          </w:p>
        </w:tc>
      </w:tr>
      <w:tr w:rsidR="00C27923" w:rsidRPr="00772432" w14:paraId="422B6743" w14:textId="77777777" w:rsidTr="00254B44">
        <w:trPr>
          <w:trHeight w:val="277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0ADFC4D" w14:textId="4D07F428" w:rsidR="00C27923" w:rsidRDefault="00C27923" w:rsidP="00C27923">
            <w:pPr>
              <w:jc w:val="right"/>
            </w:pPr>
            <w:r w:rsidRPr="0095473F">
              <w:t>3005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DB4EDB7" w14:textId="452E8CC8" w:rsidR="00C27923" w:rsidRPr="00DD6DB9" w:rsidRDefault="00C27923" w:rsidP="00C27923">
            <w:r w:rsidRPr="0095473F">
              <w:t xml:space="preserve">John </w:t>
            </w:r>
            <w:proofErr w:type="spellStart"/>
            <w:r w:rsidRPr="0095473F">
              <w:t>Wullert</w:t>
            </w:r>
            <w:proofErr w:type="spellEnd"/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11053DB" w14:textId="25DB9DDD" w:rsidR="00C27923" w:rsidRPr="00DD6DB9" w:rsidRDefault="00C27923" w:rsidP="00C27923">
            <w:r w:rsidRPr="0095473F">
              <w:t>135.29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A6DD23F" w14:textId="7543EC84" w:rsidR="00C27923" w:rsidRPr="00DD6DB9" w:rsidRDefault="00C27923" w:rsidP="00C27923">
            <w:r w:rsidRPr="0095473F">
              <w:t>The text refers to Ng with no indication of what Ng refers to. Ng, as a variable, is not included in the definitions.  This makes it very hard for the reader to understand what is going on.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227A4FC" w14:textId="49D57DDC" w:rsidR="00C27923" w:rsidRPr="00DD6DB9" w:rsidRDefault="00C27923" w:rsidP="00C27923">
            <w:r w:rsidRPr="0095473F">
              <w:t>change "A sensing STA that supports receiving five or more spatial streams shall support an Ng..." to "A sensing STA that supports receiving five or more spatial streams shall support a subcarrier grouping, Ng"</w:t>
            </w:r>
          </w:p>
        </w:tc>
        <w:tc>
          <w:tcPr>
            <w:tcW w:w="204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E4A4F25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23CAF956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CCC293D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>It is clear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 xml:space="preserve"> </w:t>
            </w:r>
            <w:proofErr w:type="gramStart"/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>N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vertAlign w:val="subscript"/>
                <w:lang w:val="en-US" w:eastAsia="ja-JP"/>
              </w:rPr>
              <w:t xml:space="preserve">g </w:t>
            </w: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means</w:t>
            </w:r>
            <w:proofErr w:type="gramEnd"/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“subcarrier grouping setting”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if you refer to Table 9-127h according to original description.</w:t>
            </w:r>
          </w:p>
          <w:p w14:paraId="7F56F08F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5F1392D" w14:textId="25D7122E" w:rsidR="00C27923" w:rsidRPr="00254B44" w:rsidRDefault="00230614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Note: </w:t>
            </w:r>
            <w:r w:rsidR="00C27923" w:rsidRPr="00254B44">
              <w:rPr>
                <w:rFonts w:eastAsia="ＭＳ Ｐゴシック"/>
                <w:szCs w:val="22"/>
                <w:lang w:val="en-US" w:eastAsia="ja-JP"/>
              </w:rPr>
              <w:t>same as CID 3004</w:t>
            </w:r>
          </w:p>
        </w:tc>
      </w:tr>
      <w:tr w:rsidR="00C27923" w:rsidRPr="00772432" w14:paraId="1AC0EA9B" w14:textId="77777777" w:rsidTr="00254B44">
        <w:trPr>
          <w:trHeight w:val="2903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EF6FBC2" w14:textId="77777777" w:rsidR="00C27923" w:rsidRPr="00772432" w:rsidRDefault="00C27923" w:rsidP="00DD7D46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>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4254DF7" w14:textId="77777777" w:rsidR="00C27923" w:rsidRPr="00772432" w:rsidRDefault="00C27923" w:rsidP="00DD7D46">
            <w:pPr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 xml:space="preserve">John </w:t>
            </w:r>
            <w:proofErr w:type="spellStart"/>
            <w:r w:rsidRPr="00C42340">
              <w:t>Wullert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62CECC1" w14:textId="77777777" w:rsidR="00C27923" w:rsidRPr="00772432" w:rsidRDefault="00C27923" w:rsidP="00DD7D46">
            <w:pPr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>135.35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4834A6F" w14:textId="77777777" w:rsidR="00C27923" w:rsidRPr="00772432" w:rsidRDefault="00C27923" w:rsidP="00DD7D46">
            <w:pPr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>The text refers to Ng with no indication of what Ng refers to. Ng, as a variable, is not included in the definitions.  This makes it very hard for the reader to understand what is going on.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BCB3F25" w14:textId="77777777" w:rsidR="00C27923" w:rsidRPr="00772432" w:rsidRDefault="00C27923" w:rsidP="00DD7D46">
            <w:pPr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>change "A sensing STA that supports receiving five or more spatial streams shall support an Ng..." to "A sensing STA that supports receiving five or more spatial streams shall support a subcarrier grouping, Ng"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F423878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2A7D3F1E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1EB2E8D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>It is clear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 xml:space="preserve"> </w:t>
            </w:r>
            <w:proofErr w:type="gramStart"/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>N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vertAlign w:val="subscript"/>
                <w:lang w:val="en-US" w:eastAsia="ja-JP"/>
              </w:rPr>
              <w:t xml:space="preserve">g </w:t>
            </w: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means</w:t>
            </w:r>
            <w:proofErr w:type="gramEnd"/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“subcarrier grouping setting”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if you refer to Table 9-127h according to original description.</w:t>
            </w:r>
          </w:p>
          <w:p w14:paraId="5665AA18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53B3084" w14:textId="0BE3E42B" w:rsidR="00C27923" w:rsidRPr="00254B44" w:rsidRDefault="00230614" w:rsidP="00DD7D46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Note: </w:t>
            </w:r>
            <w:r w:rsidR="00C27923" w:rsidRPr="00254B44">
              <w:rPr>
                <w:rFonts w:eastAsia="ＭＳ Ｐゴシック"/>
                <w:szCs w:val="22"/>
                <w:lang w:val="en-US" w:eastAsia="ja-JP"/>
              </w:rPr>
              <w:t>same as CID 3004</w:t>
            </w:r>
          </w:p>
        </w:tc>
      </w:tr>
    </w:tbl>
    <w:p w14:paraId="44BD79AF" w14:textId="77777777" w:rsidR="007C39BB" w:rsidRDefault="007C39BB" w:rsidP="007C39BB">
      <w:pPr>
        <w:jc w:val="both"/>
        <w:rPr>
          <w:sz w:val="21"/>
          <w:szCs w:val="21"/>
        </w:rPr>
      </w:pPr>
    </w:p>
    <w:p w14:paraId="672B52C1" w14:textId="77777777" w:rsidR="00487BE7" w:rsidRPr="00204A82" w:rsidRDefault="00487BE7" w:rsidP="001A6419">
      <w:pPr>
        <w:jc w:val="both"/>
        <w:rPr>
          <w:bCs/>
          <w:color w:val="000000"/>
          <w:w w:val="0"/>
          <w:szCs w:val="22"/>
          <w:lang w:val="en-US" w:eastAsia="ja-JP"/>
        </w:rPr>
      </w:pPr>
    </w:p>
    <w:p w14:paraId="50E0828A" w14:textId="1D143DA1" w:rsidR="007C39BB" w:rsidRDefault="007C39BB" w:rsidP="001A6419">
      <w:pPr>
        <w:jc w:val="both"/>
        <w:rPr>
          <w:bCs/>
          <w:color w:val="000000"/>
          <w:w w:val="0"/>
          <w:szCs w:val="22"/>
          <w:lang w:val="en-US" w:eastAsia="ja-JP"/>
        </w:rPr>
      </w:pPr>
    </w:p>
    <w:p w14:paraId="2A243B4B" w14:textId="77777777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  <w:r>
        <w:rPr>
          <w:b/>
          <w:color w:val="000000"/>
          <w:w w:val="0"/>
          <w:szCs w:val="22"/>
          <w:u w:val="single"/>
          <w:lang w:eastAsia="ja-JP"/>
        </w:rPr>
        <w:br w:type="page"/>
      </w:r>
    </w:p>
    <w:p w14:paraId="044EED08" w14:textId="71782B5B" w:rsidR="0067252A" w:rsidRPr="004929C3" w:rsidRDefault="00FA4166" w:rsidP="0067252A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F84B98">
        <w:rPr>
          <w:b/>
          <w:color w:val="000000"/>
          <w:w w:val="0"/>
          <w:szCs w:val="22"/>
          <w:u w:val="single"/>
          <w:lang w:eastAsia="ja-JP"/>
        </w:rPr>
        <w:t>4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62E81110" w14:textId="4A77C71C" w:rsidR="0067252A" w:rsidRDefault="0067252A" w:rsidP="0067252A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0E4DDE28" w14:textId="77777777" w:rsidTr="00254B4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269865" w14:textId="77777777" w:rsidR="00386E26" w:rsidRPr="00254B44" w:rsidRDefault="00386E26" w:rsidP="00F835DC">
            <w:pPr>
              <w:jc w:val="right"/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B10268" w14:textId="77777777" w:rsidR="00386E26" w:rsidRPr="00254B4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B60D98" w14:textId="77777777" w:rsidR="00386E26" w:rsidRPr="00254B4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347ACC" w14:textId="77777777" w:rsidR="00386E26" w:rsidRPr="00254B4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57EA9C" w14:textId="77777777" w:rsidR="00386E26" w:rsidRPr="00254B4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D017F2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21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21"/>
                <w:lang w:val="en-US" w:eastAsia="ja-JP"/>
              </w:rPr>
              <w:t>Resolution</w:t>
            </w:r>
          </w:p>
        </w:tc>
      </w:tr>
      <w:tr w:rsidR="00C27923" w14:paraId="48BBCD68" w14:textId="77777777" w:rsidTr="00DD7D46">
        <w:trPr>
          <w:trHeight w:val="2775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C79F51" w14:textId="77777777" w:rsidR="00C27923" w:rsidRPr="00DD6DB9" w:rsidRDefault="00C27923" w:rsidP="00DD7D46">
            <w:pPr>
              <w:jc w:val="right"/>
            </w:pPr>
            <w:r w:rsidRPr="008E594B">
              <w:t>3032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37ABE3" w14:textId="77777777" w:rsidR="00C27923" w:rsidRPr="00DD6DB9" w:rsidRDefault="00C27923" w:rsidP="00DD7D46">
            <w:r w:rsidRPr="008E594B">
              <w:t>Robert Stacey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C9E58D" w14:textId="77777777" w:rsidR="00C27923" w:rsidRPr="00DD6DB9" w:rsidRDefault="00C27923" w:rsidP="00DD7D46">
            <w:r w:rsidRPr="008E594B">
              <w:t>135.21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783401" w14:textId="77777777" w:rsidR="00C27923" w:rsidRPr="00DD6DB9" w:rsidRDefault="00C27923" w:rsidP="00DD7D46">
            <w:r w:rsidRPr="008E594B">
              <w:t>Use equations when referencing variables.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6FE5C7" w14:textId="77777777" w:rsidR="00C27923" w:rsidRPr="00DD6DB9" w:rsidRDefault="00C27923" w:rsidP="00DD7D46">
            <w:r w:rsidRPr="008E594B">
              <w:t xml:space="preserve">Change to "A sensing STA shall support both </w:t>
            </w:r>
            <w:proofErr w:type="spellStart"/>
            <w:r w:rsidRPr="008E594B">
              <w:t>N_b</w:t>
            </w:r>
            <w:proofErr w:type="spellEnd"/>
            <w:r w:rsidRPr="008E594B">
              <w:t xml:space="preserve"> = 8 and </w:t>
            </w:r>
            <w:proofErr w:type="spellStart"/>
            <w:r w:rsidRPr="008E594B">
              <w:t>N_b</w:t>
            </w:r>
            <w:proofErr w:type="spellEnd"/>
            <w:r w:rsidRPr="008E594B">
              <w:t xml:space="preserve"> = 10 in the Sensing Measurement Report frame (see Table...).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CECDD8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FA4068" w:rsidDel="00F93FE7" w14:paraId="78DF61E0" w14:textId="77777777" w:rsidTr="005D74B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333300"/>
              <w:bottom w:val="nil"/>
              <w:right w:val="single" w:sz="4" w:space="0" w:color="333300"/>
            </w:tcBorders>
            <w:shd w:val="clear" w:color="auto" w:fill="auto"/>
          </w:tcPr>
          <w:p w14:paraId="4C0776E8" w14:textId="77777777" w:rsidR="00FA4068" w:rsidRPr="00772432" w:rsidDel="00F93FE7" w:rsidRDefault="00FA406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>3033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5569772D" w14:textId="77777777" w:rsidR="00FA4068" w:rsidRPr="00772432" w:rsidDel="00F93FE7" w:rsidRDefault="00FA406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>Robert Stacey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4A0DCB78" w14:textId="77777777" w:rsidR="00FA4068" w:rsidRPr="00772432" w:rsidDel="00F93FE7" w:rsidRDefault="00FA406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>135.24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0E43976F" w14:textId="77777777" w:rsidR="00FA4068" w:rsidRPr="00772432" w:rsidDel="00F93FE7" w:rsidRDefault="00FA406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>Use equations when referenced variables. "</w:t>
            </w:r>
            <w:proofErr w:type="gramStart"/>
            <w:r w:rsidRPr="00C162AF">
              <w:t>may</w:t>
            </w:r>
            <w:proofErr w:type="gramEnd"/>
            <w:r w:rsidRPr="00C162AF">
              <w:t xml:space="preserve"> optionally" is redundant; may along indicates optionality.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521532D2" w14:textId="77777777" w:rsidR="00FA4068" w:rsidRPr="00772432" w:rsidDel="00F93FE7" w:rsidRDefault="00FA406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 xml:space="preserve">Change to "A sensing STA that supports </w:t>
            </w:r>
            <w:proofErr w:type="spellStart"/>
            <w:r w:rsidRPr="00C162AF">
              <w:t>receving</w:t>
            </w:r>
            <w:proofErr w:type="spellEnd"/>
            <w:r w:rsidRPr="00C162AF">
              <w:t xml:space="preserve"> up to four spatial streams shall support </w:t>
            </w:r>
            <w:proofErr w:type="spellStart"/>
            <w:r w:rsidRPr="00C162AF">
              <w:t>N_g</w:t>
            </w:r>
            <w:proofErr w:type="spellEnd"/>
            <w:r w:rsidRPr="00C162AF">
              <w:t xml:space="preserve"> = 4 and may support </w:t>
            </w:r>
            <w:proofErr w:type="spellStart"/>
            <w:r w:rsidRPr="00C162AF">
              <w:t>N_g</w:t>
            </w:r>
            <w:proofErr w:type="spellEnd"/>
            <w:r w:rsidRPr="00C162AF">
              <w:t xml:space="preserve"> = 16 in a Sensing Measurement Report frame (see Table...)."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234EFBA6" w14:textId="77777777" w:rsidR="00FA4068" w:rsidRDefault="00685EB7" w:rsidP="005D74B0">
            <w:r>
              <w:t>Revised</w:t>
            </w:r>
            <w:r w:rsidR="00FA4068" w:rsidRPr="00C162AF">
              <w:t>.</w:t>
            </w:r>
          </w:p>
          <w:p w14:paraId="1ADA0831" w14:textId="77777777" w:rsidR="00685EB7" w:rsidRDefault="00685EB7" w:rsidP="005D74B0"/>
          <w:p w14:paraId="6A26EDBA" w14:textId="43F30C82" w:rsidR="00E93590" w:rsidRDefault="00685EB7" w:rsidP="005D74B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Proposal is basically accepted </w:t>
            </w:r>
            <w:r w:rsidR="00E93590">
              <w:rPr>
                <w:lang w:eastAsia="ja-JP"/>
              </w:rPr>
              <w:t>except for following items.</w:t>
            </w:r>
          </w:p>
          <w:p w14:paraId="41D25EEC" w14:textId="77777777" w:rsidR="00E93590" w:rsidRDefault="00E93590" w:rsidP="005D74B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(1) </w:t>
            </w:r>
            <w:r w:rsidR="00685EB7">
              <w:rPr>
                <w:lang w:eastAsia="ja-JP"/>
              </w:rPr>
              <w:t>“</w:t>
            </w:r>
            <w:r w:rsidR="00685EB7" w:rsidRPr="00C162AF">
              <w:t>a Sensing Measurement Report frame</w:t>
            </w:r>
            <w:r w:rsidR="00685EB7">
              <w:rPr>
                <w:lang w:eastAsia="ja-JP"/>
              </w:rPr>
              <w:t xml:space="preserve">” </w:t>
            </w:r>
            <w:r>
              <w:rPr>
                <w:lang w:eastAsia="ja-JP"/>
              </w:rPr>
              <w:t>should be</w:t>
            </w:r>
            <w:r w:rsidR="00685EB7">
              <w:rPr>
                <w:lang w:eastAsia="ja-JP"/>
              </w:rPr>
              <w:t xml:space="preserve"> “</w:t>
            </w:r>
            <w:r w:rsidR="00685EB7">
              <w:t>the</w:t>
            </w:r>
            <w:r w:rsidR="00685EB7" w:rsidRPr="00C162AF">
              <w:t xml:space="preserve"> Sensing Measurement Report frame</w:t>
            </w:r>
            <w:r w:rsidR="00685EB7">
              <w:rPr>
                <w:lang w:eastAsia="ja-JP"/>
              </w:rPr>
              <w:t>”</w:t>
            </w:r>
          </w:p>
          <w:p w14:paraId="4D7BAFE0" w14:textId="77777777" w:rsidR="00537DE4" w:rsidRDefault="00537DE4" w:rsidP="005D74B0">
            <w:pPr>
              <w:rPr>
                <w:lang w:eastAsia="ja-JP"/>
              </w:rPr>
            </w:pPr>
          </w:p>
          <w:p w14:paraId="124B96A8" w14:textId="51AF51BF" w:rsidR="00537DE4" w:rsidRPr="00254B44" w:rsidDel="00F93FE7" w:rsidRDefault="00537DE4" w:rsidP="005D74B0">
            <w:pPr>
              <w:rPr>
                <w:lang w:eastAsia="ja-JP"/>
              </w:rPr>
            </w:pPr>
            <w:r w:rsidRPr="005224A7">
              <w:rPr>
                <w:lang w:eastAsia="ja-JP"/>
              </w:rPr>
              <w:t>See proposed text below</w:t>
            </w:r>
            <w:r>
              <w:rPr>
                <w:lang w:eastAsia="ja-JP"/>
              </w:rPr>
              <w:t xml:space="preserve"> &lt;DCN1474r1&gt;</w:t>
            </w:r>
          </w:p>
        </w:tc>
      </w:tr>
      <w:tr w:rsidR="00FA4068" w:rsidRPr="00772432" w14:paraId="0FABCBFE" w14:textId="77777777" w:rsidTr="004929C3">
        <w:trPr>
          <w:trHeight w:val="2903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78A86C1" w14:textId="53A52C2C" w:rsidR="00FA4068" w:rsidRPr="00C42340" w:rsidRDefault="00FA4068" w:rsidP="00FA4068">
            <w:pPr>
              <w:jc w:val="right"/>
            </w:pPr>
            <w:r w:rsidRPr="00BB22E4">
              <w:t>3034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608C3A" w14:textId="029C79AB" w:rsidR="00FA4068" w:rsidRPr="00C42340" w:rsidRDefault="00FA4068" w:rsidP="00FA4068">
            <w:r w:rsidRPr="00BB22E4">
              <w:t>Robert Stacey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AF07F6A" w14:textId="47F434E4" w:rsidR="00FA4068" w:rsidRPr="00C42340" w:rsidRDefault="00FA4068" w:rsidP="00FA4068">
            <w:r w:rsidRPr="00BB22E4">
              <w:t>135.29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754C02D" w14:textId="7E9DE944" w:rsidR="00FA4068" w:rsidRPr="00C42340" w:rsidRDefault="00FA4068" w:rsidP="00FA4068">
            <w:r w:rsidRPr="00BB22E4">
              <w:t>Use equations when referencing variables. "</w:t>
            </w:r>
            <w:proofErr w:type="gramStart"/>
            <w:r w:rsidRPr="00BB22E4">
              <w:t>may</w:t>
            </w:r>
            <w:proofErr w:type="gramEnd"/>
            <w:r w:rsidRPr="00BB22E4">
              <w:t xml:space="preserve"> optionally" is redundant; may along indicates optionality. The </w:t>
            </w:r>
            <w:r w:rsidRPr="002125F1">
              <w:t>conditions for support here are not clear -- the tacked on an "if" clause is ambiguous</w:t>
            </w:r>
            <w:r w:rsidRPr="00BB22E4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5D60CE" w14:textId="0B0ACFC4" w:rsidR="00FA4068" w:rsidRPr="00C42340" w:rsidRDefault="00FA4068" w:rsidP="00FA4068">
            <w:r w:rsidRPr="00BB22E4">
              <w:t xml:space="preserve">Change to "A sensing STA that supports receiving 5 or more spatial streams shall support </w:t>
            </w:r>
            <w:proofErr w:type="spellStart"/>
            <w:r w:rsidRPr="00BB22E4">
              <w:t>N_g</w:t>
            </w:r>
            <w:proofErr w:type="spellEnd"/>
            <w:r w:rsidRPr="00BB22E4">
              <w:t xml:space="preserve"> = 4 and may support </w:t>
            </w:r>
            <w:proofErr w:type="spellStart"/>
            <w:r w:rsidRPr="00BB22E4">
              <w:t>N_g</w:t>
            </w:r>
            <w:proofErr w:type="spellEnd"/>
            <w:r w:rsidRPr="00BB22E4">
              <w:t xml:space="preserve"> = 16 in a Sensing Measurement Report frame that results from an SI2SR, SR2SI or SR2SR NDP where the bandwidth is greater less than or equal to 80 </w:t>
            </w:r>
            <w:proofErr w:type="spellStart"/>
            <w:r w:rsidRPr="00BB22E4">
              <w:t>MHz.</w:t>
            </w:r>
            <w:proofErr w:type="spellEnd"/>
            <w:r w:rsidRPr="00BB22E4">
              <w:t xml:space="preserve">" </w:t>
            </w:r>
            <w:proofErr w:type="spellStart"/>
            <w:r w:rsidRPr="00BB22E4">
              <w:t>Similalry</w:t>
            </w:r>
            <w:proofErr w:type="spellEnd"/>
            <w:r w:rsidRPr="00BB22E4">
              <w:t xml:space="preserve"> for statement at 135.35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91BA62F" w14:textId="77777777" w:rsidR="00FA4068" w:rsidRDefault="001B52E2" w:rsidP="00FA406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4929C3"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 w:rsidRPr="004929C3">
              <w:rPr>
                <w:rFonts w:eastAsia="ＭＳ Ｐゴシック"/>
                <w:szCs w:val="22"/>
                <w:lang w:val="en-US" w:eastAsia="ja-JP"/>
              </w:rPr>
              <w:t>evised.</w:t>
            </w:r>
          </w:p>
          <w:p w14:paraId="4E5FB70F" w14:textId="77777777" w:rsidR="001B52E2" w:rsidRDefault="001B52E2" w:rsidP="00FA4068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BEE4044" w14:textId="1FA77193" w:rsidR="00537DE4" w:rsidRDefault="001B52E2" w:rsidP="00FA406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Proposal is basically accepted </w:t>
            </w:r>
            <w:r w:rsidR="00783763">
              <w:rPr>
                <w:lang w:eastAsia="ja-JP"/>
              </w:rPr>
              <w:t>ex</w:t>
            </w:r>
            <w:r w:rsidR="001E49DB">
              <w:rPr>
                <w:lang w:eastAsia="ja-JP"/>
              </w:rPr>
              <w:t>c</w:t>
            </w:r>
            <w:r w:rsidR="00783763">
              <w:rPr>
                <w:lang w:eastAsia="ja-JP"/>
              </w:rPr>
              <w:t>ept for following items.</w:t>
            </w:r>
          </w:p>
          <w:p w14:paraId="3B07CB16" w14:textId="0DEE2161" w:rsidR="00783763" w:rsidRDefault="00783763" w:rsidP="005224A7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(1) </w:t>
            </w:r>
            <w:r w:rsidR="001B52E2">
              <w:rPr>
                <w:lang w:eastAsia="ja-JP"/>
              </w:rPr>
              <w:t xml:space="preserve">“5 or more” </w:t>
            </w:r>
            <w:r>
              <w:rPr>
                <w:lang w:eastAsia="ja-JP"/>
              </w:rPr>
              <w:t>should be</w:t>
            </w:r>
            <w:r w:rsidR="001B52E2">
              <w:rPr>
                <w:lang w:eastAsia="ja-JP"/>
              </w:rPr>
              <w:t xml:space="preserve"> “five or more”,</w:t>
            </w:r>
          </w:p>
          <w:p w14:paraId="0D97886C" w14:textId="7E203449" w:rsidR="001B52E2" w:rsidRDefault="00783763" w:rsidP="005224A7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(2) </w:t>
            </w:r>
            <w:r w:rsidR="001B52E2">
              <w:rPr>
                <w:lang w:eastAsia="ja-JP"/>
              </w:rPr>
              <w:t>“</w:t>
            </w:r>
            <w:r w:rsidR="001B52E2" w:rsidRPr="00C162AF">
              <w:t>a Sensing Measurement Report frame</w:t>
            </w:r>
            <w:r w:rsidR="001B52E2">
              <w:rPr>
                <w:lang w:eastAsia="ja-JP"/>
              </w:rPr>
              <w:t xml:space="preserve">” </w:t>
            </w:r>
            <w:r>
              <w:rPr>
                <w:lang w:eastAsia="ja-JP"/>
              </w:rPr>
              <w:t>should be</w:t>
            </w:r>
            <w:r w:rsidR="001B52E2">
              <w:rPr>
                <w:lang w:eastAsia="ja-JP"/>
              </w:rPr>
              <w:t xml:space="preserve"> “</w:t>
            </w:r>
            <w:r w:rsidR="001B52E2">
              <w:t>the</w:t>
            </w:r>
            <w:r w:rsidR="001B52E2" w:rsidRPr="00C162AF">
              <w:t xml:space="preserve"> Sensing Measurement Report frame</w:t>
            </w:r>
            <w:r w:rsidR="001B52E2">
              <w:rPr>
                <w:lang w:eastAsia="ja-JP"/>
              </w:rPr>
              <w:t>”</w:t>
            </w:r>
          </w:p>
          <w:p w14:paraId="7B77EA46" w14:textId="77777777" w:rsidR="00783763" w:rsidRDefault="00783763" w:rsidP="005224A7">
            <w:pPr>
              <w:rPr>
                <w:lang w:eastAsia="ja-JP"/>
              </w:rPr>
            </w:pPr>
            <w:r>
              <w:rPr>
                <w:lang w:eastAsia="ja-JP"/>
              </w:rPr>
              <w:t>(3) “</w:t>
            </w:r>
            <w:r w:rsidRPr="00BB22E4">
              <w:t>is greater less than</w:t>
            </w:r>
            <w:r>
              <w:rPr>
                <w:lang w:eastAsia="ja-JP"/>
              </w:rPr>
              <w:t>” should be “</w:t>
            </w:r>
            <w:r w:rsidRPr="00BB22E4">
              <w:t>is less than</w:t>
            </w:r>
            <w:r>
              <w:rPr>
                <w:lang w:eastAsia="ja-JP"/>
              </w:rPr>
              <w:t>”</w:t>
            </w:r>
            <w:r w:rsidR="001E49DB">
              <w:rPr>
                <w:lang w:eastAsia="ja-JP"/>
              </w:rPr>
              <w:t xml:space="preserve"> </w:t>
            </w:r>
          </w:p>
          <w:p w14:paraId="0B598695" w14:textId="77777777" w:rsidR="00537DE4" w:rsidRDefault="00537DE4" w:rsidP="005224A7">
            <w:pPr>
              <w:rPr>
                <w:lang w:eastAsia="ja-JP"/>
              </w:rPr>
            </w:pPr>
          </w:p>
          <w:p w14:paraId="5C8571F4" w14:textId="77777777" w:rsidR="00537DE4" w:rsidRDefault="00537DE4" w:rsidP="00537DE4">
            <w:pPr>
              <w:rPr>
                <w:lang w:eastAsia="ja-JP"/>
              </w:rPr>
            </w:pPr>
            <w:r w:rsidRPr="005224A7">
              <w:rPr>
                <w:lang w:eastAsia="ja-JP"/>
              </w:rPr>
              <w:t>See proposed text below</w:t>
            </w:r>
            <w:r>
              <w:rPr>
                <w:lang w:eastAsia="ja-JP"/>
              </w:rPr>
              <w:t xml:space="preserve"> &lt;DCN1474r1&gt;</w:t>
            </w:r>
          </w:p>
          <w:p w14:paraId="4E578C3C" w14:textId="55F74D33" w:rsidR="00537DE4" w:rsidRPr="00537DE4" w:rsidRDefault="00537DE4" w:rsidP="005224A7">
            <w:pPr>
              <w:rPr>
                <w:rFonts w:eastAsia="ＭＳ Ｐゴシック"/>
                <w:sz w:val="20"/>
                <w:lang w:eastAsia="ja-JP"/>
              </w:rPr>
            </w:pPr>
          </w:p>
        </w:tc>
      </w:tr>
      <w:tr w:rsidR="00B97D8E" w:rsidRPr="00772432" w14:paraId="4392F42A" w14:textId="77777777" w:rsidTr="00FA4068">
        <w:trPr>
          <w:trHeight w:val="2903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63419A" w14:textId="0F5E9E93" w:rsidR="00B97D8E" w:rsidRPr="00BB22E4" w:rsidRDefault="00B97D8E" w:rsidP="00B97D8E">
            <w:pPr>
              <w:jc w:val="right"/>
            </w:pPr>
            <w:r w:rsidRPr="00E83C7D">
              <w:lastRenderedPageBreak/>
              <w:t>3071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D87102" w14:textId="3BF62EBE" w:rsidR="00B97D8E" w:rsidRPr="00BB22E4" w:rsidRDefault="00B97D8E" w:rsidP="00B97D8E">
            <w:r w:rsidRPr="00E83C7D">
              <w:t>You-Wei Chen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743F2F" w14:textId="6E6BF17B" w:rsidR="00B97D8E" w:rsidRPr="00BB22E4" w:rsidRDefault="00B97D8E" w:rsidP="00B97D8E">
            <w:r w:rsidRPr="00E83C7D">
              <w:t>135.26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A8AAC3" w14:textId="3E1C004F" w:rsidR="00B97D8E" w:rsidRPr="00BB22E4" w:rsidRDefault="00B97D8E" w:rsidP="00B97D8E">
            <w:r w:rsidRPr="00E83C7D">
              <w:t>May optionally-&gt; may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ABFFFD" w14:textId="53449DA8" w:rsidR="00B97D8E" w:rsidRPr="00BB22E4" w:rsidRDefault="00B97D8E" w:rsidP="00B97D8E">
            <w:r w:rsidRPr="00E83C7D">
              <w:t>May optionally-&gt; may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FB4EC4" w14:textId="77777777" w:rsidR="00B97D8E" w:rsidRDefault="00235166" w:rsidP="00B97D8E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ccepted.</w:t>
            </w:r>
          </w:p>
          <w:p w14:paraId="6B007892" w14:textId="77777777" w:rsidR="00235166" w:rsidRDefault="00235166" w:rsidP="00B97D8E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D885E36" w14:textId="4FC3F0B1" w:rsidR="00235166" w:rsidRPr="00B97D8E" w:rsidRDefault="002A5651" w:rsidP="00B97D8E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Note: same </w:t>
            </w:r>
            <w:proofErr w:type="spellStart"/>
            <w:r>
              <w:rPr>
                <w:rFonts w:eastAsia="ＭＳ Ｐゴシック"/>
                <w:szCs w:val="22"/>
                <w:lang w:val="en-US" w:eastAsia="ja-JP"/>
              </w:rPr>
              <w:t>sa</w:t>
            </w:r>
            <w:proofErr w:type="spellEnd"/>
            <w:r>
              <w:rPr>
                <w:rFonts w:eastAsia="ＭＳ Ｐゴシック"/>
                <w:szCs w:val="22"/>
                <w:lang w:val="en-US" w:eastAsia="ja-JP"/>
              </w:rPr>
              <w:t xml:space="preserve"> CID3033</w:t>
            </w:r>
          </w:p>
        </w:tc>
      </w:tr>
    </w:tbl>
    <w:p w14:paraId="1974F59C" w14:textId="77777777" w:rsidR="0067252A" w:rsidRPr="00BF4EA0" w:rsidRDefault="0067252A" w:rsidP="0067252A">
      <w:pPr>
        <w:jc w:val="both"/>
        <w:rPr>
          <w:sz w:val="21"/>
          <w:szCs w:val="21"/>
        </w:rPr>
      </w:pPr>
    </w:p>
    <w:p w14:paraId="27410653" w14:textId="5CBEB910" w:rsidR="001E49DB" w:rsidRDefault="001E49DB" w:rsidP="004929C3">
      <w:pPr>
        <w:pStyle w:val="a8"/>
        <w:ind w:left="0"/>
        <w:rPr>
          <w:rFonts w:ascii="Times New Roman" w:hAnsi="Times New Roman" w:cs="Times New Roman"/>
          <w:i/>
          <w:sz w:val="21"/>
          <w:szCs w:val="21"/>
          <w:highlight w:val="yellow"/>
        </w:rPr>
      </w:pPr>
    </w:p>
    <w:p w14:paraId="203020B4" w14:textId="09FB26E3" w:rsidR="001E49DB" w:rsidRDefault="001E49DB" w:rsidP="004929C3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</w:p>
    <w:p w14:paraId="030F83FF" w14:textId="38865280" w:rsidR="005224A7" w:rsidRPr="00254B44" w:rsidRDefault="005224A7" w:rsidP="004929C3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ID3033:</w:t>
      </w:r>
    </w:p>
    <w:p w14:paraId="7CE41F34" w14:textId="40E72C1A" w:rsidR="00BF4EA0" w:rsidRPr="00254B44" w:rsidRDefault="00646450" w:rsidP="004929C3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P135L24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4B64E377" w14:textId="471BDF15" w:rsidR="00646450" w:rsidRPr="00254B44" w:rsidRDefault="00646450" w:rsidP="00646450">
      <w:pPr>
        <w:jc w:val="both"/>
        <w:rPr>
          <w:szCs w:val="22"/>
        </w:rPr>
      </w:pPr>
      <w:r w:rsidRPr="00254B44">
        <w:rPr>
          <w:szCs w:val="22"/>
        </w:rPr>
        <w:t xml:space="preserve">A sensing STA that supports receiving up to four spatial streams shall support </w:t>
      </w:r>
      <w:r w:rsidRPr="00254B44">
        <w:rPr>
          <w:strike/>
          <w:szCs w:val="22"/>
        </w:rPr>
        <w:t>an</w:t>
      </w:r>
      <w:r w:rsidRPr="00254B44">
        <w:rPr>
          <w:szCs w:val="22"/>
        </w:rPr>
        <w:t xml:space="preserve">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7152E3" w:rsidRPr="00254B44">
        <w:rPr>
          <w:szCs w:val="22"/>
        </w:rPr>
        <w:t xml:space="preserve">= 4 </w:t>
      </w:r>
      <w:r w:rsidRPr="00254B44">
        <w:rPr>
          <w:strike/>
          <w:szCs w:val="22"/>
        </w:rPr>
        <w:t>(see Table 9-127</w:t>
      </w:r>
      <w:proofErr w:type="gramStart"/>
      <w:r w:rsidRPr="00254B44">
        <w:rPr>
          <w:strike/>
          <w:szCs w:val="22"/>
        </w:rPr>
        <w:t>h(</w:t>
      </w:r>
      <w:proofErr w:type="gramEnd"/>
      <w:r w:rsidRPr="00254B44">
        <w:rPr>
          <w:strike/>
          <w:szCs w:val="22"/>
        </w:rPr>
        <w:t>Sensing Measurement Report Control field definition)) value of 4</w:t>
      </w:r>
      <w:r w:rsidRPr="00254B44">
        <w:rPr>
          <w:szCs w:val="22"/>
        </w:rPr>
        <w:t xml:space="preserve"> and may </w:t>
      </w:r>
      <w:r w:rsidRPr="00254B44">
        <w:rPr>
          <w:strike/>
          <w:szCs w:val="22"/>
        </w:rPr>
        <w:t>optionally</w:t>
      </w:r>
      <w:r w:rsidRPr="00254B44">
        <w:rPr>
          <w:szCs w:val="22"/>
        </w:rPr>
        <w:t xml:space="preserve"> support</w:t>
      </w:r>
      <w:r w:rsidRPr="00254B44">
        <w:rPr>
          <w:strike/>
          <w:szCs w:val="22"/>
        </w:rPr>
        <w:t xml:space="preserve"> an</w:t>
      </w:r>
      <w:r w:rsidRPr="00254B44">
        <w:rPr>
          <w:szCs w:val="22"/>
        </w:rPr>
        <w:t xml:space="preserve">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7152E3" w:rsidRPr="00254B44">
        <w:rPr>
          <w:szCs w:val="22"/>
        </w:rPr>
        <w:t xml:space="preserve"> = 16 </w:t>
      </w:r>
      <w:r w:rsidRPr="00254B44">
        <w:rPr>
          <w:strike/>
          <w:szCs w:val="22"/>
        </w:rPr>
        <w:t>value</w:t>
      </w:r>
      <w:r w:rsidR="007152E3" w:rsidRPr="00254B44">
        <w:rPr>
          <w:strike/>
          <w:szCs w:val="22"/>
        </w:rPr>
        <w:t xml:space="preserve"> </w:t>
      </w:r>
      <w:r w:rsidRPr="00254B44">
        <w:rPr>
          <w:strike/>
          <w:szCs w:val="22"/>
        </w:rPr>
        <w:t>of 16</w:t>
      </w:r>
      <w:r w:rsidRPr="00254B44">
        <w:rPr>
          <w:szCs w:val="22"/>
        </w:rPr>
        <w:t xml:space="preserve"> in the Sensing Measurement Report frame</w:t>
      </w:r>
      <w:r w:rsidR="007152E3" w:rsidRPr="00254B44">
        <w:rPr>
          <w:szCs w:val="22"/>
          <w:u w:val="single"/>
        </w:rPr>
        <w:t xml:space="preserve"> (see Table 9-127h(Sensing Measurement Report Control field definition))</w:t>
      </w:r>
      <w:r w:rsidRPr="00254B44">
        <w:rPr>
          <w:szCs w:val="22"/>
        </w:rPr>
        <w:t>.</w:t>
      </w:r>
    </w:p>
    <w:p w14:paraId="78773294" w14:textId="2BDE8CE7" w:rsidR="00646450" w:rsidRDefault="00646450" w:rsidP="00646450">
      <w:pPr>
        <w:jc w:val="both"/>
        <w:rPr>
          <w:szCs w:val="22"/>
        </w:rPr>
      </w:pPr>
    </w:p>
    <w:p w14:paraId="13D045D3" w14:textId="4A0F90B8" w:rsidR="005224A7" w:rsidRPr="00130CD2" w:rsidRDefault="005224A7" w:rsidP="00646450">
      <w:pPr>
        <w:jc w:val="both"/>
        <w:rPr>
          <w:szCs w:val="22"/>
        </w:rPr>
      </w:pPr>
      <w:r w:rsidRPr="00254B44">
        <w:rPr>
          <w:i/>
          <w:iCs/>
          <w:highlight w:val="yellow"/>
        </w:rPr>
        <w:t>CID303</w:t>
      </w:r>
      <w:r w:rsidRPr="005224A7">
        <w:rPr>
          <w:i/>
          <w:iCs/>
          <w:highlight w:val="yellow"/>
        </w:rPr>
        <w:t>4</w:t>
      </w:r>
      <w:r w:rsidRPr="00CD2FFD">
        <w:rPr>
          <w:i/>
          <w:iCs/>
          <w:highlight w:val="yellow"/>
        </w:rPr>
        <w:t>:</w:t>
      </w:r>
    </w:p>
    <w:p w14:paraId="3B77B4AE" w14:textId="7F93BD74" w:rsidR="001E49DB" w:rsidRPr="00254B44" w:rsidRDefault="001E49DB" w:rsidP="00254B44">
      <w:pPr>
        <w:pStyle w:val="a8"/>
        <w:ind w:left="0"/>
        <w:rPr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P135L29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 </w:t>
      </w:r>
    </w:p>
    <w:p w14:paraId="0FDC5C9E" w14:textId="44B34AB1" w:rsidR="00646450" w:rsidRPr="00254B44" w:rsidRDefault="00646450" w:rsidP="00646450">
      <w:pPr>
        <w:jc w:val="both"/>
        <w:rPr>
          <w:szCs w:val="22"/>
        </w:rPr>
      </w:pPr>
      <w:r w:rsidRPr="00254B44">
        <w:rPr>
          <w:szCs w:val="22"/>
        </w:rPr>
        <w:t xml:space="preserve">A sensing STA that supports receiving five or more spatial streams shall support </w:t>
      </w:r>
      <w:r w:rsidRPr="00254B44">
        <w:rPr>
          <w:strike/>
          <w:szCs w:val="22"/>
        </w:rPr>
        <w:t xml:space="preserve">an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  <w:u w:val="single"/>
        </w:rPr>
        <w:t xml:space="preserve"> </w:t>
      </w:r>
      <w:r w:rsidR="00FA484B" w:rsidRPr="00254B44">
        <w:rPr>
          <w:szCs w:val="22"/>
          <w:u w:val="single"/>
        </w:rPr>
        <w:t>= 4</w:t>
      </w:r>
      <w:r w:rsidR="00FA484B" w:rsidRPr="00254B44">
        <w:rPr>
          <w:szCs w:val="22"/>
        </w:rPr>
        <w:t xml:space="preserve"> </w:t>
      </w:r>
      <w:r w:rsidRPr="00254B44">
        <w:rPr>
          <w:strike/>
          <w:szCs w:val="22"/>
        </w:rPr>
        <w:t>value of 4</w:t>
      </w:r>
      <w:r w:rsidRPr="00254B44">
        <w:rPr>
          <w:szCs w:val="22"/>
        </w:rPr>
        <w:t xml:space="preserve"> and may</w:t>
      </w:r>
      <w:r w:rsidRPr="00254B44">
        <w:rPr>
          <w:szCs w:val="22"/>
          <w:lang w:eastAsia="ja-JP"/>
        </w:rPr>
        <w:t xml:space="preserve"> </w:t>
      </w:r>
      <w:r w:rsidRPr="00254B44">
        <w:rPr>
          <w:strike/>
          <w:szCs w:val="22"/>
        </w:rPr>
        <w:t>optionally</w:t>
      </w:r>
      <w:r w:rsidRPr="00254B44">
        <w:rPr>
          <w:szCs w:val="22"/>
        </w:rPr>
        <w:t xml:space="preserve"> support </w:t>
      </w:r>
      <w:r w:rsidRPr="00254B44">
        <w:rPr>
          <w:strike/>
          <w:szCs w:val="22"/>
        </w:rPr>
        <w:t>an</w:t>
      </w:r>
      <w:r w:rsidRPr="00254B44">
        <w:rPr>
          <w:szCs w:val="22"/>
        </w:rPr>
        <w:t xml:space="preserve">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FA484B" w:rsidRPr="00254B44">
        <w:rPr>
          <w:szCs w:val="22"/>
          <w:u w:val="single"/>
        </w:rPr>
        <w:t>= 16</w:t>
      </w:r>
      <w:r w:rsidR="00FA484B" w:rsidRPr="00254B44">
        <w:rPr>
          <w:szCs w:val="22"/>
        </w:rPr>
        <w:t xml:space="preserve"> </w:t>
      </w:r>
      <w:r w:rsidRPr="00254B44">
        <w:rPr>
          <w:strike/>
          <w:szCs w:val="22"/>
        </w:rPr>
        <w:t>value of 16</w:t>
      </w:r>
      <w:r w:rsidRPr="00254B44">
        <w:rPr>
          <w:szCs w:val="22"/>
        </w:rPr>
        <w:t xml:space="preserve"> in the Sensing Measurement Report frame</w:t>
      </w:r>
      <w:r w:rsidR="001E1196" w:rsidRPr="00254B44">
        <w:rPr>
          <w:szCs w:val="22"/>
        </w:rPr>
        <w:t xml:space="preserve"> </w:t>
      </w:r>
      <w:r w:rsidRPr="00254B44">
        <w:rPr>
          <w:strike/>
          <w:szCs w:val="22"/>
        </w:rPr>
        <w:t>if the bandwidth of the</w:t>
      </w:r>
      <w:r w:rsidRPr="00254B44">
        <w:rPr>
          <w:szCs w:val="22"/>
          <w:lang w:eastAsia="ja-JP"/>
        </w:rPr>
        <w:t xml:space="preserve"> </w:t>
      </w:r>
      <w:r w:rsidR="00EC19CC" w:rsidRPr="00254B44">
        <w:rPr>
          <w:szCs w:val="22"/>
          <w:u w:val="single"/>
        </w:rPr>
        <w:t xml:space="preserve">that results from an </w:t>
      </w:r>
      <w:r w:rsidRPr="00254B44">
        <w:rPr>
          <w:szCs w:val="22"/>
        </w:rPr>
        <w:t xml:space="preserve">SI2SR, SR2SI, or SR2SR NDP </w:t>
      </w:r>
      <w:r w:rsidRPr="00254B44">
        <w:rPr>
          <w:strike/>
          <w:szCs w:val="22"/>
        </w:rPr>
        <w:t>used to obtain the reported sensing measurement</w:t>
      </w:r>
      <w:r w:rsidRPr="00254B44">
        <w:rPr>
          <w:szCs w:val="22"/>
        </w:rPr>
        <w:t xml:space="preserve"> </w:t>
      </w:r>
      <w:r w:rsidR="001E1196" w:rsidRPr="00254B44">
        <w:rPr>
          <w:szCs w:val="22"/>
          <w:u w:val="single"/>
        </w:rPr>
        <w:t>where the bandwidth</w:t>
      </w:r>
      <w:r w:rsidR="001E1196" w:rsidRPr="00254B44">
        <w:rPr>
          <w:szCs w:val="22"/>
        </w:rPr>
        <w:t xml:space="preserve"> </w:t>
      </w:r>
      <w:r w:rsidRPr="00254B44">
        <w:rPr>
          <w:szCs w:val="22"/>
        </w:rPr>
        <w:t>is less than or equal to 80MHz.</w:t>
      </w:r>
    </w:p>
    <w:p w14:paraId="13D9CED3" w14:textId="67EF8F76" w:rsidR="00646450" w:rsidRDefault="00646450" w:rsidP="00646450">
      <w:pPr>
        <w:jc w:val="both"/>
        <w:rPr>
          <w:szCs w:val="22"/>
        </w:rPr>
      </w:pPr>
    </w:p>
    <w:p w14:paraId="6C5F8C0A" w14:textId="14567553" w:rsidR="005224A7" w:rsidRPr="00130CD2" w:rsidRDefault="005224A7" w:rsidP="00646450">
      <w:pPr>
        <w:jc w:val="both"/>
        <w:rPr>
          <w:szCs w:val="22"/>
        </w:rPr>
      </w:pPr>
      <w:r w:rsidRPr="00254B44">
        <w:rPr>
          <w:i/>
          <w:iCs/>
          <w:highlight w:val="yellow"/>
        </w:rPr>
        <w:t>CID303</w:t>
      </w:r>
      <w:r w:rsidRPr="005224A7">
        <w:rPr>
          <w:i/>
          <w:iCs/>
          <w:highlight w:val="yellow"/>
        </w:rPr>
        <w:t>4</w:t>
      </w:r>
      <w:r w:rsidRPr="009F09D9">
        <w:rPr>
          <w:i/>
          <w:iCs/>
          <w:highlight w:val="yellow"/>
        </w:rPr>
        <w:t>:</w:t>
      </w:r>
    </w:p>
    <w:p w14:paraId="58ECCDDA" w14:textId="61D80D70" w:rsidR="001E49DB" w:rsidRPr="00254B44" w:rsidRDefault="001E49DB" w:rsidP="00254B44">
      <w:pPr>
        <w:pStyle w:val="a8"/>
        <w:ind w:left="0"/>
        <w:rPr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P135L35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2EE8912B" w14:textId="10C8E155" w:rsidR="00646450" w:rsidRPr="00254B44" w:rsidRDefault="00646450" w:rsidP="00646450">
      <w:pPr>
        <w:jc w:val="both"/>
        <w:rPr>
          <w:szCs w:val="22"/>
        </w:rPr>
      </w:pPr>
      <w:r w:rsidRPr="00254B44">
        <w:rPr>
          <w:szCs w:val="22"/>
        </w:rPr>
        <w:t xml:space="preserve">A sensing STA that supports receiving five or more spatial streams shall support </w:t>
      </w:r>
      <w:r w:rsidRPr="00254B44">
        <w:rPr>
          <w:strike/>
          <w:szCs w:val="22"/>
        </w:rPr>
        <w:t xml:space="preserve">an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9D2D32" w:rsidRPr="00254B44">
        <w:rPr>
          <w:szCs w:val="22"/>
          <w:u w:val="single"/>
        </w:rPr>
        <w:t xml:space="preserve">= 8 </w:t>
      </w:r>
      <w:r w:rsidRPr="00254B44">
        <w:rPr>
          <w:strike/>
          <w:szCs w:val="22"/>
        </w:rPr>
        <w:t>value of 8</w:t>
      </w:r>
      <w:r w:rsidRPr="00254B44">
        <w:rPr>
          <w:szCs w:val="22"/>
        </w:rPr>
        <w:t xml:space="preserve"> and may</w:t>
      </w:r>
      <w:r w:rsidR="009D2D32" w:rsidRPr="00254B44">
        <w:rPr>
          <w:szCs w:val="22"/>
          <w:lang w:eastAsia="ja-JP"/>
        </w:rPr>
        <w:t xml:space="preserve"> </w:t>
      </w:r>
      <w:r w:rsidRPr="00254B44">
        <w:rPr>
          <w:strike/>
          <w:szCs w:val="22"/>
        </w:rPr>
        <w:t>optionally</w:t>
      </w:r>
      <w:r w:rsidRPr="00254B44">
        <w:rPr>
          <w:szCs w:val="22"/>
        </w:rPr>
        <w:t xml:space="preserve"> support </w:t>
      </w:r>
      <w:r w:rsidRPr="00254B44">
        <w:rPr>
          <w:strike/>
          <w:szCs w:val="22"/>
        </w:rPr>
        <w:t>an</w:t>
      </w:r>
      <w:r w:rsidRPr="00254B44">
        <w:rPr>
          <w:szCs w:val="22"/>
        </w:rPr>
        <w:t xml:space="preserve">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EC19CC" w:rsidRPr="00254B44">
        <w:rPr>
          <w:szCs w:val="22"/>
          <w:u w:val="single"/>
        </w:rPr>
        <w:t xml:space="preserve">= 16 </w:t>
      </w:r>
      <w:r w:rsidRPr="00254B44">
        <w:rPr>
          <w:strike/>
          <w:szCs w:val="22"/>
        </w:rPr>
        <w:t>value of 16</w:t>
      </w:r>
      <w:r w:rsidRPr="00254B44">
        <w:rPr>
          <w:szCs w:val="22"/>
        </w:rPr>
        <w:t xml:space="preserve"> in the Sensing Measurement Report frame</w:t>
      </w:r>
      <w:r w:rsidRPr="00254B44">
        <w:rPr>
          <w:strike/>
          <w:szCs w:val="22"/>
        </w:rPr>
        <w:t xml:space="preserve"> if the bandwidth of the</w:t>
      </w:r>
      <w:r w:rsidR="009D2D32" w:rsidRPr="00254B44">
        <w:rPr>
          <w:szCs w:val="22"/>
          <w:lang w:eastAsia="ja-JP"/>
        </w:rPr>
        <w:t xml:space="preserve"> </w:t>
      </w:r>
      <w:r w:rsidR="00EC19CC" w:rsidRPr="00254B44">
        <w:rPr>
          <w:szCs w:val="22"/>
          <w:u w:val="single"/>
        </w:rPr>
        <w:t xml:space="preserve">that results from an </w:t>
      </w:r>
      <w:r w:rsidRPr="00254B44">
        <w:rPr>
          <w:szCs w:val="22"/>
        </w:rPr>
        <w:t xml:space="preserve">SI2SR, SR2SI, or SR2SR NDP </w:t>
      </w:r>
      <w:r w:rsidRPr="00254B44">
        <w:rPr>
          <w:strike/>
          <w:szCs w:val="22"/>
        </w:rPr>
        <w:t>used to obtain the reported sensing measurement</w:t>
      </w:r>
      <w:r w:rsidRPr="00254B44">
        <w:rPr>
          <w:szCs w:val="22"/>
        </w:rPr>
        <w:t xml:space="preserve"> </w:t>
      </w:r>
      <w:r w:rsidR="00EC19CC" w:rsidRPr="00254B44">
        <w:rPr>
          <w:szCs w:val="22"/>
          <w:u w:val="single"/>
        </w:rPr>
        <w:t>where the bandwidth</w:t>
      </w:r>
      <w:r w:rsidR="00EC19CC" w:rsidRPr="00254B44">
        <w:rPr>
          <w:szCs w:val="22"/>
        </w:rPr>
        <w:t xml:space="preserve"> </w:t>
      </w:r>
      <w:r w:rsidRPr="00254B44">
        <w:rPr>
          <w:szCs w:val="22"/>
        </w:rPr>
        <w:t>is greater than or equal to</w:t>
      </w:r>
      <w:r w:rsidR="00100952"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 xml:space="preserve">160 </w:t>
      </w:r>
      <w:proofErr w:type="spellStart"/>
      <w:r w:rsidRPr="00254B44">
        <w:rPr>
          <w:szCs w:val="22"/>
        </w:rPr>
        <w:t>MHz.</w:t>
      </w:r>
      <w:proofErr w:type="spellEnd"/>
    </w:p>
    <w:p w14:paraId="2B15EBF3" w14:textId="77777777" w:rsidR="00646450" w:rsidRPr="00254B44" w:rsidRDefault="00646450" w:rsidP="00646450">
      <w:pPr>
        <w:jc w:val="both"/>
        <w:rPr>
          <w:szCs w:val="22"/>
        </w:rPr>
      </w:pPr>
    </w:p>
    <w:p w14:paraId="28731BF6" w14:textId="77777777" w:rsidR="00B77E5C" w:rsidRPr="00254B44" w:rsidRDefault="00B77E5C" w:rsidP="0063373E">
      <w:pPr>
        <w:jc w:val="both"/>
        <w:rPr>
          <w:szCs w:val="22"/>
          <w:lang w:eastAsia="ja-JP"/>
        </w:rPr>
      </w:pPr>
    </w:p>
    <w:p w14:paraId="66F9B634" w14:textId="28F87AE9" w:rsidR="00F84B98" w:rsidRPr="00254B44" w:rsidRDefault="00F84B98" w:rsidP="0063373E">
      <w:pPr>
        <w:jc w:val="both"/>
        <w:rPr>
          <w:szCs w:val="22"/>
          <w:lang w:eastAsia="ja-JP"/>
        </w:rPr>
      </w:pPr>
    </w:p>
    <w:p w14:paraId="55A5D363" w14:textId="77777777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  <w:r>
        <w:rPr>
          <w:b/>
          <w:color w:val="000000"/>
          <w:w w:val="0"/>
          <w:szCs w:val="22"/>
          <w:u w:val="single"/>
          <w:lang w:eastAsia="ja-JP"/>
        </w:rPr>
        <w:br w:type="page"/>
      </w:r>
    </w:p>
    <w:p w14:paraId="0E9D858C" w14:textId="63EB5196" w:rsidR="00F84B98" w:rsidRPr="005D74B0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484E25">
        <w:rPr>
          <w:b/>
          <w:color w:val="000000"/>
          <w:w w:val="0"/>
          <w:szCs w:val="22"/>
          <w:u w:val="single"/>
          <w:lang w:eastAsia="ja-JP"/>
        </w:rPr>
        <w:t>5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68B0DAC5" w14:textId="2D7B2D6A" w:rsidR="003B1E4F" w:rsidRDefault="003B1E4F" w:rsidP="0063373E">
      <w:pPr>
        <w:jc w:val="both"/>
        <w:rPr>
          <w:sz w:val="21"/>
          <w:szCs w:val="21"/>
          <w:lang w:eastAsia="ja-JP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00B62D80" w14:textId="77777777" w:rsidTr="00254B44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A9FCE5" w14:textId="77777777" w:rsidR="00386E26" w:rsidRPr="00254B44" w:rsidRDefault="00386E26" w:rsidP="00F835DC">
            <w:pPr>
              <w:jc w:val="right"/>
              <w:rPr>
                <w:sz w:val="21"/>
                <w:szCs w:val="21"/>
              </w:rPr>
            </w:pPr>
            <w:r w:rsidRPr="00254B44">
              <w:rPr>
                <w:sz w:val="21"/>
                <w:szCs w:val="21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57BAED" w14:textId="77777777" w:rsidR="00386E26" w:rsidRPr="00254B44" w:rsidRDefault="00386E26" w:rsidP="00F835DC">
            <w:pPr>
              <w:rPr>
                <w:sz w:val="21"/>
                <w:szCs w:val="21"/>
              </w:rPr>
            </w:pPr>
            <w:r w:rsidRPr="00254B44">
              <w:rPr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AAF8DA" w14:textId="77777777" w:rsidR="00386E26" w:rsidRPr="00254B44" w:rsidRDefault="00386E26" w:rsidP="00F835DC">
            <w:pPr>
              <w:rPr>
                <w:sz w:val="21"/>
                <w:szCs w:val="21"/>
              </w:rPr>
            </w:pPr>
            <w:r w:rsidRPr="00254B44">
              <w:rPr>
                <w:sz w:val="21"/>
                <w:szCs w:val="21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19AC9F" w14:textId="77777777" w:rsidR="00386E26" w:rsidRPr="00254B44" w:rsidRDefault="00386E26" w:rsidP="00F835DC">
            <w:pPr>
              <w:rPr>
                <w:sz w:val="21"/>
                <w:szCs w:val="21"/>
              </w:rPr>
            </w:pPr>
            <w:r w:rsidRPr="00254B44">
              <w:rPr>
                <w:sz w:val="21"/>
                <w:szCs w:val="21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00190A" w14:textId="77777777" w:rsidR="00386E26" w:rsidRPr="00254B44" w:rsidRDefault="00386E26" w:rsidP="00F835DC">
            <w:pPr>
              <w:rPr>
                <w:rFonts w:eastAsia="ＭＳ Ｐゴシック"/>
                <w:sz w:val="21"/>
                <w:szCs w:val="21"/>
                <w:lang w:val="en-US" w:eastAsia="ja-JP"/>
              </w:rPr>
            </w:pPr>
            <w:r w:rsidRPr="00254B44">
              <w:rPr>
                <w:rFonts w:eastAsia="ＭＳ Ｐゴシック"/>
                <w:sz w:val="21"/>
                <w:szCs w:val="21"/>
                <w:lang w:val="en-US" w:eastAsia="ja-JP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CD8734" w14:textId="77777777" w:rsidR="00386E26" w:rsidRPr="00254B44" w:rsidRDefault="00386E26" w:rsidP="00F835DC">
            <w:pPr>
              <w:rPr>
                <w:rFonts w:eastAsia="ＭＳ Ｐゴシック"/>
                <w:sz w:val="21"/>
                <w:szCs w:val="21"/>
                <w:lang w:val="en-US" w:eastAsia="ja-JP"/>
              </w:rPr>
            </w:pPr>
            <w:r w:rsidRPr="00254B44">
              <w:rPr>
                <w:rFonts w:eastAsia="ＭＳ Ｐゴシック"/>
                <w:sz w:val="21"/>
                <w:szCs w:val="21"/>
                <w:lang w:val="en-US" w:eastAsia="ja-JP"/>
              </w:rPr>
              <w:t>Resolution</w:t>
            </w:r>
          </w:p>
        </w:tc>
      </w:tr>
      <w:tr w:rsidR="00D66937" w:rsidDel="00F93FE7" w14:paraId="3C658F55" w14:textId="77777777" w:rsidTr="004929C3">
        <w:trPr>
          <w:trHeight w:val="1530"/>
        </w:trPr>
        <w:tc>
          <w:tcPr>
            <w:tcW w:w="709" w:type="dxa"/>
            <w:shd w:val="clear" w:color="auto" w:fill="auto"/>
          </w:tcPr>
          <w:p w14:paraId="3DE0041C" w14:textId="77777777" w:rsidR="00D66937" w:rsidRPr="00772432" w:rsidDel="00F93FE7" w:rsidRDefault="00D66937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F11AC6">
              <w:t>3081</w:t>
            </w:r>
          </w:p>
        </w:tc>
        <w:tc>
          <w:tcPr>
            <w:tcW w:w="1276" w:type="dxa"/>
            <w:shd w:val="clear" w:color="auto" w:fill="auto"/>
          </w:tcPr>
          <w:p w14:paraId="560A822F" w14:textId="77777777" w:rsidR="00D66937" w:rsidRPr="00772432" w:rsidDel="00F93FE7" w:rsidRDefault="00D6693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F11AC6">
              <w:t>Dong Wei</w:t>
            </w:r>
          </w:p>
        </w:tc>
        <w:tc>
          <w:tcPr>
            <w:tcW w:w="1134" w:type="dxa"/>
            <w:shd w:val="clear" w:color="auto" w:fill="auto"/>
          </w:tcPr>
          <w:p w14:paraId="6C312102" w14:textId="77777777" w:rsidR="00D66937" w:rsidRPr="00772432" w:rsidDel="00F93FE7" w:rsidRDefault="00D6693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F11AC6">
              <w:t>136.16</w:t>
            </w:r>
          </w:p>
        </w:tc>
        <w:tc>
          <w:tcPr>
            <w:tcW w:w="2409" w:type="dxa"/>
            <w:shd w:val="clear" w:color="auto" w:fill="auto"/>
          </w:tcPr>
          <w:p w14:paraId="33CC450F" w14:textId="77777777" w:rsidR="00D66937" w:rsidRPr="00772432" w:rsidDel="00F93FE7" w:rsidRDefault="00D6693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F11AC6">
              <w:t>Add two more "</w:t>
            </w:r>
            <w:proofErr w:type="spellStart"/>
            <w:r w:rsidRPr="00F11AC6">
              <w:t>between"s</w:t>
            </w:r>
            <w:proofErr w:type="spellEnd"/>
            <w:r w:rsidRPr="00F11AC6">
              <w:t xml:space="preserve"> to the description of the parameter "</w:t>
            </w:r>
            <w:proofErr w:type="spellStart"/>
            <w:r w:rsidRPr="00F11AC6">
              <w:t>aSensingFrameExchangeExpiry</w:t>
            </w:r>
            <w:proofErr w:type="spellEnd"/>
            <w:r w:rsidRPr="00F11AC6">
              <w:t>"</w:t>
            </w:r>
          </w:p>
        </w:tc>
        <w:tc>
          <w:tcPr>
            <w:tcW w:w="2268" w:type="dxa"/>
            <w:shd w:val="clear" w:color="auto" w:fill="auto"/>
          </w:tcPr>
          <w:p w14:paraId="3E8229B0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The description should be revised as: "The maximum time interval between the</w:t>
            </w:r>
          </w:p>
          <w:p w14:paraId="22862B97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reception of a Sensing Measurement</w:t>
            </w:r>
          </w:p>
          <w:p w14:paraId="104313DA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Request frame and the transmission of</w:t>
            </w:r>
          </w:p>
          <w:p w14:paraId="785D5D6C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the corresponding Sensing Measurement</w:t>
            </w:r>
          </w:p>
          <w:p w14:paraId="30D5E029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Response frame, between the reception of a</w:t>
            </w:r>
          </w:p>
          <w:p w14:paraId="18055C57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Sensing Measurement Query frame and</w:t>
            </w:r>
          </w:p>
          <w:p w14:paraId="20B4281C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the transmission of the corresponding</w:t>
            </w:r>
          </w:p>
          <w:p w14:paraId="3A737DFC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Sensing Measurement Request frame, or</w:t>
            </w:r>
          </w:p>
          <w:p w14:paraId="7BB4EEC8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between the reception of a Sensing Measurement</w:t>
            </w:r>
          </w:p>
          <w:p w14:paraId="67395E5F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Query frame and the transmission of the</w:t>
            </w:r>
          </w:p>
          <w:p w14:paraId="1EE65C1F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corresponding Sensing Measurement</w:t>
            </w:r>
          </w:p>
          <w:p w14:paraId="0668E389" w14:textId="77777777" w:rsidR="00D66937" w:rsidRPr="00772432" w:rsidDel="00F93FE7" w:rsidRDefault="00D6693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Termination frame."</w:t>
            </w:r>
          </w:p>
        </w:tc>
        <w:tc>
          <w:tcPr>
            <w:tcW w:w="2044" w:type="dxa"/>
            <w:shd w:val="clear" w:color="auto" w:fill="auto"/>
          </w:tcPr>
          <w:p w14:paraId="00EDC32F" w14:textId="25A91001" w:rsidR="00D66937" w:rsidRPr="00254B44" w:rsidDel="00F93FE7" w:rsidRDefault="00A6305A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</w:tbl>
    <w:p w14:paraId="111703AE" w14:textId="443C6B74" w:rsidR="00D66937" w:rsidRDefault="00D66937" w:rsidP="0063373E">
      <w:pPr>
        <w:jc w:val="both"/>
        <w:rPr>
          <w:sz w:val="21"/>
          <w:szCs w:val="21"/>
        </w:rPr>
      </w:pPr>
    </w:p>
    <w:p w14:paraId="58F5D6FC" w14:textId="692F6BA5" w:rsidR="00D66937" w:rsidRDefault="00D66937" w:rsidP="0063373E">
      <w:pPr>
        <w:jc w:val="both"/>
        <w:rPr>
          <w:sz w:val="21"/>
          <w:szCs w:val="21"/>
        </w:rPr>
      </w:pPr>
    </w:p>
    <w:p w14:paraId="5B417A59" w14:textId="32A61629" w:rsidR="00C74F5B" w:rsidRDefault="00C74F5B" w:rsidP="0063373E">
      <w:pPr>
        <w:jc w:val="both"/>
        <w:rPr>
          <w:sz w:val="21"/>
          <w:szCs w:val="21"/>
        </w:rPr>
      </w:pPr>
    </w:p>
    <w:p w14:paraId="1B52B19A" w14:textId="4027FAA6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</w:p>
    <w:p w14:paraId="3F28F733" w14:textId="279BDAAD" w:rsidR="00BB17A9" w:rsidRPr="00CD2FFD" w:rsidRDefault="00BB17A9" w:rsidP="0063373E">
      <w:pPr>
        <w:jc w:val="both"/>
        <w:rPr>
          <w:sz w:val="24"/>
          <w:szCs w:val="24"/>
          <w:lang w:eastAsia="ja-JP"/>
        </w:rPr>
      </w:pPr>
      <w:r w:rsidRPr="00CD2FFD">
        <w:rPr>
          <w:b/>
          <w:bCs/>
          <w:sz w:val="24"/>
          <w:szCs w:val="24"/>
          <w:u w:val="single"/>
          <w:lang w:eastAsia="ja-JP"/>
        </w:rPr>
        <w:t>SP</w:t>
      </w:r>
    </w:p>
    <w:p w14:paraId="32F480B1" w14:textId="0E36FD07" w:rsidR="00BB17A9" w:rsidRPr="00CD2FFD" w:rsidRDefault="00BB17A9" w:rsidP="00BB17A9">
      <w:pPr>
        <w:rPr>
          <w:sz w:val="24"/>
          <w:szCs w:val="24"/>
          <w:lang w:val="en-US" w:eastAsia="zh-CN"/>
        </w:rPr>
      </w:pPr>
      <w:r w:rsidRPr="00CD2FFD">
        <w:rPr>
          <w:sz w:val="24"/>
          <w:szCs w:val="24"/>
        </w:rPr>
        <w:t>Do you agree to the resolution provided for following CIDs 3003, 3004, 3005, 3006, 3032, 3033, 3034, 3071, 3081, 3093, 3094</w:t>
      </w:r>
      <w:r w:rsidRPr="00CD2FFD">
        <w:rPr>
          <w:sz w:val="24"/>
          <w:szCs w:val="24"/>
          <w:lang w:eastAsia="ja-JP"/>
        </w:rPr>
        <w:t xml:space="preserve">, </w:t>
      </w:r>
      <w:r w:rsidRPr="00CD2FFD">
        <w:rPr>
          <w:sz w:val="24"/>
          <w:szCs w:val="24"/>
        </w:rPr>
        <w:t>3131, 3213, 3340</w:t>
      </w:r>
      <w:r w:rsidRPr="00CD2FFD">
        <w:rPr>
          <w:sz w:val="24"/>
          <w:szCs w:val="24"/>
          <w:lang w:eastAsia="ja-JP"/>
        </w:rPr>
        <w:t xml:space="preserve">, </w:t>
      </w:r>
      <w:r w:rsidRPr="00CD2FFD">
        <w:rPr>
          <w:sz w:val="24"/>
          <w:szCs w:val="24"/>
        </w:rPr>
        <w:t>3342</w:t>
      </w:r>
      <w:r w:rsidRPr="00CD2FFD">
        <w:rPr>
          <w:sz w:val="24"/>
          <w:szCs w:val="24"/>
          <w:lang w:eastAsia="ja-JP"/>
        </w:rPr>
        <w:t xml:space="preserve">, </w:t>
      </w:r>
      <w:r w:rsidRPr="00CD2FFD">
        <w:rPr>
          <w:sz w:val="24"/>
          <w:szCs w:val="24"/>
        </w:rPr>
        <w:t>3398</w:t>
      </w:r>
      <w:r w:rsidRPr="00CD2FFD">
        <w:rPr>
          <w:sz w:val="24"/>
          <w:szCs w:val="24"/>
          <w:lang w:eastAsia="ja-JP"/>
        </w:rPr>
        <w:t xml:space="preserve">, </w:t>
      </w:r>
      <w:r w:rsidRPr="00CD2FFD">
        <w:rPr>
          <w:sz w:val="24"/>
          <w:szCs w:val="24"/>
        </w:rPr>
        <w:t>3399, 3404</w:t>
      </w:r>
      <w:r w:rsidRPr="00CD2FFD">
        <w:rPr>
          <w:sz w:val="24"/>
          <w:szCs w:val="24"/>
          <w:lang w:eastAsia="ja-JP"/>
        </w:rPr>
        <w:t xml:space="preserve">, </w:t>
      </w:r>
      <w:r w:rsidRPr="00CD2FFD">
        <w:rPr>
          <w:sz w:val="24"/>
          <w:szCs w:val="24"/>
        </w:rPr>
        <w:t>3480</w:t>
      </w:r>
      <w:r w:rsidRPr="00CD2FFD">
        <w:rPr>
          <w:sz w:val="24"/>
          <w:szCs w:val="24"/>
          <w:lang w:eastAsia="ja-JP"/>
        </w:rPr>
        <w:t xml:space="preserve">, </w:t>
      </w:r>
      <w:r w:rsidRPr="00CD2FFD">
        <w:rPr>
          <w:sz w:val="24"/>
          <w:szCs w:val="24"/>
        </w:rPr>
        <w:t>3481</w:t>
      </w:r>
      <w:r w:rsidRPr="00CD2FFD">
        <w:rPr>
          <w:sz w:val="24"/>
          <w:szCs w:val="24"/>
          <w:lang w:eastAsia="ja-JP"/>
        </w:rPr>
        <w:t xml:space="preserve">, </w:t>
      </w:r>
      <w:r w:rsidRPr="00CD2FFD">
        <w:rPr>
          <w:sz w:val="24"/>
          <w:szCs w:val="24"/>
        </w:rPr>
        <w:t>3487 to be included in the latest 11bf Draft?</w:t>
      </w:r>
    </w:p>
    <w:p w14:paraId="0EB9FF5E" w14:textId="496873B6" w:rsidR="00C756BE" w:rsidRDefault="00C756BE" w:rsidP="0063373E">
      <w:pPr>
        <w:jc w:val="both"/>
        <w:rPr>
          <w:sz w:val="21"/>
          <w:szCs w:val="21"/>
        </w:rPr>
      </w:pPr>
    </w:p>
    <w:p w14:paraId="472BE2E9" w14:textId="0FA28A6F" w:rsidR="00C756BE" w:rsidRDefault="00C756BE" w:rsidP="0063373E">
      <w:pPr>
        <w:jc w:val="both"/>
        <w:rPr>
          <w:sz w:val="21"/>
          <w:szCs w:val="21"/>
        </w:rPr>
      </w:pPr>
    </w:p>
    <w:p w14:paraId="0B0D7F0C" w14:textId="77777777" w:rsidR="0063373E" w:rsidRPr="0016482F" w:rsidRDefault="0063373E" w:rsidP="0016482F">
      <w:pPr>
        <w:jc w:val="both"/>
        <w:rPr>
          <w:sz w:val="21"/>
          <w:szCs w:val="21"/>
        </w:rPr>
      </w:pPr>
    </w:p>
    <w:sectPr w:rsidR="0063373E" w:rsidRPr="0016482F" w:rsidSect="00AD75D2">
      <w:headerReference w:type="default" r:id="rId7"/>
      <w:footerReference w:type="default" r:id="rId8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1468" w14:textId="77777777" w:rsidR="008037D4" w:rsidRDefault="008037D4">
      <w:r>
        <w:separator/>
      </w:r>
    </w:p>
  </w:endnote>
  <w:endnote w:type="continuationSeparator" w:id="0">
    <w:p w14:paraId="4E811E5A" w14:textId="77777777" w:rsidR="008037D4" w:rsidRDefault="0080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C1D0" w14:textId="77777777" w:rsidR="008037D4" w:rsidRDefault="008037D4">
      <w:r>
        <w:separator/>
      </w:r>
    </w:p>
  </w:footnote>
  <w:footnote w:type="continuationSeparator" w:id="0">
    <w:p w14:paraId="578FC997" w14:textId="77777777" w:rsidR="008037D4" w:rsidRDefault="0080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557814C0" w:rsidR="0029020B" w:rsidRDefault="004B4122">
    <w:pPr>
      <w:pStyle w:val="a4"/>
      <w:tabs>
        <w:tab w:val="clear" w:pos="6480"/>
        <w:tab w:val="center" w:pos="4680"/>
        <w:tab w:val="right" w:pos="9360"/>
      </w:tabs>
    </w:pPr>
    <w:r>
      <w:t>Sep</w:t>
    </w:r>
    <w:r w:rsidR="00B424A7">
      <w:t>.</w:t>
    </w:r>
    <w:r w:rsidR="000306D2">
      <w:t xml:space="preserve"> 2023</w:t>
    </w:r>
    <w:r w:rsidR="0029020B">
      <w:tab/>
    </w:r>
    <w:r w:rsidR="0029020B">
      <w:tab/>
    </w:r>
    <w:r w:rsidR="00F05632">
      <w:fldChar w:fldCharType="begin"/>
    </w:r>
    <w:r w:rsidR="00F05632">
      <w:instrText xml:space="preserve"> TITLE  \* MERGEFORMAT </w:instrText>
    </w:r>
    <w:r w:rsidR="00F05632">
      <w:fldChar w:fldCharType="separate"/>
    </w:r>
    <w:r w:rsidR="00F05632">
      <w:t>doc.: IEEE 802.11-23/</w:t>
    </w:r>
    <w:r w:rsidR="00F05632">
      <w:rPr>
        <w:lang w:eastAsia="ja-JP"/>
      </w:rPr>
      <w:t>1474</w:t>
    </w:r>
    <w:r w:rsidR="00F05632">
      <w:t>r</w:t>
    </w:r>
    <w:r w:rsidR="00F05632">
      <w:fldChar w:fldCharType="end"/>
    </w:r>
    <w:r w:rsidR="00F05632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4E63"/>
    <w:rsid w:val="000256E4"/>
    <w:rsid w:val="00025EB4"/>
    <w:rsid w:val="000306D2"/>
    <w:rsid w:val="00051809"/>
    <w:rsid w:val="00053359"/>
    <w:rsid w:val="00061F3E"/>
    <w:rsid w:val="00083865"/>
    <w:rsid w:val="000A0554"/>
    <w:rsid w:val="000A5BB4"/>
    <w:rsid w:val="000B3E84"/>
    <w:rsid w:val="000F0EA6"/>
    <w:rsid w:val="00100952"/>
    <w:rsid w:val="0011529F"/>
    <w:rsid w:val="001174AC"/>
    <w:rsid w:val="001211D1"/>
    <w:rsid w:val="00130CD2"/>
    <w:rsid w:val="00132963"/>
    <w:rsid w:val="00140409"/>
    <w:rsid w:val="00140CDD"/>
    <w:rsid w:val="001526D5"/>
    <w:rsid w:val="00161149"/>
    <w:rsid w:val="0016482F"/>
    <w:rsid w:val="00175F2A"/>
    <w:rsid w:val="0018684D"/>
    <w:rsid w:val="001A2D1D"/>
    <w:rsid w:val="001A6419"/>
    <w:rsid w:val="001B2A85"/>
    <w:rsid w:val="001B2B72"/>
    <w:rsid w:val="001B52E2"/>
    <w:rsid w:val="001C0A9C"/>
    <w:rsid w:val="001C59B3"/>
    <w:rsid w:val="001D3DAB"/>
    <w:rsid w:val="001D5190"/>
    <w:rsid w:val="001D69DC"/>
    <w:rsid w:val="001D723B"/>
    <w:rsid w:val="001E1196"/>
    <w:rsid w:val="001E49DB"/>
    <w:rsid w:val="001E5CD0"/>
    <w:rsid w:val="001F6340"/>
    <w:rsid w:val="00204A82"/>
    <w:rsid w:val="00206C49"/>
    <w:rsid w:val="002125F1"/>
    <w:rsid w:val="00217C24"/>
    <w:rsid w:val="00227FB9"/>
    <w:rsid w:val="00230614"/>
    <w:rsid w:val="00235166"/>
    <w:rsid w:val="002460CE"/>
    <w:rsid w:val="00254B44"/>
    <w:rsid w:val="0029020B"/>
    <w:rsid w:val="00291746"/>
    <w:rsid w:val="002A37BE"/>
    <w:rsid w:val="002A5651"/>
    <w:rsid w:val="002B188B"/>
    <w:rsid w:val="002D44BE"/>
    <w:rsid w:val="002E6485"/>
    <w:rsid w:val="002F14A7"/>
    <w:rsid w:val="00323820"/>
    <w:rsid w:val="00354642"/>
    <w:rsid w:val="0037731D"/>
    <w:rsid w:val="00383990"/>
    <w:rsid w:val="00386E26"/>
    <w:rsid w:val="003A221A"/>
    <w:rsid w:val="003B1E4F"/>
    <w:rsid w:val="003B7BE9"/>
    <w:rsid w:val="003F32D8"/>
    <w:rsid w:val="00401DEA"/>
    <w:rsid w:val="00404E8B"/>
    <w:rsid w:val="00442037"/>
    <w:rsid w:val="004600F5"/>
    <w:rsid w:val="004827C9"/>
    <w:rsid w:val="00484E25"/>
    <w:rsid w:val="00487BE7"/>
    <w:rsid w:val="004929C3"/>
    <w:rsid w:val="004B064B"/>
    <w:rsid w:val="004B4122"/>
    <w:rsid w:val="004C5A35"/>
    <w:rsid w:val="004D720D"/>
    <w:rsid w:val="004F077C"/>
    <w:rsid w:val="004F103F"/>
    <w:rsid w:val="004F5B53"/>
    <w:rsid w:val="005112AD"/>
    <w:rsid w:val="005224A7"/>
    <w:rsid w:val="00524DB8"/>
    <w:rsid w:val="0052763C"/>
    <w:rsid w:val="00537DE4"/>
    <w:rsid w:val="00544795"/>
    <w:rsid w:val="00546D22"/>
    <w:rsid w:val="005968CF"/>
    <w:rsid w:val="005A33D7"/>
    <w:rsid w:val="005A40B3"/>
    <w:rsid w:val="005C6250"/>
    <w:rsid w:val="005E7BEA"/>
    <w:rsid w:val="005F111B"/>
    <w:rsid w:val="005F6245"/>
    <w:rsid w:val="00604230"/>
    <w:rsid w:val="0062440B"/>
    <w:rsid w:val="0063373E"/>
    <w:rsid w:val="00646450"/>
    <w:rsid w:val="0065012B"/>
    <w:rsid w:val="006525D0"/>
    <w:rsid w:val="006722AF"/>
    <w:rsid w:val="0067252A"/>
    <w:rsid w:val="0067252F"/>
    <w:rsid w:val="00685EB7"/>
    <w:rsid w:val="00695473"/>
    <w:rsid w:val="00697195"/>
    <w:rsid w:val="006A1363"/>
    <w:rsid w:val="006C0727"/>
    <w:rsid w:val="006E145F"/>
    <w:rsid w:val="007152E3"/>
    <w:rsid w:val="00744665"/>
    <w:rsid w:val="00764B13"/>
    <w:rsid w:val="00770572"/>
    <w:rsid w:val="00772432"/>
    <w:rsid w:val="00783763"/>
    <w:rsid w:val="007978B8"/>
    <w:rsid w:val="007A569A"/>
    <w:rsid w:val="007A5BCE"/>
    <w:rsid w:val="007C39BB"/>
    <w:rsid w:val="007E4322"/>
    <w:rsid w:val="008037D4"/>
    <w:rsid w:val="00824E1E"/>
    <w:rsid w:val="00850CC5"/>
    <w:rsid w:val="008831F9"/>
    <w:rsid w:val="008834FC"/>
    <w:rsid w:val="008949B5"/>
    <w:rsid w:val="008A2EFB"/>
    <w:rsid w:val="008E55B5"/>
    <w:rsid w:val="00903F5E"/>
    <w:rsid w:val="00923024"/>
    <w:rsid w:val="009259F2"/>
    <w:rsid w:val="00934FC4"/>
    <w:rsid w:val="009379BF"/>
    <w:rsid w:val="00942BB2"/>
    <w:rsid w:val="00950611"/>
    <w:rsid w:val="0097630D"/>
    <w:rsid w:val="009776C0"/>
    <w:rsid w:val="00983705"/>
    <w:rsid w:val="0098513C"/>
    <w:rsid w:val="00985B5F"/>
    <w:rsid w:val="00992212"/>
    <w:rsid w:val="00996519"/>
    <w:rsid w:val="009A7B1C"/>
    <w:rsid w:val="009C141E"/>
    <w:rsid w:val="009D2D32"/>
    <w:rsid w:val="009F2FBC"/>
    <w:rsid w:val="009F769C"/>
    <w:rsid w:val="00A03BD6"/>
    <w:rsid w:val="00A1337D"/>
    <w:rsid w:val="00A44015"/>
    <w:rsid w:val="00A5020A"/>
    <w:rsid w:val="00A62481"/>
    <w:rsid w:val="00A6305A"/>
    <w:rsid w:val="00A70791"/>
    <w:rsid w:val="00A946A3"/>
    <w:rsid w:val="00A97603"/>
    <w:rsid w:val="00AA427C"/>
    <w:rsid w:val="00AD7138"/>
    <w:rsid w:val="00AD75D2"/>
    <w:rsid w:val="00AE554F"/>
    <w:rsid w:val="00B10F40"/>
    <w:rsid w:val="00B13D91"/>
    <w:rsid w:val="00B2532C"/>
    <w:rsid w:val="00B279D4"/>
    <w:rsid w:val="00B424A7"/>
    <w:rsid w:val="00B470A2"/>
    <w:rsid w:val="00B567F7"/>
    <w:rsid w:val="00B713F5"/>
    <w:rsid w:val="00B73791"/>
    <w:rsid w:val="00B74F2B"/>
    <w:rsid w:val="00B77E5C"/>
    <w:rsid w:val="00B82A57"/>
    <w:rsid w:val="00B87D0E"/>
    <w:rsid w:val="00B97D8E"/>
    <w:rsid w:val="00BB17A9"/>
    <w:rsid w:val="00BC1DE5"/>
    <w:rsid w:val="00BC286C"/>
    <w:rsid w:val="00BC2971"/>
    <w:rsid w:val="00BC3168"/>
    <w:rsid w:val="00BE3FDB"/>
    <w:rsid w:val="00BE68C2"/>
    <w:rsid w:val="00BF4EA0"/>
    <w:rsid w:val="00C014CF"/>
    <w:rsid w:val="00C1396C"/>
    <w:rsid w:val="00C20E5F"/>
    <w:rsid w:val="00C21FEC"/>
    <w:rsid w:val="00C243B2"/>
    <w:rsid w:val="00C27923"/>
    <w:rsid w:val="00C36D7E"/>
    <w:rsid w:val="00C37C3B"/>
    <w:rsid w:val="00C51817"/>
    <w:rsid w:val="00C70EA8"/>
    <w:rsid w:val="00C74F5B"/>
    <w:rsid w:val="00C756BE"/>
    <w:rsid w:val="00C764F3"/>
    <w:rsid w:val="00C85731"/>
    <w:rsid w:val="00C86EAA"/>
    <w:rsid w:val="00CA09B2"/>
    <w:rsid w:val="00CA196F"/>
    <w:rsid w:val="00CA5276"/>
    <w:rsid w:val="00CD2FFD"/>
    <w:rsid w:val="00CF2BB5"/>
    <w:rsid w:val="00CF5421"/>
    <w:rsid w:val="00D077DC"/>
    <w:rsid w:val="00D12A10"/>
    <w:rsid w:val="00D44A8D"/>
    <w:rsid w:val="00D5579D"/>
    <w:rsid w:val="00D61139"/>
    <w:rsid w:val="00D66937"/>
    <w:rsid w:val="00D704AC"/>
    <w:rsid w:val="00D77350"/>
    <w:rsid w:val="00D93D01"/>
    <w:rsid w:val="00D94C89"/>
    <w:rsid w:val="00D9772C"/>
    <w:rsid w:val="00DA224B"/>
    <w:rsid w:val="00DA75A3"/>
    <w:rsid w:val="00DB1189"/>
    <w:rsid w:val="00DC140C"/>
    <w:rsid w:val="00DC5A7B"/>
    <w:rsid w:val="00DD7E7F"/>
    <w:rsid w:val="00DF7CA1"/>
    <w:rsid w:val="00E27E28"/>
    <w:rsid w:val="00E3267D"/>
    <w:rsid w:val="00E34C10"/>
    <w:rsid w:val="00E41C2A"/>
    <w:rsid w:val="00E42775"/>
    <w:rsid w:val="00E66CF8"/>
    <w:rsid w:val="00E93590"/>
    <w:rsid w:val="00E95755"/>
    <w:rsid w:val="00EC19CC"/>
    <w:rsid w:val="00EC43ED"/>
    <w:rsid w:val="00ED2A56"/>
    <w:rsid w:val="00EE2A76"/>
    <w:rsid w:val="00EF1289"/>
    <w:rsid w:val="00EF55B2"/>
    <w:rsid w:val="00F05632"/>
    <w:rsid w:val="00F0707C"/>
    <w:rsid w:val="00F156F4"/>
    <w:rsid w:val="00F53D74"/>
    <w:rsid w:val="00F73DDF"/>
    <w:rsid w:val="00F84B98"/>
    <w:rsid w:val="00F90A0F"/>
    <w:rsid w:val="00F93FE7"/>
    <w:rsid w:val="00FA4068"/>
    <w:rsid w:val="00FA4166"/>
    <w:rsid w:val="00FA484B"/>
    <w:rsid w:val="00FB1570"/>
    <w:rsid w:val="00FD07CE"/>
    <w:rsid w:val="00FD377D"/>
    <w:rsid w:val="00FD40DC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802.11-23/1474r0</vt:lpstr>
      <vt:lpstr>doc.: IEEE 802.11-yy/xxxxr0</vt:lpstr>
    </vt:vector>
  </TitlesOfParts>
  <Company>Some Company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802.11-23/1474r0</dc:title>
  <dc:subject>Submission</dc:subject>
  <dc:creator>shirakawa.atsushi@sharp.co.jp</dc:creator>
  <cp:keywords>Sep 2023</cp:keywords>
  <dc:description>Atsushi Shirakawa, Sharp Corporation</dc:description>
  <cp:lastModifiedBy>白川淳/主任研究員</cp:lastModifiedBy>
  <cp:revision>7</cp:revision>
  <cp:lastPrinted>1899-12-31T15:00:00Z</cp:lastPrinted>
  <dcterms:created xsi:type="dcterms:W3CDTF">2023-09-19T09:40:00Z</dcterms:created>
  <dcterms:modified xsi:type="dcterms:W3CDTF">2023-09-19T09:58:00Z</dcterms:modified>
</cp:coreProperties>
</file>