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FF3A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61"/>
        <w:gridCol w:w="2201"/>
      </w:tblGrid>
      <w:tr w:rsidR="00CA09B2" w14:paraId="395DE0C0" w14:textId="77777777" w:rsidTr="005566A3">
        <w:trPr>
          <w:trHeight w:val="485"/>
          <w:jc w:val="center"/>
        </w:trPr>
        <w:tc>
          <w:tcPr>
            <w:tcW w:w="9576" w:type="dxa"/>
            <w:gridSpan w:val="5"/>
            <w:vAlign w:val="center"/>
          </w:tcPr>
          <w:p w14:paraId="12C20C48" w14:textId="6EDAEE69" w:rsidR="00CA09B2" w:rsidRDefault="009A3DD4">
            <w:pPr>
              <w:pStyle w:val="T2"/>
            </w:pPr>
            <w:r w:rsidRPr="009A3DD4">
              <w:t>LB276 Comment Resolutions for Sensing NDPA Frame Format</w:t>
            </w:r>
          </w:p>
        </w:tc>
      </w:tr>
      <w:tr w:rsidR="00CA09B2" w14:paraId="203052AF" w14:textId="77777777" w:rsidTr="005566A3">
        <w:trPr>
          <w:trHeight w:val="359"/>
          <w:jc w:val="center"/>
        </w:trPr>
        <w:tc>
          <w:tcPr>
            <w:tcW w:w="9576" w:type="dxa"/>
            <w:gridSpan w:val="5"/>
            <w:vAlign w:val="center"/>
          </w:tcPr>
          <w:p w14:paraId="6184013C" w14:textId="4F2A78D2" w:rsidR="00CA09B2" w:rsidRDefault="00CA09B2">
            <w:pPr>
              <w:pStyle w:val="T2"/>
              <w:ind w:left="0"/>
              <w:rPr>
                <w:sz w:val="20"/>
              </w:rPr>
            </w:pPr>
            <w:r>
              <w:rPr>
                <w:sz w:val="20"/>
              </w:rPr>
              <w:t>Date:</w:t>
            </w:r>
            <w:r>
              <w:rPr>
                <w:b w:val="0"/>
                <w:sz w:val="20"/>
              </w:rPr>
              <w:t xml:space="preserve">  </w:t>
            </w:r>
            <w:r w:rsidR="009A3DD4">
              <w:rPr>
                <w:b w:val="0"/>
                <w:sz w:val="20"/>
              </w:rPr>
              <w:t>2023</w:t>
            </w:r>
            <w:r>
              <w:rPr>
                <w:b w:val="0"/>
                <w:sz w:val="20"/>
              </w:rPr>
              <w:t>-</w:t>
            </w:r>
            <w:r w:rsidR="009A3DD4">
              <w:rPr>
                <w:b w:val="0"/>
                <w:sz w:val="20"/>
              </w:rPr>
              <w:t>09</w:t>
            </w:r>
            <w:r>
              <w:rPr>
                <w:b w:val="0"/>
                <w:sz w:val="20"/>
              </w:rPr>
              <w:t>-</w:t>
            </w:r>
            <w:r w:rsidR="009A3DD4">
              <w:rPr>
                <w:b w:val="0"/>
                <w:sz w:val="20"/>
              </w:rPr>
              <w:t>05</w:t>
            </w:r>
          </w:p>
        </w:tc>
      </w:tr>
      <w:tr w:rsidR="00CA09B2" w14:paraId="63731602" w14:textId="77777777" w:rsidTr="005566A3">
        <w:trPr>
          <w:cantSplit/>
          <w:jc w:val="center"/>
        </w:trPr>
        <w:tc>
          <w:tcPr>
            <w:tcW w:w="9576" w:type="dxa"/>
            <w:gridSpan w:val="5"/>
            <w:vAlign w:val="center"/>
          </w:tcPr>
          <w:p w14:paraId="78E0CF06" w14:textId="77777777" w:rsidR="00CA09B2" w:rsidRDefault="00CA09B2">
            <w:pPr>
              <w:pStyle w:val="T2"/>
              <w:spacing w:after="0"/>
              <w:ind w:left="0" w:right="0"/>
              <w:jc w:val="left"/>
              <w:rPr>
                <w:sz w:val="20"/>
              </w:rPr>
            </w:pPr>
            <w:r>
              <w:rPr>
                <w:sz w:val="20"/>
              </w:rPr>
              <w:t>Author(s):</w:t>
            </w:r>
          </w:p>
        </w:tc>
      </w:tr>
      <w:tr w:rsidR="00CA09B2" w14:paraId="1CC0E1AE" w14:textId="77777777" w:rsidTr="005566A3">
        <w:trPr>
          <w:jc w:val="center"/>
        </w:trPr>
        <w:tc>
          <w:tcPr>
            <w:tcW w:w="1336" w:type="dxa"/>
            <w:vAlign w:val="center"/>
          </w:tcPr>
          <w:p w14:paraId="51203C3E" w14:textId="77777777" w:rsidR="00CA09B2" w:rsidRDefault="00CA09B2">
            <w:pPr>
              <w:pStyle w:val="T2"/>
              <w:spacing w:after="0"/>
              <w:ind w:left="0" w:right="0"/>
              <w:jc w:val="left"/>
              <w:rPr>
                <w:sz w:val="20"/>
              </w:rPr>
            </w:pPr>
            <w:r>
              <w:rPr>
                <w:sz w:val="20"/>
              </w:rPr>
              <w:t>Name</w:t>
            </w:r>
          </w:p>
        </w:tc>
        <w:tc>
          <w:tcPr>
            <w:tcW w:w="2064" w:type="dxa"/>
            <w:vAlign w:val="center"/>
          </w:tcPr>
          <w:p w14:paraId="5CB3F77B" w14:textId="77777777" w:rsidR="00CA09B2" w:rsidRDefault="0062440B">
            <w:pPr>
              <w:pStyle w:val="T2"/>
              <w:spacing w:after="0"/>
              <w:ind w:left="0" w:right="0"/>
              <w:jc w:val="left"/>
              <w:rPr>
                <w:sz w:val="20"/>
              </w:rPr>
            </w:pPr>
            <w:r>
              <w:rPr>
                <w:sz w:val="20"/>
              </w:rPr>
              <w:t>Affiliation</w:t>
            </w:r>
          </w:p>
        </w:tc>
        <w:tc>
          <w:tcPr>
            <w:tcW w:w="2814" w:type="dxa"/>
            <w:vAlign w:val="center"/>
          </w:tcPr>
          <w:p w14:paraId="7F2A052B" w14:textId="77777777" w:rsidR="00CA09B2" w:rsidRDefault="00CA09B2">
            <w:pPr>
              <w:pStyle w:val="T2"/>
              <w:spacing w:after="0"/>
              <w:ind w:left="0" w:right="0"/>
              <w:jc w:val="left"/>
              <w:rPr>
                <w:sz w:val="20"/>
              </w:rPr>
            </w:pPr>
            <w:r>
              <w:rPr>
                <w:sz w:val="20"/>
              </w:rPr>
              <w:t>Address</w:t>
            </w:r>
          </w:p>
        </w:tc>
        <w:tc>
          <w:tcPr>
            <w:tcW w:w="1161" w:type="dxa"/>
            <w:vAlign w:val="center"/>
          </w:tcPr>
          <w:p w14:paraId="0A153A83" w14:textId="77777777" w:rsidR="00CA09B2" w:rsidRDefault="00CA09B2">
            <w:pPr>
              <w:pStyle w:val="T2"/>
              <w:spacing w:after="0"/>
              <w:ind w:left="0" w:right="0"/>
              <w:jc w:val="left"/>
              <w:rPr>
                <w:sz w:val="20"/>
              </w:rPr>
            </w:pPr>
            <w:r>
              <w:rPr>
                <w:sz w:val="20"/>
              </w:rPr>
              <w:t>Phone</w:t>
            </w:r>
          </w:p>
        </w:tc>
        <w:tc>
          <w:tcPr>
            <w:tcW w:w="2201" w:type="dxa"/>
            <w:vAlign w:val="center"/>
          </w:tcPr>
          <w:p w14:paraId="6B7258AD" w14:textId="77777777" w:rsidR="00CA09B2" w:rsidRDefault="00CA09B2">
            <w:pPr>
              <w:pStyle w:val="T2"/>
              <w:spacing w:after="0"/>
              <w:ind w:left="0" w:right="0"/>
              <w:jc w:val="left"/>
              <w:rPr>
                <w:sz w:val="20"/>
              </w:rPr>
            </w:pPr>
            <w:r>
              <w:rPr>
                <w:sz w:val="20"/>
              </w:rPr>
              <w:t>email</w:t>
            </w:r>
          </w:p>
        </w:tc>
      </w:tr>
      <w:tr w:rsidR="006B7052" w14:paraId="7EABB573" w14:textId="77777777" w:rsidTr="005566A3">
        <w:trPr>
          <w:jc w:val="center"/>
        </w:trPr>
        <w:tc>
          <w:tcPr>
            <w:tcW w:w="1336" w:type="dxa"/>
            <w:vAlign w:val="center"/>
          </w:tcPr>
          <w:p w14:paraId="2E9E9B5E" w14:textId="2C92AD9F" w:rsidR="006B7052" w:rsidRDefault="006B7052" w:rsidP="006B7052">
            <w:pPr>
              <w:pStyle w:val="T2"/>
              <w:spacing w:after="0"/>
              <w:ind w:left="0" w:right="0"/>
              <w:rPr>
                <w:b w:val="0"/>
                <w:sz w:val="20"/>
              </w:rPr>
            </w:pPr>
            <w:r>
              <w:rPr>
                <w:b w:val="0"/>
                <w:sz w:val="20"/>
              </w:rPr>
              <w:t>Ali Raissinia</w:t>
            </w:r>
          </w:p>
        </w:tc>
        <w:tc>
          <w:tcPr>
            <w:tcW w:w="2064" w:type="dxa"/>
            <w:vAlign w:val="center"/>
          </w:tcPr>
          <w:p w14:paraId="15BB1FBF" w14:textId="3B9BC718" w:rsidR="006B7052" w:rsidRDefault="006B7052" w:rsidP="006B7052">
            <w:pPr>
              <w:pStyle w:val="T2"/>
              <w:spacing w:after="0"/>
              <w:ind w:left="0" w:right="0"/>
              <w:rPr>
                <w:b w:val="0"/>
                <w:sz w:val="20"/>
              </w:rPr>
            </w:pPr>
            <w:r>
              <w:rPr>
                <w:b w:val="0"/>
                <w:sz w:val="20"/>
              </w:rPr>
              <w:t>Qualcomm Inc.</w:t>
            </w:r>
          </w:p>
        </w:tc>
        <w:tc>
          <w:tcPr>
            <w:tcW w:w="2814" w:type="dxa"/>
            <w:vAlign w:val="center"/>
          </w:tcPr>
          <w:p w14:paraId="46BD9783" w14:textId="77777777" w:rsidR="006B7052" w:rsidRDefault="006B7052" w:rsidP="006B7052">
            <w:pPr>
              <w:pStyle w:val="T2"/>
              <w:spacing w:after="0"/>
              <w:ind w:left="0" w:right="0"/>
              <w:rPr>
                <w:b w:val="0"/>
                <w:sz w:val="20"/>
              </w:rPr>
            </w:pPr>
          </w:p>
        </w:tc>
        <w:tc>
          <w:tcPr>
            <w:tcW w:w="1161" w:type="dxa"/>
            <w:vAlign w:val="center"/>
          </w:tcPr>
          <w:p w14:paraId="726A4E1C" w14:textId="77777777" w:rsidR="006B7052" w:rsidRDefault="006B7052" w:rsidP="006B7052">
            <w:pPr>
              <w:pStyle w:val="T2"/>
              <w:spacing w:after="0"/>
              <w:ind w:left="0" w:right="0"/>
              <w:rPr>
                <w:b w:val="0"/>
                <w:sz w:val="20"/>
              </w:rPr>
            </w:pPr>
          </w:p>
        </w:tc>
        <w:tc>
          <w:tcPr>
            <w:tcW w:w="2201" w:type="dxa"/>
            <w:vAlign w:val="center"/>
          </w:tcPr>
          <w:p w14:paraId="734379FC" w14:textId="12AED9C2" w:rsidR="006B7052" w:rsidRDefault="006B7052" w:rsidP="006B7052">
            <w:pPr>
              <w:pStyle w:val="T2"/>
              <w:spacing w:after="0"/>
              <w:ind w:left="0" w:right="0"/>
              <w:rPr>
                <w:b w:val="0"/>
                <w:sz w:val="16"/>
              </w:rPr>
            </w:pPr>
            <w:r w:rsidRPr="00F1175C">
              <w:rPr>
                <w:b w:val="0"/>
                <w:sz w:val="16"/>
              </w:rPr>
              <w:t>alirezar@qti.qualcomm.com</w:t>
            </w:r>
          </w:p>
        </w:tc>
      </w:tr>
      <w:tr w:rsidR="006B7052" w14:paraId="33EA267A" w14:textId="77777777" w:rsidTr="005566A3">
        <w:trPr>
          <w:jc w:val="center"/>
        </w:trPr>
        <w:tc>
          <w:tcPr>
            <w:tcW w:w="1336" w:type="dxa"/>
            <w:vAlign w:val="center"/>
          </w:tcPr>
          <w:p w14:paraId="1C5CF531" w14:textId="7C73C7D7" w:rsidR="006B7052" w:rsidRDefault="006B7052" w:rsidP="006B7052">
            <w:pPr>
              <w:pStyle w:val="T2"/>
              <w:spacing w:after="0"/>
              <w:ind w:left="0" w:right="0"/>
              <w:rPr>
                <w:b w:val="0"/>
                <w:sz w:val="20"/>
              </w:rPr>
            </w:pPr>
            <w:r>
              <w:rPr>
                <w:b w:val="0"/>
                <w:sz w:val="20"/>
              </w:rPr>
              <w:t>Chen Cheng</w:t>
            </w:r>
          </w:p>
        </w:tc>
        <w:tc>
          <w:tcPr>
            <w:tcW w:w="2064" w:type="dxa"/>
            <w:vAlign w:val="center"/>
          </w:tcPr>
          <w:p w14:paraId="35370862" w14:textId="4C65129B" w:rsidR="006B7052" w:rsidRDefault="006B7052" w:rsidP="006B7052">
            <w:pPr>
              <w:pStyle w:val="T2"/>
              <w:spacing w:after="0"/>
              <w:ind w:left="0" w:right="0"/>
              <w:rPr>
                <w:b w:val="0"/>
                <w:sz w:val="20"/>
              </w:rPr>
            </w:pPr>
            <w:r>
              <w:rPr>
                <w:b w:val="0"/>
                <w:sz w:val="20"/>
              </w:rPr>
              <w:t>Intel</w:t>
            </w:r>
          </w:p>
        </w:tc>
        <w:tc>
          <w:tcPr>
            <w:tcW w:w="2814" w:type="dxa"/>
            <w:vAlign w:val="center"/>
          </w:tcPr>
          <w:p w14:paraId="1B495831" w14:textId="77777777" w:rsidR="006B7052" w:rsidRDefault="006B7052" w:rsidP="006B7052">
            <w:pPr>
              <w:pStyle w:val="T2"/>
              <w:spacing w:after="0"/>
              <w:ind w:left="0" w:right="0"/>
              <w:rPr>
                <w:b w:val="0"/>
                <w:sz w:val="20"/>
              </w:rPr>
            </w:pPr>
          </w:p>
        </w:tc>
        <w:tc>
          <w:tcPr>
            <w:tcW w:w="1161" w:type="dxa"/>
            <w:vAlign w:val="center"/>
          </w:tcPr>
          <w:p w14:paraId="67C9194E" w14:textId="77777777" w:rsidR="006B7052" w:rsidRDefault="006B7052" w:rsidP="006B7052">
            <w:pPr>
              <w:pStyle w:val="T2"/>
              <w:spacing w:after="0"/>
              <w:ind w:left="0" w:right="0"/>
              <w:rPr>
                <w:b w:val="0"/>
                <w:sz w:val="20"/>
              </w:rPr>
            </w:pPr>
          </w:p>
        </w:tc>
        <w:tc>
          <w:tcPr>
            <w:tcW w:w="2201" w:type="dxa"/>
            <w:vAlign w:val="center"/>
          </w:tcPr>
          <w:p w14:paraId="28DCA672" w14:textId="2655D69C" w:rsidR="006B7052" w:rsidRDefault="006B7052" w:rsidP="006B7052">
            <w:pPr>
              <w:pStyle w:val="T2"/>
              <w:spacing w:after="0"/>
              <w:ind w:left="0" w:right="0"/>
              <w:rPr>
                <w:b w:val="0"/>
                <w:sz w:val="16"/>
              </w:rPr>
            </w:pPr>
            <w:r w:rsidRPr="00F1175C">
              <w:rPr>
                <w:b w:val="0"/>
                <w:sz w:val="16"/>
              </w:rPr>
              <w:t>cheng.chen@intel.com</w:t>
            </w:r>
          </w:p>
        </w:tc>
      </w:tr>
    </w:tbl>
    <w:p w14:paraId="38D2DF9A" w14:textId="4963AD7B" w:rsidR="00CA09B2" w:rsidRDefault="000C01D1">
      <w:pPr>
        <w:pStyle w:val="T1"/>
        <w:spacing w:after="120"/>
        <w:rPr>
          <w:sz w:val="22"/>
        </w:rPr>
      </w:pPr>
      <w:r>
        <w:rPr>
          <w:noProof/>
        </w:rPr>
        <mc:AlternateContent>
          <mc:Choice Requires="wps">
            <w:drawing>
              <wp:anchor distT="0" distB="0" distL="114300" distR="114300" simplePos="0" relativeHeight="251657728" behindDoc="0" locked="0" layoutInCell="0" allowOverlap="1" wp14:anchorId="524B5A20" wp14:editId="1FD4FFBD">
                <wp:simplePos x="0" y="0"/>
                <wp:positionH relativeFrom="column">
                  <wp:posOffset>-62865</wp:posOffset>
                </wp:positionH>
                <wp:positionV relativeFrom="paragraph">
                  <wp:posOffset>205740</wp:posOffset>
                </wp:positionV>
                <wp:extent cx="5943600" cy="2844800"/>
                <wp:effectExtent l="3810" t="317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8E8B9" w14:textId="77777777" w:rsidR="0029020B" w:rsidRDefault="0029020B">
                            <w:pPr>
                              <w:pStyle w:val="T1"/>
                              <w:spacing w:after="120"/>
                            </w:pPr>
                            <w:r>
                              <w:t>Abstract</w:t>
                            </w:r>
                          </w:p>
                          <w:p w14:paraId="59D5035B" w14:textId="46617242" w:rsidR="0029020B" w:rsidRPr="00B14E32" w:rsidRDefault="009A3DD4" w:rsidP="00B14E32">
                            <w:pPr>
                              <w:autoSpaceDE w:val="0"/>
                              <w:autoSpaceDN w:val="0"/>
                              <w:adjustRightInd w:val="0"/>
                              <w:rPr>
                                <w:rFonts w:eastAsia="Arial,Bold"/>
                                <w:b/>
                                <w:bCs/>
                                <w:color w:val="000000"/>
                                <w:sz w:val="20"/>
                              </w:rPr>
                            </w:pPr>
                            <w:r w:rsidRPr="00620344">
                              <w:rPr>
                                <w:rFonts w:eastAsia="Arial,Bold"/>
                                <w:b/>
                                <w:bCs/>
                                <w:color w:val="000000"/>
                                <w:sz w:val="20"/>
                              </w:rPr>
                              <w:t xml:space="preserve">This document proposes comment resolutions for CIDs </w:t>
                            </w:r>
                            <w:r w:rsidR="00413013">
                              <w:rPr>
                                <w:rFonts w:eastAsia="Arial,Bold"/>
                                <w:b/>
                                <w:bCs/>
                                <w:color w:val="000000"/>
                                <w:sz w:val="20"/>
                              </w:rPr>
                              <w:t xml:space="preserve">3194, 3245, 3246, 3247, 3248, 3284, 3285, 3286, 3287, 3288, 3289, 3290, 3392, 3527, 3528, </w:t>
                            </w:r>
                            <w:r w:rsidR="0016740E">
                              <w:rPr>
                                <w:rFonts w:eastAsia="Arial,Bold"/>
                                <w:b/>
                                <w:bCs/>
                                <w:color w:val="000000"/>
                                <w:sz w:val="20"/>
                              </w:rPr>
                              <w:t xml:space="preserve">3393, </w:t>
                            </w:r>
                            <w:r w:rsidR="00413013">
                              <w:rPr>
                                <w:rFonts w:eastAsia="Arial,Bold"/>
                                <w:b/>
                                <w:bCs/>
                                <w:color w:val="000000"/>
                                <w:sz w:val="20"/>
                              </w:rPr>
                              <w:t>3529, 3531, 3414, and 3469</w:t>
                            </w:r>
                            <w:r w:rsidRPr="00620344">
                              <w:rPr>
                                <w:rFonts w:eastAsia="Arial,Bold"/>
                                <w:b/>
                                <w:bCs/>
                                <w:color w:val="000000"/>
                                <w:sz w:val="20"/>
                              </w:rPr>
                              <w:t xml:space="preserve"> for </w:t>
                            </w:r>
                            <w:r>
                              <w:rPr>
                                <w:rFonts w:eastAsia="Arial,Bold"/>
                                <w:b/>
                                <w:bCs/>
                                <w:color w:val="000000"/>
                                <w:sz w:val="20"/>
                              </w:rPr>
                              <w:t>NDPA Frame Format</w:t>
                            </w:r>
                            <w:r w:rsidRPr="00620344">
                              <w:rPr>
                                <w:rFonts w:eastAsia="Arial,Bold"/>
                                <w:b/>
                                <w:bCs/>
                                <w:color w:val="000000"/>
                                <w:sz w:val="20"/>
                              </w:rPr>
                              <w:t xml:space="preserve"> based on D2.0.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B5A2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D08E8B9" w14:textId="77777777" w:rsidR="0029020B" w:rsidRDefault="0029020B">
                      <w:pPr>
                        <w:pStyle w:val="T1"/>
                        <w:spacing w:after="120"/>
                      </w:pPr>
                      <w:r>
                        <w:t>Abstract</w:t>
                      </w:r>
                    </w:p>
                    <w:p w14:paraId="59D5035B" w14:textId="46617242" w:rsidR="0029020B" w:rsidRPr="00B14E32" w:rsidRDefault="009A3DD4" w:rsidP="00B14E32">
                      <w:pPr>
                        <w:autoSpaceDE w:val="0"/>
                        <w:autoSpaceDN w:val="0"/>
                        <w:adjustRightInd w:val="0"/>
                        <w:rPr>
                          <w:rFonts w:eastAsia="Arial,Bold"/>
                          <w:b/>
                          <w:bCs/>
                          <w:color w:val="000000"/>
                          <w:sz w:val="20"/>
                        </w:rPr>
                      </w:pPr>
                      <w:r w:rsidRPr="00620344">
                        <w:rPr>
                          <w:rFonts w:eastAsia="Arial,Bold"/>
                          <w:b/>
                          <w:bCs/>
                          <w:color w:val="000000"/>
                          <w:sz w:val="20"/>
                        </w:rPr>
                        <w:t xml:space="preserve">This document proposes comment resolutions for CIDs </w:t>
                      </w:r>
                      <w:r w:rsidR="00413013">
                        <w:rPr>
                          <w:rFonts w:eastAsia="Arial,Bold"/>
                          <w:b/>
                          <w:bCs/>
                          <w:color w:val="000000"/>
                          <w:sz w:val="20"/>
                        </w:rPr>
                        <w:t xml:space="preserve">3194, 3245, 3246, 3247, 3248, 3284, 3285, 3286, 3287, 3288, 3289, 3290, 3392, 3527, 3528, </w:t>
                      </w:r>
                      <w:r w:rsidR="0016740E">
                        <w:rPr>
                          <w:rFonts w:eastAsia="Arial,Bold"/>
                          <w:b/>
                          <w:bCs/>
                          <w:color w:val="000000"/>
                          <w:sz w:val="20"/>
                        </w:rPr>
                        <w:t xml:space="preserve">3393, </w:t>
                      </w:r>
                      <w:r w:rsidR="00413013">
                        <w:rPr>
                          <w:rFonts w:eastAsia="Arial,Bold"/>
                          <w:b/>
                          <w:bCs/>
                          <w:color w:val="000000"/>
                          <w:sz w:val="20"/>
                        </w:rPr>
                        <w:t>3529, 3531, 3414, and 3469</w:t>
                      </w:r>
                      <w:r w:rsidRPr="00620344">
                        <w:rPr>
                          <w:rFonts w:eastAsia="Arial,Bold"/>
                          <w:b/>
                          <w:bCs/>
                          <w:color w:val="000000"/>
                          <w:sz w:val="20"/>
                        </w:rPr>
                        <w:t xml:space="preserve"> for </w:t>
                      </w:r>
                      <w:r>
                        <w:rPr>
                          <w:rFonts w:eastAsia="Arial,Bold"/>
                          <w:b/>
                          <w:bCs/>
                          <w:color w:val="000000"/>
                          <w:sz w:val="20"/>
                        </w:rPr>
                        <w:t>NDPA Frame Format</w:t>
                      </w:r>
                      <w:r w:rsidRPr="00620344">
                        <w:rPr>
                          <w:rFonts w:eastAsia="Arial,Bold"/>
                          <w:b/>
                          <w:bCs/>
                          <w:color w:val="000000"/>
                          <w:sz w:val="20"/>
                        </w:rPr>
                        <w:t xml:space="preserve"> based on D2.0.</w:t>
                      </w:r>
                    </w:p>
                  </w:txbxContent>
                </v:textbox>
              </v:shape>
            </w:pict>
          </mc:Fallback>
        </mc:AlternateContent>
      </w:r>
    </w:p>
    <w:p w14:paraId="00BD6A8A" w14:textId="1F005AC9" w:rsidR="00A2021B" w:rsidRDefault="00CA09B2" w:rsidP="009A3DD4">
      <w:r>
        <w:br w:type="page"/>
      </w:r>
    </w:p>
    <w:tbl>
      <w:tblPr>
        <w:tblW w:w="10188" w:type="dxa"/>
        <w:tblLayout w:type="fixed"/>
        <w:tblLook w:val="04A0" w:firstRow="1" w:lastRow="0" w:firstColumn="1" w:lastColumn="0" w:noHBand="0" w:noVBand="1"/>
      </w:tblPr>
      <w:tblGrid>
        <w:gridCol w:w="661"/>
        <w:gridCol w:w="1044"/>
        <w:gridCol w:w="810"/>
        <w:gridCol w:w="1710"/>
        <w:gridCol w:w="2700"/>
        <w:gridCol w:w="3263"/>
      </w:tblGrid>
      <w:tr w:rsidR="00A2021B" w:rsidRPr="00C05E02" w14:paraId="6141BAAA" w14:textId="77777777" w:rsidTr="00674392">
        <w:trPr>
          <w:trHeight w:val="431"/>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3C3FEF3D" w14:textId="77777777" w:rsidR="00A2021B" w:rsidRPr="00C05E02" w:rsidRDefault="00A2021B">
            <w:pPr>
              <w:rPr>
                <w:b/>
                <w:bCs/>
              </w:rPr>
            </w:pPr>
            <w:r w:rsidRPr="00C05E02">
              <w:rPr>
                <w:b/>
                <w:bCs/>
              </w:rPr>
              <w:lastRenderedPageBreak/>
              <w:t>CID</w:t>
            </w:r>
          </w:p>
        </w:tc>
        <w:tc>
          <w:tcPr>
            <w:tcW w:w="1044" w:type="dxa"/>
            <w:tcBorders>
              <w:top w:val="single" w:sz="4" w:space="0" w:color="333300"/>
              <w:left w:val="nil"/>
              <w:bottom w:val="single" w:sz="4" w:space="0" w:color="333300"/>
              <w:right w:val="single" w:sz="4" w:space="0" w:color="333300"/>
            </w:tcBorders>
            <w:shd w:val="clear" w:color="auto" w:fill="auto"/>
            <w:hideMark/>
          </w:tcPr>
          <w:p w14:paraId="7BC9D6FD" w14:textId="77777777" w:rsidR="00A2021B" w:rsidRPr="00C05E02" w:rsidRDefault="00A2021B">
            <w:pPr>
              <w:rPr>
                <w:b/>
                <w:bCs/>
              </w:rPr>
            </w:pPr>
            <w:r w:rsidRPr="00C05E02">
              <w:rPr>
                <w:b/>
                <w:bCs/>
              </w:rPr>
              <w:t>Clause</w:t>
            </w:r>
          </w:p>
        </w:tc>
        <w:tc>
          <w:tcPr>
            <w:tcW w:w="810" w:type="dxa"/>
            <w:tcBorders>
              <w:top w:val="single" w:sz="4" w:space="0" w:color="333300"/>
              <w:left w:val="nil"/>
              <w:bottom w:val="single" w:sz="4" w:space="0" w:color="333300"/>
              <w:right w:val="single" w:sz="4" w:space="0" w:color="333300"/>
            </w:tcBorders>
            <w:shd w:val="clear" w:color="auto" w:fill="auto"/>
            <w:hideMark/>
          </w:tcPr>
          <w:p w14:paraId="0949B454" w14:textId="77777777" w:rsidR="00A2021B" w:rsidRPr="00C05E02" w:rsidRDefault="00A2021B">
            <w:pPr>
              <w:rPr>
                <w:b/>
                <w:bCs/>
              </w:rPr>
            </w:pPr>
            <w:r w:rsidRPr="00C05E02">
              <w:rPr>
                <w:b/>
                <w:bCs/>
              </w:rPr>
              <w:t>Page</w:t>
            </w:r>
          </w:p>
        </w:tc>
        <w:tc>
          <w:tcPr>
            <w:tcW w:w="1710" w:type="dxa"/>
            <w:tcBorders>
              <w:top w:val="single" w:sz="4" w:space="0" w:color="333300"/>
              <w:left w:val="nil"/>
              <w:bottom w:val="single" w:sz="4" w:space="0" w:color="333300"/>
              <w:right w:val="single" w:sz="4" w:space="0" w:color="333300"/>
            </w:tcBorders>
            <w:shd w:val="clear" w:color="auto" w:fill="auto"/>
            <w:hideMark/>
          </w:tcPr>
          <w:p w14:paraId="6B97BD46" w14:textId="77777777" w:rsidR="00A2021B" w:rsidRPr="00C05E02" w:rsidRDefault="00A2021B">
            <w:pPr>
              <w:rPr>
                <w:b/>
                <w:bCs/>
              </w:rPr>
            </w:pPr>
            <w:r w:rsidRPr="00C05E02">
              <w:rPr>
                <w:b/>
                <w:bCs/>
              </w:rPr>
              <w:t>Comment</w:t>
            </w:r>
          </w:p>
        </w:tc>
        <w:tc>
          <w:tcPr>
            <w:tcW w:w="2700" w:type="dxa"/>
            <w:tcBorders>
              <w:top w:val="single" w:sz="4" w:space="0" w:color="333300"/>
              <w:left w:val="nil"/>
              <w:bottom w:val="single" w:sz="4" w:space="0" w:color="333300"/>
              <w:right w:val="single" w:sz="4" w:space="0" w:color="333300"/>
            </w:tcBorders>
            <w:shd w:val="clear" w:color="auto" w:fill="auto"/>
            <w:hideMark/>
          </w:tcPr>
          <w:p w14:paraId="37452090" w14:textId="77777777" w:rsidR="00A2021B" w:rsidRPr="00C05E02" w:rsidRDefault="00A2021B">
            <w:pPr>
              <w:rPr>
                <w:b/>
                <w:bCs/>
              </w:rPr>
            </w:pPr>
            <w:r w:rsidRPr="00C05E02">
              <w:rPr>
                <w:b/>
                <w:bCs/>
              </w:rPr>
              <w:t>Proposed Change</w:t>
            </w:r>
          </w:p>
        </w:tc>
        <w:tc>
          <w:tcPr>
            <w:tcW w:w="3263" w:type="dxa"/>
            <w:tcBorders>
              <w:top w:val="single" w:sz="4" w:space="0" w:color="333300"/>
              <w:left w:val="nil"/>
              <w:bottom w:val="single" w:sz="4" w:space="0" w:color="333300"/>
              <w:right w:val="single" w:sz="4" w:space="0" w:color="333300"/>
            </w:tcBorders>
            <w:shd w:val="clear" w:color="auto" w:fill="auto"/>
            <w:hideMark/>
          </w:tcPr>
          <w:p w14:paraId="71FF1125" w14:textId="77777777" w:rsidR="00A2021B" w:rsidRPr="00C05E02" w:rsidRDefault="00A2021B">
            <w:pPr>
              <w:rPr>
                <w:b/>
                <w:bCs/>
              </w:rPr>
            </w:pPr>
            <w:r w:rsidRPr="00C05E02">
              <w:rPr>
                <w:b/>
                <w:bCs/>
              </w:rPr>
              <w:t>Resolution</w:t>
            </w:r>
          </w:p>
        </w:tc>
      </w:tr>
      <w:tr w:rsidR="00A2021B" w:rsidRPr="00C05E02" w14:paraId="0DA377C8" w14:textId="77777777" w:rsidTr="00A2021B">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31A30046" w14:textId="77777777" w:rsidR="00A2021B" w:rsidRPr="00C05E02" w:rsidRDefault="00A2021B">
            <w:pPr>
              <w:jc w:val="right"/>
              <w:rPr>
                <w:sz w:val="20"/>
              </w:rPr>
            </w:pPr>
            <w:r w:rsidRPr="00C05E02">
              <w:rPr>
                <w:sz w:val="20"/>
              </w:rPr>
              <w:t>3194</w:t>
            </w:r>
          </w:p>
        </w:tc>
        <w:tc>
          <w:tcPr>
            <w:tcW w:w="1044" w:type="dxa"/>
            <w:tcBorders>
              <w:top w:val="nil"/>
              <w:left w:val="nil"/>
              <w:bottom w:val="single" w:sz="4" w:space="0" w:color="333300"/>
              <w:right w:val="single" w:sz="4" w:space="0" w:color="333300"/>
            </w:tcBorders>
            <w:shd w:val="clear" w:color="auto" w:fill="auto"/>
            <w:hideMark/>
          </w:tcPr>
          <w:p w14:paraId="554E4236" w14:textId="77777777" w:rsidR="00A2021B" w:rsidRPr="00C05E02" w:rsidRDefault="00A2021B">
            <w:pPr>
              <w:rPr>
                <w:sz w:val="20"/>
              </w:rPr>
            </w:pPr>
            <w:r w:rsidRPr="00C05E02">
              <w:rPr>
                <w:sz w:val="20"/>
              </w:rPr>
              <w:t>9.3.1.19.1</w:t>
            </w:r>
          </w:p>
        </w:tc>
        <w:tc>
          <w:tcPr>
            <w:tcW w:w="810" w:type="dxa"/>
            <w:tcBorders>
              <w:top w:val="nil"/>
              <w:left w:val="nil"/>
              <w:bottom w:val="single" w:sz="4" w:space="0" w:color="333300"/>
              <w:right w:val="single" w:sz="4" w:space="0" w:color="333300"/>
            </w:tcBorders>
            <w:shd w:val="clear" w:color="auto" w:fill="auto"/>
            <w:hideMark/>
          </w:tcPr>
          <w:p w14:paraId="364F0814" w14:textId="77777777" w:rsidR="00A2021B" w:rsidRPr="00C05E02" w:rsidRDefault="00A2021B">
            <w:pPr>
              <w:rPr>
                <w:sz w:val="20"/>
              </w:rPr>
            </w:pPr>
            <w:r w:rsidRPr="00C05E02">
              <w:rPr>
                <w:sz w:val="20"/>
              </w:rPr>
              <w:t>31.13</w:t>
            </w:r>
          </w:p>
        </w:tc>
        <w:tc>
          <w:tcPr>
            <w:tcW w:w="1710" w:type="dxa"/>
            <w:tcBorders>
              <w:top w:val="nil"/>
              <w:left w:val="nil"/>
              <w:bottom w:val="single" w:sz="4" w:space="0" w:color="333300"/>
              <w:right w:val="single" w:sz="4" w:space="0" w:color="333300"/>
            </w:tcBorders>
            <w:shd w:val="clear" w:color="auto" w:fill="auto"/>
            <w:hideMark/>
          </w:tcPr>
          <w:p w14:paraId="10F5C7C7" w14:textId="77777777" w:rsidR="00A2021B" w:rsidRPr="00C05E02" w:rsidRDefault="00A2021B">
            <w:pPr>
              <w:rPr>
                <w:sz w:val="20"/>
              </w:rPr>
            </w:pPr>
            <w:r w:rsidRPr="00C05E02">
              <w:rPr>
                <w:sz w:val="20"/>
              </w:rPr>
              <w:t>If more than one STAs are in the NDPA sounding, it seems that sentence "the RA is set to the address of the sensing responder" is not true, please rephrase it.</w:t>
            </w:r>
          </w:p>
        </w:tc>
        <w:tc>
          <w:tcPr>
            <w:tcW w:w="2700" w:type="dxa"/>
            <w:tcBorders>
              <w:top w:val="nil"/>
              <w:left w:val="nil"/>
              <w:bottom w:val="single" w:sz="4" w:space="0" w:color="333300"/>
              <w:right w:val="single" w:sz="4" w:space="0" w:color="333300"/>
            </w:tcBorders>
            <w:shd w:val="clear" w:color="auto" w:fill="auto"/>
            <w:hideMark/>
          </w:tcPr>
          <w:p w14:paraId="3FFDCEF9" w14:textId="77777777" w:rsidR="00A2021B" w:rsidRPr="00C05E02" w:rsidRDefault="00A2021B">
            <w:pPr>
              <w:rPr>
                <w:sz w:val="20"/>
              </w:rPr>
            </w:pPr>
            <w:r w:rsidRPr="00C05E02">
              <w:rPr>
                <w:sz w:val="20"/>
              </w:rPr>
              <w:t>as in comment</w:t>
            </w:r>
          </w:p>
        </w:tc>
        <w:tc>
          <w:tcPr>
            <w:tcW w:w="3263" w:type="dxa"/>
            <w:tcBorders>
              <w:top w:val="nil"/>
              <w:left w:val="nil"/>
              <w:bottom w:val="single" w:sz="4" w:space="0" w:color="333300"/>
              <w:right w:val="single" w:sz="4" w:space="0" w:color="333300"/>
            </w:tcBorders>
            <w:shd w:val="clear" w:color="auto" w:fill="auto"/>
            <w:hideMark/>
          </w:tcPr>
          <w:p w14:paraId="06F9EA59" w14:textId="77777777" w:rsidR="00A2021B" w:rsidRPr="00C05E02" w:rsidRDefault="00A2021B">
            <w:pPr>
              <w:rPr>
                <w:sz w:val="20"/>
              </w:rPr>
            </w:pPr>
            <w:r w:rsidRPr="00C05E02">
              <w:rPr>
                <w:sz w:val="20"/>
              </w:rPr>
              <w:t> Reject</w:t>
            </w:r>
          </w:p>
          <w:p w14:paraId="3C9FFB2D" w14:textId="77777777" w:rsidR="00A2021B" w:rsidRPr="00C05E02" w:rsidRDefault="00A2021B">
            <w:pPr>
              <w:rPr>
                <w:sz w:val="20"/>
              </w:rPr>
            </w:pPr>
          </w:p>
          <w:p w14:paraId="6073B294" w14:textId="77777777" w:rsidR="00A2021B" w:rsidRPr="00C05E02" w:rsidRDefault="00A2021B">
            <w:pPr>
              <w:rPr>
                <w:sz w:val="20"/>
              </w:rPr>
            </w:pPr>
            <w:r w:rsidRPr="00C05E02">
              <w:rPr>
                <w:sz w:val="20"/>
              </w:rPr>
              <w:t xml:space="preserve">The spec already clarifies </w:t>
            </w:r>
            <w:proofErr w:type="spellStart"/>
            <w:r w:rsidRPr="00C05E02">
              <w:rPr>
                <w:sz w:val="20"/>
              </w:rPr>
              <w:t>behavior</w:t>
            </w:r>
            <w:proofErr w:type="spellEnd"/>
            <w:r w:rsidRPr="00C05E02">
              <w:rPr>
                <w:sz w:val="20"/>
              </w:rPr>
              <w:t xml:space="preserve"> as denoted in P31 L15-17, </w:t>
            </w:r>
          </w:p>
          <w:p w14:paraId="5196D1AC" w14:textId="77777777" w:rsidR="00A2021B" w:rsidRPr="00C05E02" w:rsidRDefault="00A2021B">
            <w:pPr>
              <w:rPr>
                <w:sz w:val="20"/>
              </w:rPr>
            </w:pPr>
          </w:p>
          <w:p w14:paraId="21F6A1A2" w14:textId="77777777" w:rsidR="00A2021B" w:rsidRPr="00C05E02" w:rsidRDefault="00A2021B">
            <w:pPr>
              <w:rPr>
                <w:sz w:val="20"/>
              </w:rPr>
            </w:pPr>
            <w:r w:rsidRPr="00C05E02">
              <w:rPr>
                <w:sz w:val="20"/>
              </w:rPr>
              <w:t>“</w:t>
            </w:r>
            <w:r w:rsidRPr="00C05E02">
              <w:rPr>
                <w:color w:val="000000"/>
                <w:sz w:val="20"/>
              </w:rPr>
              <w:t>If the NDP Announcement frame contains more than one STA Info field with a value less than 2008 in the AID11 subfield, then the RA field is set to the broadcast address.”</w:t>
            </w:r>
          </w:p>
        </w:tc>
      </w:tr>
      <w:tr w:rsidR="00A2021B" w:rsidRPr="00C05E02" w14:paraId="5122913D" w14:textId="77777777" w:rsidTr="00A2021B">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5336E269" w14:textId="77777777" w:rsidR="00A2021B" w:rsidRPr="00C05E02" w:rsidRDefault="00A2021B">
            <w:pPr>
              <w:jc w:val="right"/>
              <w:rPr>
                <w:sz w:val="20"/>
              </w:rPr>
            </w:pPr>
            <w:r w:rsidRPr="00C05E02">
              <w:rPr>
                <w:sz w:val="20"/>
              </w:rPr>
              <w:t>3245</w:t>
            </w:r>
          </w:p>
        </w:tc>
        <w:tc>
          <w:tcPr>
            <w:tcW w:w="1044" w:type="dxa"/>
            <w:tcBorders>
              <w:top w:val="nil"/>
              <w:left w:val="nil"/>
              <w:bottom w:val="single" w:sz="4" w:space="0" w:color="333300"/>
              <w:right w:val="single" w:sz="4" w:space="0" w:color="333300"/>
            </w:tcBorders>
            <w:shd w:val="clear" w:color="auto" w:fill="auto"/>
            <w:hideMark/>
          </w:tcPr>
          <w:p w14:paraId="7B98BD2B" w14:textId="77777777" w:rsidR="00A2021B" w:rsidRPr="00C05E02" w:rsidRDefault="00A2021B">
            <w:pPr>
              <w:rPr>
                <w:sz w:val="20"/>
              </w:rPr>
            </w:pPr>
            <w:r w:rsidRPr="00C05E02">
              <w:rPr>
                <w:sz w:val="20"/>
              </w:rPr>
              <w:t>9.3.1.19.5</w:t>
            </w:r>
          </w:p>
        </w:tc>
        <w:tc>
          <w:tcPr>
            <w:tcW w:w="810" w:type="dxa"/>
            <w:tcBorders>
              <w:top w:val="nil"/>
              <w:left w:val="nil"/>
              <w:bottom w:val="single" w:sz="4" w:space="0" w:color="333300"/>
              <w:right w:val="single" w:sz="4" w:space="0" w:color="333300"/>
            </w:tcBorders>
            <w:shd w:val="clear" w:color="auto" w:fill="auto"/>
            <w:hideMark/>
          </w:tcPr>
          <w:p w14:paraId="2D9E1175" w14:textId="77777777" w:rsidR="00A2021B" w:rsidRPr="00C05E02" w:rsidRDefault="00A2021B">
            <w:pPr>
              <w:rPr>
                <w:sz w:val="20"/>
              </w:rPr>
            </w:pPr>
            <w:r w:rsidRPr="00C05E02">
              <w:rPr>
                <w:sz w:val="20"/>
              </w:rPr>
              <w:t>32.27</w:t>
            </w:r>
          </w:p>
        </w:tc>
        <w:tc>
          <w:tcPr>
            <w:tcW w:w="1710" w:type="dxa"/>
            <w:tcBorders>
              <w:top w:val="nil"/>
              <w:left w:val="nil"/>
              <w:bottom w:val="single" w:sz="4" w:space="0" w:color="333300"/>
              <w:right w:val="single" w:sz="4" w:space="0" w:color="333300"/>
            </w:tcBorders>
            <w:shd w:val="clear" w:color="auto" w:fill="auto"/>
            <w:hideMark/>
          </w:tcPr>
          <w:p w14:paraId="241092A4" w14:textId="77777777" w:rsidR="00A2021B" w:rsidRPr="00C05E02" w:rsidRDefault="00A2021B">
            <w:pPr>
              <w:rPr>
                <w:sz w:val="20"/>
              </w:rPr>
            </w:pPr>
            <w:r w:rsidRPr="00C05E02">
              <w:rPr>
                <w:sz w:val="20"/>
              </w:rPr>
              <w:t xml:space="preserve">Sounds strange to say that something is defined in the figure. Not how things usually are </w:t>
            </w:r>
            <w:proofErr w:type="spellStart"/>
            <w:r w:rsidRPr="00C05E02">
              <w:rPr>
                <w:sz w:val="20"/>
              </w:rPr>
              <w:t>expresssed</w:t>
            </w:r>
            <w:proofErr w:type="spellEnd"/>
            <w:r w:rsidRPr="00C05E02">
              <w:rPr>
                <w:sz w:val="20"/>
              </w:rPr>
              <w:t xml:space="preserve"> in the spec.</w:t>
            </w:r>
          </w:p>
        </w:tc>
        <w:tc>
          <w:tcPr>
            <w:tcW w:w="2700" w:type="dxa"/>
            <w:tcBorders>
              <w:top w:val="nil"/>
              <w:left w:val="nil"/>
              <w:bottom w:val="single" w:sz="4" w:space="0" w:color="333300"/>
              <w:right w:val="single" w:sz="4" w:space="0" w:color="333300"/>
            </w:tcBorders>
            <w:shd w:val="clear" w:color="auto" w:fill="auto"/>
            <w:hideMark/>
          </w:tcPr>
          <w:p w14:paraId="2AD66EF4" w14:textId="77777777" w:rsidR="00A2021B" w:rsidRPr="00C05E02" w:rsidRDefault="00A2021B">
            <w:pPr>
              <w:rPr>
                <w:sz w:val="20"/>
              </w:rPr>
            </w:pPr>
            <w:r w:rsidRPr="00C05E02">
              <w:rPr>
                <w:sz w:val="20"/>
              </w:rPr>
              <w:t>Change "defined" to "shown"</w:t>
            </w:r>
          </w:p>
        </w:tc>
        <w:tc>
          <w:tcPr>
            <w:tcW w:w="3263" w:type="dxa"/>
            <w:tcBorders>
              <w:top w:val="nil"/>
              <w:left w:val="nil"/>
              <w:bottom w:val="single" w:sz="4" w:space="0" w:color="333300"/>
              <w:right w:val="single" w:sz="4" w:space="0" w:color="333300"/>
            </w:tcBorders>
            <w:shd w:val="clear" w:color="auto" w:fill="auto"/>
            <w:hideMark/>
          </w:tcPr>
          <w:p w14:paraId="1DF11062" w14:textId="77777777" w:rsidR="00A2021B" w:rsidRDefault="00A2021B">
            <w:pPr>
              <w:rPr>
                <w:sz w:val="20"/>
              </w:rPr>
            </w:pPr>
            <w:r w:rsidRPr="00C05E02">
              <w:rPr>
                <w:sz w:val="20"/>
              </w:rPr>
              <w:t> </w:t>
            </w:r>
            <w:r w:rsidR="008E16C2">
              <w:rPr>
                <w:sz w:val="20"/>
              </w:rPr>
              <w:t>Reject</w:t>
            </w:r>
            <w:r w:rsidR="0091663E">
              <w:rPr>
                <w:sz w:val="20"/>
              </w:rPr>
              <w:t>.</w:t>
            </w:r>
          </w:p>
          <w:p w14:paraId="6F20BF91" w14:textId="77777777" w:rsidR="0091663E" w:rsidRDefault="0091663E">
            <w:pPr>
              <w:rPr>
                <w:sz w:val="20"/>
              </w:rPr>
            </w:pPr>
          </w:p>
          <w:p w14:paraId="7F6B4427" w14:textId="5059FC81" w:rsidR="0091663E" w:rsidRPr="00C05E02" w:rsidRDefault="0091663E">
            <w:pPr>
              <w:rPr>
                <w:sz w:val="20"/>
              </w:rPr>
            </w:pPr>
            <w:r>
              <w:rPr>
                <w:sz w:val="20"/>
              </w:rPr>
              <w:t xml:space="preserve">The phrase ‘is defined in Figure” is used in the baseline in many occurrences. </w:t>
            </w:r>
          </w:p>
        </w:tc>
      </w:tr>
      <w:tr w:rsidR="00A2021B" w:rsidRPr="00C05E02" w14:paraId="607931F6" w14:textId="77777777" w:rsidTr="00A2021B">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362AC1C7" w14:textId="77777777" w:rsidR="00A2021B" w:rsidRPr="00C05E02" w:rsidRDefault="00A2021B">
            <w:pPr>
              <w:jc w:val="right"/>
              <w:rPr>
                <w:sz w:val="20"/>
              </w:rPr>
            </w:pPr>
            <w:r w:rsidRPr="00C05E02">
              <w:rPr>
                <w:sz w:val="20"/>
              </w:rPr>
              <w:t>3246</w:t>
            </w:r>
          </w:p>
        </w:tc>
        <w:tc>
          <w:tcPr>
            <w:tcW w:w="1044" w:type="dxa"/>
            <w:tcBorders>
              <w:top w:val="nil"/>
              <w:left w:val="nil"/>
              <w:bottom w:val="single" w:sz="4" w:space="0" w:color="333300"/>
              <w:right w:val="single" w:sz="4" w:space="0" w:color="333300"/>
            </w:tcBorders>
            <w:shd w:val="clear" w:color="auto" w:fill="auto"/>
            <w:hideMark/>
          </w:tcPr>
          <w:p w14:paraId="2158C95C" w14:textId="77777777" w:rsidR="00A2021B" w:rsidRPr="00C05E02" w:rsidRDefault="00A2021B">
            <w:pPr>
              <w:rPr>
                <w:sz w:val="20"/>
              </w:rPr>
            </w:pPr>
            <w:r w:rsidRPr="00C05E02">
              <w:rPr>
                <w:sz w:val="20"/>
              </w:rPr>
              <w:t>9.3.1.19.5</w:t>
            </w:r>
          </w:p>
        </w:tc>
        <w:tc>
          <w:tcPr>
            <w:tcW w:w="810" w:type="dxa"/>
            <w:tcBorders>
              <w:top w:val="nil"/>
              <w:left w:val="nil"/>
              <w:bottom w:val="single" w:sz="4" w:space="0" w:color="333300"/>
              <w:right w:val="single" w:sz="4" w:space="0" w:color="333300"/>
            </w:tcBorders>
            <w:shd w:val="clear" w:color="auto" w:fill="auto"/>
            <w:hideMark/>
          </w:tcPr>
          <w:p w14:paraId="66318EA2" w14:textId="77777777" w:rsidR="00A2021B" w:rsidRPr="00C05E02" w:rsidRDefault="00A2021B">
            <w:pPr>
              <w:rPr>
                <w:sz w:val="20"/>
              </w:rPr>
            </w:pPr>
            <w:r w:rsidRPr="00C05E02">
              <w:rPr>
                <w:sz w:val="20"/>
              </w:rPr>
              <w:t>32.49</w:t>
            </w:r>
          </w:p>
        </w:tc>
        <w:tc>
          <w:tcPr>
            <w:tcW w:w="1710" w:type="dxa"/>
            <w:tcBorders>
              <w:top w:val="nil"/>
              <w:left w:val="nil"/>
              <w:bottom w:val="single" w:sz="4" w:space="0" w:color="333300"/>
              <w:right w:val="single" w:sz="4" w:space="0" w:color="333300"/>
            </w:tcBorders>
            <w:shd w:val="clear" w:color="auto" w:fill="auto"/>
            <w:hideMark/>
          </w:tcPr>
          <w:p w14:paraId="1639D03E" w14:textId="77777777" w:rsidR="00A2021B" w:rsidRPr="00C05E02" w:rsidRDefault="00A2021B">
            <w:pPr>
              <w:rPr>
                <w:sz w:val="20"/>
              </w:rPr>
            </w:pPr>
            <w:r w:rsidRPr="00C05E02">
              <w:rPr>
                <w:sz w:val="20"/>
              </w:rPr>
              <w:t>Throughout the spec, TB sensing is explained first followed by Non-</w:t>
            </w:r>
            <w:proofErr w:type="spellStart"/>
            <w:r w:rsidRPr="00C05E02">
              <w:rPr>
                <w:sz w:val="20"/>
              </w:rPr>
              <w:t>Tbsensing</w:t>
            </w:r>
            <w:proofErr w:type="spellEnd"/>
          </w:p>
        </w:tc>
        <w:tc>
          <w:tcPr>
            <w:tcW w:w="2700" w:type="dxa"/>
            <w:tcBorders>
              <w:top w:val="nil"/>
              <w:left w:val="nil"/>
              <w:bottom w:val="single" w:sz="4" w:space="0" w:color="333300"/>
              <w:right w:val="single" w:sz="4" w:space="0" w:color="333300"/>
            </w:tcBorders>
            <w:shd w:val="clear" w:color="auto" w:fill="auto"/>
            <w:hideMark/>
          </w:tcPr>
          <w:p w14:paraId="42F6A9DF" w14:textId="77777777" w:rsidR="00A2021B" w:rsidRPr="00C05E02" w:rsidRDefault="00A2021B">
            <w:pPr>
              <w:rPr>
                <w:sz w:val="20"/>
              </w:rPr>
            </w:pPr>
            <w:r w:rsidRPr="00C05E02">
              <w:rPr>
                <w:sz w:val="20"/>
              </w:rPr>
              <w:t xml:space="preserve">Swap the order of paragraphs describing TB </w:t>
            </w:r>
            <w:proofErr w:type="spellStart"/>
            <w:r w:rsidRPr="00C05E02">
              <w:rPr>
                <w:sz w:val="20"/>
              </w:rPr>
              <w:t>sensng</w:t>
            </w:r>
            <w:proofErr w:type="spellEnd"/>
            <w:r w:rsidRPr="00C05E02">
              <w:rPr>
                <w:sz w:val="20"/>
              </w:rPr>
              <w:t xml:space="preserve"> measurement exchange and Non-TB sensing measurement exchange</w:t>
            </w:r>
          </w:p>
        </w:tc>
        <w:tc>
          <w:tcPr>
            <w:tcW w:w="3263" w:type="dxa"/>
            <w:tcBorders>
              <w:top w:val="nil"/>
              <w:left w:val="nil"/>
              <w:bottom w:val="single" w:sz="4" w:space="0" w:color="333300"/>
              <w:right w:val="single" w:sz="4" w:space="0" w:color="333300"/>
            </w:tcBorders>
            <w:shd w:val="clear" w:color="auto" w:fill="auto"/>
            <w:hideMark/>
          </w:tcPr>
          <w:p w14:paraId="0BDFB791" w14:textId="77777777" w:rsidR="00A2021B" w:rsidRPr="00C05E02" w:rsidRDefault="00A2021B">
            <w:pPr>
              <w:rPr>
                <w:sz w:val="20"/>
              </w:rPr>
            </w:pPr>
            <w:r w:rsidRPr="00C05E02">
              <w:rPr>
                <w:sz w:val="20"/>
              </w:rPr>
              <w:t> Revise</w:t>
            </w:r>
          </w:p>
          <w:p w14:paraId="2091EA34" w14:textId="77777777" w:rsidR="00A2021B" w:rsidRPr="00C05E02" w:rsidRDefault="00A2021B">
            <w:pPr>
              <w:rPr>
                <w:sz w:val="20"/>
              </w:rPr>
            </w:pPr>
          </w:p>
          <w:p w14:paraId="18D28D08" w14:textId="06CCBDDB" w:rsidR="00A2021B" w:rsidRPr="00C05E02" w:rsidRDefault="00674392">
            <w:pPr>
              <w:rPr>
                <w:sz w:val="20"/>
              </w:rPr>
            </w:pPr>
            <w:proofErr w:type="spellStart"/>
            <w:r>
              <w:rPr>
                <w:sz w:val="20"/>
              </w:rPr>
              <w:t>TGbf</w:t>
            </w:r>
            <w:proofErr w:type="spellEnd"/>
            <w:r>
              <w:rPr>
                <w:sz w:val="20"/>
              </w:rPr>
              <w:t xml:space="preserve"> </w:t>
            </w:r>
            <w:r w:rsidR="00A2021B" w:rsidRPr="00C05E02">
              <w:rPr>
                <w:sz w:val="20"/>
              </w:rPr>
              <w:t xml:space="preserve">editor: Move text in </w:t>
            </w:r>
            <w:r w:rsidR="007360A0">
              <w:rPr>
                <w:sz w:val="20"/>
              </w:rPr>
              <w:t xml:space="preserve">paragraph </w:t>
            </w:r>
            <w:r w:rsidR="00A2021B" w:rsidRPr="00C05E02">
              <w:rPr>
                <w:sz w:val="20"/>
              </w:rPr>
              <w:t>P32 L49-50 to P33 L19.</w:t>
            </w:r>
          </w:p>
        </w:tc>
      </w:tr>
      <w:tr w:rsidR="00A2021B" w:rsidRPr="00C05E02" w14:paraId="7AB1B03B" w14:textId="77777777" w:rsidTr="00A2021B">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247EA434" w14:textId="77777777" w:rsidR="00A2021B" w:rsidRPr="00C05E02" w:rsidRDefault="00A2021B">
            <w:pPr>
              <w:jc w:val="right"/>
              <w:rPr>
                <w:sz w:val="20"/>
              </w:rPr>
            </w:pPr>
            <w:r w:rsidRPr="00C05E02">
              <w:rPr>
                <w:sz w:val="20"/>
              </w:rPr>
              <w:t>3247</w:t>
            </w:r>
          </w:p>
        </w:tc>
        <w:tc>
          <w:tcPr>
            <w:tcW w:w="1044" w:type="dxa"/>
            <w:tcBorders>
              <w:top w:val="nil"/>
              <w:left w:val="nil"/>
              <w:bottom w:val="single" w:sz="4" w:space="0" w:color="333300"/>
              <w:right w:val="single" w:sz="4" w:space="0" w:color="333300"/>
            </w:tcBorders>
            <w:shd w:val="clear" w:color="auto" w:fill="auto"/>
            <w:hideMark/>
          </w:tcPr>
          <w:p w14:paraId="296E1FB5" w14:textId="77777777" w:rsidR="00A2021B" w:rsidRPr="00C05E02" w:rsidRDefault="00A2021B">
            <w:pPr>
              <w:rPr>
                <w:sz w:val="20"/>
              </w:rPr>
            </w:pPr>
            <w:r w:rsidRPr="00C05E02">
              <w:rPr>
                <w:sz w:val="20"/>
              </w:rPr>
              <w:t>9.3.1.19.5</w:t>
            </w:r>
          </w:p>
        </w:tc>
        <w:tc>
          <w:tcPr>
            <w:tcW w:w="810" w:type="dxa"/>
            <w:tcBorders>
              <w:top w:val="nil"/>
              <w:left w:val="nil"/>
              <w:bottom w:val="single" w:sz="4" w:space="0" w:color="333300"/>
              <w:right w:val="single" w:sz="4" w:space="0" w:color="333300"/>
            </w:tcBorders>
            <w:shd w:val="clear" w:color="auto" w:fill="auto"/>
            <w:hideMark/>
          </w:tcPr>
          <w:p w14:paraId="00C31ACE" w14:textId="77777777" w:rsidR="00A2021B" w:rsidRPr="00C05E02" w:rsidRDefault="00A2021B">
            <w:pPr>
              <w:rPr>
                <w:sz w:val="20"/>
              </w:rPr>
            </w:pPr>
            <w:r w:rsidRPr="00C05E02">
              <w:rPr>
                <w:sz w:val="20"/>
              </w:rPr>
              <w:t>33.40</w:t>
            </w:r>
          </w:p>
        </w:tc>
        <w:tc>
          <w:tcPr>
            <w:tcW w:w="1710" w:type="dxa"/>
            <w:tcBorders>
              <w:top w:val="nil"/>
              <w:left w:val="nil"/>
              <w:bottom w:val="single" w:sz="4" w:space="0" w:color="333300"/>
              <w:right w:val="single" w:sz="4" w:space="0" w:color="333300"/>
            </w:tcBorders>
            <w:shd w:val="clear" w:color="auto" w:fill="auto"/>
            <w:hideMark/>
          </w:tcPr>
          <w:p w14:paraId="57E7FF37" w14:textId="77777777" w:rsidR="00A2021B" w:rsidRPr="00C05E02" w:rsidRDefault="00A2021B">
            <w:pPr>
              <w:rPr>
                <w:sz w:val="20"/>
              </w:rPr>
            </w:pPr>
            <w:r w:rsidRPr="00C05E02">
              <w:rPr>
                <w:sz w:val="20"/>
              </w:rPr>
              <w:t>The sentence reads a bit strange, like the contents of the figure would change depending on whether AID is 2044 or not</w:t>
            </w:r>
          </w:p>
        </w:tc>
        <w:tc>
          <w:tcPr>
            <w:tcW w:w="2700" w:type="dxa"/>
            <w:tcBorders>
              <w:top w:val="nil"/>
              <w:left w:val="nil"/>
              <w:bottom w:val="single" w:sz="4" w:space="0" w:color="333300"/>
              <w:right w:val="single" w:sz="4" w:space="0" w:color="333300"/>
            </w:tcBorders>
            <w:shd w:val="clear" w:color="auto" w:fill="auto"/>
            <w:hideMark/>
          </w:tcPr>
          <w:p w14:paraId="7A36CB87" w14:textId="77777777" w:rsidR="00A2021B" w:rsidRPr="00C05E02" w:rsidRDefault="00A2021B">
            <w:pPr>
              <w:rPr>
                <w:sz w:val="20"/>
              </w:rPr>
            </w:pPr>
            <w:r w:rsidRPr="00C05E02">
              <w:rPr>
                <w:sz w:val="20"/>
              </w:rPr>
              <w:t>Rewrite the sentence to read "The format of the STA Info field is shown in Figure 9-75m for the case that the AID11 subfield is equal to 2044"</w:t>
            </w:r>
          </w:p>
        </w:tc>
        <w:tc>
          <w:tcPr>
            <w:tcW w:w="3263" w:type="dxa"/>
            <w:tcBorders>
              <w:top w:val="nil"/>
              <w:left w:val="nil"/>
              <w:bottom w:val="single" w:sz="4" w:space="0" w:color="333300"/>
              <w:right w:val="single" w:sz="4" w:space="0" w:color="333300"/>
            </w:tcBorders>
            <w:shd w:val="clear" w:color="auto" w:fill="auto"/>
            <w:hideMark/>
          </w:tcPr>
          <w:p w14:paraId="232AEA96" w14:textId="77777777" w:rsidR="00A2021B" w:rsidRPr="00C05E02" w:rsidRDefault="00A2021B">
            <w:pPr>
              <w:rPr>
                <w:sz w:val="20"/>
              </w:rPr>
            </w:pPr>
            <w:r w:rsidRPr="00C05E02">
              <w:rPr>
                <w:sz w:val="20"/>
              </w:rPr>
              <w:t xml:space="preserve"> Revise </w:t>
            </w:r>
          </w:p>
          <w:p w14:paraId="40764FBD" w14:textId="77777777" w:rsidR="00A2021B" w:rsidRPr="00C05E02" w:rsidRDefault="00A2021B">
            <w:pPr>
              <w:rPr>
                <w:sz w:val="20"/>
              </w:rPr>
            </w:pPr>
          </w:p>
          <w:p w14:paraId="15DDD7EF" w14:textId="79BE5FB9" w:rsidR="00A2021B" w:rsidRPr="00C05E02" w:rsidRDefault="00000000">
            <w:pPr>
              <w:rPr>
                <w:sz w:val="20"/>
              </w:rPr>
            </w:pPr>
            <w:hyperlink r:id="rId7" w:history="1">
              <w:r w:rsidR="00612E03" w:rsidRPr="00700DD4">
                <w:rPr>
                  <w:rStyle w:val="Hyperlink"/>
                </w:rPr>
                <w:t>https://mentor.ieee.org/802.11/dcn/21/11-23-1456-02-00bf-LB276-Comment-Resolutions-for-Sensing-NDPA-Frame-Format</w:t>
              </w:r>
            </w:hyperlink>
            <w:r w:rsidR="00A2021B" w:rsidRPr="00C05E02">
              <w:rPr>
                <w:rStyle w:val="Hyperlink"/>
                <w:color w:val="000000"/>
              </w:rPr>
              <w:t>.docx</w:t>
            </w:r>
            <w:r w:rsidR="00A2021B" w:rsidRPr="00C05E02">
              <w:rPr>
                <w:sz w:val="20"/>
              </w:rPr>
              <w:t xml:space="preserve"> </w:t>
            </w:r>
          </w:p>
        </w:tc>
      </w:tr>
      <w:tr w:rsidR="00A2021B" w:rsidRPr="00C05E02" w14:paraId="2C8858CB" w14:textId="77777777" w:rsidTr="00A2021B">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DC2C16C" w14:textId="77777777" w:rsidR="00A2021B" w:rsidRPr="00C05E02" w:rsidRDefault="00A2021B">
            <w:pPr>
              <w:jc w:val="right"/>
              <w:rPr>
                <w:sz w:val="20"/>
              </w:rPr>
            </w:pPr>
            <w:r w:rsidRPr="00C05E02">
              <w:rPr>
                <w:sz w:val="20"/>
              </w:rPr>
              <w:t>3248</w:t>
            </w:r>
          </w:p>
        </w:tc>
        <w:tc>
          <w:tcPr>
            <w:tcW w:w="1044" w:type="dxa"/>
            <w:tcBorders>
              <w:top w:val="nil"/>
              <w:left w:val="nil"/>
              <w:bottom w:val="single" w:sz="4" w:space="0" w:color="333300"/>
              <w:right w:val="single" w:sz="4" w:space="0" w:color="333300"/>
            </w:tcBorders>
            <w:shd w:val="clear" w:color="auto" w:fill="auto"/>
            <w:hideMark/>
          </w:tcPr>
          <w:p w14:paraId="0382F4A0" w14:textId="77777777" w:rsidR="00A2021B" w:rsidRPr="00C05E02" w:rsidRDefault="00A2021B">
            <w:pPr>
              <w:rPr>
                <w:sz w:val="20"/>
              </w:rPr>
            </w:pPr>
            <w:r w:rsidRPr="00C05E02">
              <w:rPr>
                <w:sz w:val="20"/>
              </w:rPr>
              <w:t>9.3.1.19.5</w:t>
            </w:r>
          </w:p>
        </w:tc>
        <w:tc>
          <w:tcPr>
            <w:tcW w:w="810" w:type="dxa"/>
            <w:tcBorders>
              <w:top w:val="nil"/>
              <w:left w:val="nil"/>
              <w:bottom w:val="single" w:sz="4" w:space="0" w:color="333300"/>
              <w:right w:val="single" w:sz="4" w:space="0" w:color="333300"/>
            </w:tcBorders>
            <w:shd w:val="clear" w:color="auto" w:fill="auto"/>
            <w:hideMark/>
          </w:tcPr>
          <w:p w14:paraId="51EF4DEE" w14:textId="77777777" w:rsidR="00A2021B" w:rsidRPr="00C05E02" w:rsidRDefault="00A2021B">
            <w:pPr>
              <w:rPr>
                <w:sz w:val="20"/>
              </w:rPr>
            </w:pPr>
            <w:r w:rsidRPr="00C05E02">
              <w:rPr>
                <w:sz w:val="20"/>
              </w:rPr>
              <w:t>34.27</w:t>
            </w:r>
          </w:p>
        </w:tc>
        <w:tc>
          <w:tcPr>
            <w:tcW w:w="1710" w:type="dxa"/>
            <w:tcBorders>
              <w:top w:val="nil"/>
              <w:left w:val="nil"/>
              <w:bottom w:val="single" w:sz="4" w:space="0" w:color="333300"/>
              <w:right w:val="single" w:sz="4" w:space="0" w:color="333300"/>
            </w:tcBorders>
            <w:shd w:val="clear" w:color="auto" w:fill="auto"/>
            <w:hideMark/>
          </w:tcPr>
          <w:p w14:paraId="648D78F4" w14:textId="77777777" w:rsidR="00A2021B" w:rsidRPr="00C05E02" w:rsidRDefault="00A2021B">
            <w:pPr>
              <w:rPr>
                <w:sz w:val="20"/>
              </w:rPr>
            </w:pPr>
            <w:r w:rsidRPr="00C05E02">
              <w:rPr>
                <w:sz w:val="20"/>
              </w:rPr>
              <w:t>Remove the word "combined"</w:t>
            </w:r>
          </w:p>
        </w:tc>
        <w:tc>
          <w:tcPr>
            <w:tcW w:w="2700" w:type="dxa"/>
            <w:tcBorders>
              <w:top w:val="nil"/>
              <w:left w:val="nil"/>
              <w:bottom w:val="single" w:sz="4" w:space="0" w:color="333300"/>
              <w:right w:val="single" w:sz="4" w:space="0" w:color="333300"/>
            </w:tcBorders>
            <w:shd w:val="clear" w:color="auto" w:fill="auto"/>
            <w:hideMark/>
          </w:tcPr>
          <w:p w14:paraId="22660C26" w14:textId="77777777" w:rsidR="00A2021B" w:rsidRPr="00C05E02" w:rsidRDefault="00A2021B">
            <w:pPr>
              <w:rPr>
                <w:sz w:val="20"/>
              </w:rPr>
            </w:pPr>
            <w:r w:rsidRPr="00C05E02">
              <w:rPr>
                <w:sz w:val="20"/>
              </w:rPr>
              <w:t>As in comment</w:t>
            </w:r>
          </w:p>
        </w:tc>
        <w:tc>
          <w:tcPr>
            <w:tcW w:w="3263" w:type="dxa"/>
            <w:tcBorders>
              <w:top w:val="nil"/>
              <w:left w:val="nil"/>
              <w:bottom w:val="single" w:sz="4" w:space="0" w:color="333300"/>
              <w:right w:val="single" w:sz="4" w:space="0" w:color="333300"/>
            </w:tcBorders>
            <w:shd w:val="clear" w:color="auto" w:fill="auto"/>
            <w:hideMark/>
          </w:tcPr>
          <w:p w14:paraId="3FECC9AC" w14:textId="729D3F96" w:rsidR="00A2021B" w:rsidRPr="00C05E02" w:rsidRDefault="00A2021B">
            <w:pPr>
              <w:rPr>
                <w:sz w:val="20"/>
              </w:rPr>
            </w:pPr>
            <w:r w:rsidRPr="00C05E02">
              <w:rPr>
                <w:sz w:val="20"/>
              </w:rPr>
              <w:t> </w:t>
            </w:r>
            <w:r w:rsidR="004722D4">
              <w:rPr>
                <w:sz w:val="20"/>
              </w:rPr>
              <w:t>Accept</w:t>
            </w:r>
          </w:p>
          <w:p w14:paraId="2CF0CA29" w14:textId="159D5C33" w:rsidR="00A2021B" w:rsidRPr="00C05E02" w:rsidRDefault="00A2021B">
            <w:pPr>
              <w:rPr>
                <w:sz w:val="20"/>
              </w:rPr>
            </w:pPr>
          </w:p>
        </w:tc>
      </w:tr>
      <w:tr w:rsidR="00A2021B" w:rsidRPr="00C05E02" w14:paraId="3DADE740" w14:textId="77777777" w:rsidTr="00A2021B">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5C32BAE" w14:textId="77777777" w:rsidR="00A2021B" w:rsidRPr="00C05E02" w:rsidRDefault="00A2021B">
            <w:pPr>
              <w:jc w:val="right"/>
              <w:rPr>
                <w:sz w:val="20"/>
              </w:rPr>
            </w:pPr>
            <w:r w:rsidRPr="00C05E02">
              <w:rPr>
                <w:sz w:val="20"/>
              </w:rPr>
              <w:t>3284</w:t>
            </w:r>
          </w:p>
        </w:tc>
        <w:tc>
          <w:tcPr>
            <w:tcW w:w="1044" w:type="dxa"/>
            <w:tcBorders>
              <w:top w:val="nil"/>
              <w:left w:val="nil"/>
              <w:bottom w:val="single" w:sz="4" w:space="0" w:color="333300"/>
              <w:right w:val="single" w:sz="4" w:space="0" w:color="333300"/>
            </w:tcBorders>
            <w:shd w:val="clear" w:color="auto" w:fill="auto"/>
            <w:hideMark/>
          </w:tcPr>
          <w:p w14:paraId="2B6F7413" w14:textId="77777777" w:rsidR="00A2021B" w:rsidRPr="00C05E02" w:rsidRDefault="00A2021B">
            <w:pPr>
              <w:rPr>
                <w:sz w:val="20"/>
              </w:rPr>
            </w:pPr>
            <w:r w:rsidRPr="00C05E02">
              <w:rPr>
                <w:sz w:val="20"/>
              </w:rPr>
              <w:t>9.3.1.19.5</w:t>
            </w:r>
          </w:p>
        </w:tc>
        <w:tc>
          <w:tcPr>
            <w:tcW w:w="810" w:type="dxa"/>
            <w:tcBorders>
              <w:top w:val="nil"/>
              <w:left w:val="nil"/>
              <w:bottom w:val="single" w:sz="4" w:space="0" w:color="333300"/>
              <w:right w:val="single" w:sz="4" w:space="0" w:color="333300"/>
            </w:tcBorders>
            <w:shd w:val="clear" w:color="auto" w:fill="auto"/>
            <w:hideMark/>
          </w:tcPr>
          <w:p w14:paraId="6DC4C9C7" w14:textId="77777777" w:rsidR="00A2021B" w:rsidRPr="00C05E02" w:rsidRDefault="00A2021B">
            <w:pPr>
              <w:rPr>
                <w:sz w:val="20"/>
              </w:rPr>
            </w:pPr>
            <w:r w:rsidRPr="00C05E02">
              <w:rPr>
                <w:sz w:val="20"/>
              </w:rPr>
              <w:t>32.11</w:t>
            </w:r>
          </w:p>
        </w:tc>
        <w:tc>
          <w:tcPr>
            <w:tcW w:w="1710" w:type="dxa"/>
            <w:tcBorders>
              <w:top w:val="nil"/>
              <w:left w:val="nil"/>
              <w:bottom w:val="single" w:sz="4" w:space="0" w:color="333300"/>
              <w:right w:val="single" w:sz="4" w:space="0" w:color="333300"/>
            </w:tcBorders>
            <w:shd w:val="clear" w:color="auto" w:fill="auto"/>
            <w:hideMark/>
          </w:tcPr>
          <w:p w14:paraId="317DBF12" w14:textId="77777777" w:rsidR="00A2021B" w:rsidRPr="00C05E02" w:rsidRDefault="00A2021B">
            <w:pPr>
              <w:rPr>
                <w:sz w:val="20"/>
              </w:rPr>
            </w:pPr>
            <w:r w:rsidRPr="00C05E02">
              <w:rPr>
                <w:sz w:val="20"/>
              </w:rPr>
              <w:t>9.3.1.19.2 (VHT NDP Announcement frame format) does not explicitly specify how to set the FC subtype, the sentence here makes bad reference to VHT.</w:t>
            </w:r>
          </w:p>
        </w:tc>
        <w:tc>
          <w:tcPr>
            <w:tcW w:w="2700" w:type="dxa"/>
            <w:tcBorders>
              <w:top w:val="nil"/>
              <w:left w:val="nil"/>
              <w:bottom w:val="single" w:sz="4" w:space="0" w:color="333300"/>
              <w:right w:val="single" w:sz="4" w:space="0" w:color="333300"/>
            </w:tcBorders>
            <w:shd w:val="clear" w:color="auto" w:fill="auto"/>
            <w:hideMark/>
          </w:tcPr>
          <w:p w14:paraId="4017DF0B" w14:textId="77777777" w:rsidR="00A2021B" w:rsidRPr="00C05E02" w:rsidRDefault="00A2021B">
            <w:pPr>
              <w:rPr>
                <w:sz w:val="20"/>
              </w:rPr>
            </w:pPr>
            <w:r w:rsidRPr="00C05E02">
              <w:rPr>
                <w:sz w:val="20"/>
              </w:rPr>
              <w:t>Remove this sentence, and change the corresponding row in 'Table 9-1--Valid type and subtype combinations' to: VHT/HE/Ranging/Sensing/EHT NDP Announcement</w:t>
            </w:r>
          </w:p>
        </w:tc>
        <w:tc>
          <w:tcPr>
            <w:tcW w:w="3263" w:type="dxa"/>
            <w:tcBorders>
              <w:top w:val="nil"/>
              <w:left w:val="nil"/>
              <w:bottom w:val="single" w:sz="4" w:space="0" w:color="333300"/>
              <w:right w:val="single" w:sz="4" w:space="0" w:color="333300"/>
            </w:tcBorders>
            <w:shd w:val="clear" w:color="auto" w:fill="auto"/>
            <w:hideMark/>
          </w:tcPr>
          <w:p w14:paraId="6ED48A1A" w14:textId="77777777" w:rsidR="00A2021B" w:rsidRPr="00C05E02" w:rsidRDefault="00A2021B">
            <w:pPr>
              <w:rPr>
                <w:sz w:val="20"/>
              </w:rPr>
            </w:pPr>
            <w:r w:rsidRPr="00C05E02">
              <w:rPr>
                <w:sz w:val="20"/>
              </w:rPr>
              <w:t> Revise</w:t>
            </w:r>
          </w:p>
          <w:p w14:paraId="6AC2F0DE" w14:textId="77777777" w:rsidR="00A2021B" w:rsidRPr="00C05E02" w:rsidRDefault="00A2021B">
            <w:pPr>
              <w:rPr>
                <w:sz w:val="20"/>
              </w:rPr>
            </w:pPr>
          </w:p>
          <w:p w14:paraId="539F645E" w14:textId="55B3FCA0" w:rsidR="00A2021B" w:rsidRPr="00C05E02" w:rsidRDefault="00674392">
            <w:pPr>
              <w:rPr>
                <w:sz w:val="20"/>
              </w:rPr>
            </w:pPr>
            <w:proofErr w:type="spellStart"/>
            <w:r>
              <w:rPr>
                <w:sz w:val="20"/>
              </w:rPr>
              <w:t>TGbf</w:t>
            </w:r>
            <w:proofErr w:type="spellEnd"/>
            <w:r w:rsidR="00A2021B" w:rsidRPr="00C05E02">
              <w:rPr>
                <w:sz w:val="20"/>
              </w:rPr>
              <w:t xml:space="preserve"> editor: Delete the text in P32 L11-12</w:t>
            </w:r>
          </w:p>
          <w:p w14:paraId="24DA3D52" w14:textId="77777777" w:rsidR="00A2021B" w:rsidRPr="00C05E02" w:rsidRDefault="00A2021B">
            <w:pPr>
              <w:rPr>
                <w:sz w:val="20"/>
              </w:rPr>
            </w:pPr>
          </w:p>
          <w:p w14:paraId="636F3E17" w14:textId="5236CC9B" w:rsidR="00A2021B" w:rsidRPr="00C05E02" w:rsidRDefault="00A2021B">
            <w:pPr>
              <w:rPr>
                <w:sz w:val="20"/>
              </w:rPr>
            </w:pPr>
            <w:r w:rsidRPr="00C05E02">
              <w:rPr>
                <w:sz w:val="20"/>
              </w:rPr>
              <w:t>Table 9-1 has been modified by 802.11be D4.0 with removal of VHT/HE reference hence</w:t>
            </w:r>
            <w:r w:rsidR="00012B2A">
              <w:rPr>
                <w:sz w:val="20"/>
              </w:rPr>
              <w:t xml:space="preserve"> it</w:t>
            </w:r>
            <w:r w:rsidRPr="00C05E02">
              <w:rPr>
                <w:sz w:val="20"/>
              </w:rPr>
              <w:t xml:space="preserve"> is only</w:t>
            </w:r>
            <w:r w:rsidR="00012B2A">
              <w:rPr>
                <w:sz w:val="20"/>
              </w:rPr>
              <w:t xml:space="preserve"> now</w:t>
            </w:r>
            <w:r w:rsidRPr="00C05E02">
              <w:rPr>
                <w:sz w:val="20"/>
              </w:rPr>
              <w:t xml:space="preserve"> “NDP Announcement” so we don’t need to add Ranging/Sensing anymore as it</w:t>
            </w:r>
            <w:r w:rsidR="00B85D9B">
              <w:rPr>
                <w:sz w:val="20"/>
              </w:rPr>
              <w:t>’s</w:t>
            </w:r>
            <w:r w:rsidRPr="00C05E02">
              <w:rPr>
                <w:sz w:val="20"/>
              </w:rPr>
              <w:t xml:space="preserve"> generic. </w:t>
            </w:r>
          </w:p>
        </w:tc>
      </w:tr>
      <w:tr w:rsidR="00A2021B" w:rsidRPr="00C05E02" w14:paraId="0F90F91B" w14:textId="77777777" w:rsidTr="00A2021B">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538D557F" w14:textId="77777777" w:rsidR="00A2021B" w:rsidRPr="00C05E02" w:rsidRDefault="00A2021B">
            <w:pPr>
              <w:jc w:val="right"/>
              <w:rPr>
                <w:sz w:val="20"/>
              </w:rPr>
            </w:pPr>
            <w:r w:rsidRPr="00C05E02">
              <w:rPr>
                <w:sz w:val="20"/>
              </w:rPr>
              <w:t>3285</w:t>
            </w:r>
          </w:p>
        </w:tc>
        <w:tc>
          <w:tcPr>
            <w:tcW w:w="1044" w:type="dxa"/>
            <w:tcBorders>
              <w:top w:val="nil"/>
              <w:left w:val="nil"/>
              <w:bottom w:val="single" w:sz="4" w:space="0" w:color="333300"/>
              <w:right w:val="single" w:sz="4" w:space="0" w:color="333300"/>
            </w:tcBorders>
            <w:shd w:val="clear" w:color="auto" w:fill="auto"/>
            <w:hideMark/>
          </w:tcPr>
          <w:p w14:paraId="7015BB68" w14:textId="77777777" w:rsidR="00A2021B" w:rsidRPr="00C05E02" w:rsidRDefault="00A2021B">
            <w:pPr>
              <w:rPr>
                <w:sz w:val="20"/>
              </w:rPr>
            </w:pPr>
            <w:r w:rsidRPr="00C05E02">
              <w:rPr>
                <w:sz w:val="20"/>
              </w:rPr>
              <w:t>9.3.1.19.5</w:t>
            </w:r>
          </w:p>
        </w:tc>
        <w:tc>
          <w:tcPr>
            <w:tcW w:w="810" w:type="dxa"/>
            <w:tcBorders>
              <w:top w:val="nil"/>
              <w:left w:val="nil"/>
              <w:bottom w:val="single" w:sz="4" w:space="0" w:color="333300"/>
              <w:right w:val="single" w:sz="4" w:space="0" w:color="333300"/>
            </w:tcBorders>
            <w:shd w:val="clear" w:color="auto" w:fill="auto"/>
            <w:hideMark/>
          </w:tcPr>
          <w:p w14:paraId="0CC36F8F" w14:textId="77777777" w:rsidR="00A2021B" w:rsidRPr="00C05E02" w:rsidRDefault="00A2021B">
            <w:pPr>
              <w:rPr>
                <w:sz w:val="20"/>
              </w:rPr>
            </w:pPr>
            <w:r w:rsidRPr="00C05E02">
              <w:rPr>
                <w:sz w:val="20"/>
              </w:rPr>
              <w:t>32.15</w:t>
            </w:r>
          </w:p>
        </w:tc>
        <w:tc>
          <w:tcPr>
            <w:tcW w:w="1710" w:type="dxa"/>
            <w:tcBorders>
              <w:top w:val="nil"/>
              <w:left w:val="nil"/>
              <w:bottom w:val="single" w:sz="4" w:space="0" w:color="333300"/>
              <w:right w:val="single" w:sz="4" w:space="0" w:color="333300"/>
            </w:tcBorders>
            <w:shd w:val="clear" w:color="auto" w:fill="auto"/>
            <w:hideMark/>
          </w:tcPr>
          <w:p w14:paraId="409B6E48" w14:textId="77777777" w:rsidR="00A2021B" w:rsidRPr="00C05E02" w:rsidRDefault="00A2021B">
            <w:pPr>
              <w:rPr>
                <w:sz w:val="20"/>
              </w:rPr>
            </w:pPr>
            <w:r w:rsidRPr="00C05E02">
              <w:rPr>
                <w:sz w:val="20"/>
              </w:rPr>
              <w:t xml:space="preserve">How to set Duration and TA fields has already been described in 9.3.1.19.1 General description. The sentence here makes bad reference to VHT. Also RA has rules </w:t>
            </w:r>
            <w:r w:rsidRPr="00C05E02">
              <w:rPr>
                <w:sz w:val="20"/>
              </w:rPr>
              <w:lastRenderedPageBreak/>
              <w:t>different from VHT.</w:t>
            </w:r>
          </w:p>
        </w:tc>
        <w:tc>
          <w:tcPr>
            <w:tcW w:w="2700" w:type="dxa"/>
            <w:tcBorders>
              <w:top w:val="nil"/>
              <w:left w:val="nil"/>
              <w:bottom w:val="single" w:sz="4" w:space="0" w:color="333300"/>
              <w:right w:val="single" w:sz="4" w:space="0" w:color="333300"/>
            </w:tcBorders>
            <w:shd w:val="clear" w:color="auto" w:fill="auto"/>
            <w:hideMark/>
          </w:tcPr>
          <w:p w14:paraId="25E295E0" w14:textId="77777777" w:rsidR="00A2021B" w:rsidRPr="00C05E02" w:rsidRDefault="00A2021B">
            <w:pPr>
              <w:rPr>
                <w:sz w:val="20"/>
              </w:rPr>
            </w:pPr>
            <w:r w:rsidRPr="00C05E02">
              <w:rPr>
                <w:sz w:val="20"/>
              </w:rPr>
              <w:lastRenderedPageBreak/>
              <w:t>Remove this sentence.</w:t>
            </w:r>
          </w:p>
        </w:tc>
        <w:tc>
          <w:tcPr>
            <w:tcW w:w="3263" w:type="dxa"/>
            <w:tcBorders>
              <w:top w:val="nil"/>
              <w:left w:val="nil"/>
              <w:bottom w:val="single" w:sz="4" w:space="0" w:color="333300"/>
              <w:right w:val="single" w:sz="4" w:space="0" w:color="333300"/>
            </w:tcBorders>
            <w:shd w:val="clear" w:color="auto" w:fill="auto"/>
            <w:hideMark/>
          </w:tcPr>
          <w:p w14:paraId="009C846D" w14:textId="77777777" w:rsidR="00A2021B" w:rsidRPr="00C05E02" w:rsidRDefault="00A2021B">
            <w:pPr>
              <w:rPr>
                <w:sz w:val="20"/>
              </w:rPr>
            </w:pPr>
            <w:r w:rsidRPr="00C05E02">
              <w:rPr>
                <w:sz w:val="20"/>
              </w:rPr>
              <w:t> Accept</w:t>
            </w:r>
          </w:p>
        </w:tc>
      </w:tr>
      <w:tr w:rsidR="00A2021B" w:rsidRPr="00C05E02" w14:paraId="6FE52F30" w14:textId="77777777" w:rsidTr="00A2021B">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47B13A6E" w14:textId="77777777" w:rsidR="00A2021B" w:rsidRPr="00C05E02" w:rsidRDefault="00A2021B">
            <w:pPr>
              <w:jc w:val="right"/>
              <w:rPr>
                <w:sz w:val="20"/>
              </w:rPr>
            </w:pPr>
            <w:r w:rsidRPr="00C05E02">
              <w:rPr>
                <w:sz w:val="20"/>
              </w:rPr>
              <w:t>3286</w:t>
            </w:r>
          </w:p>
        </w:tc>
        <w:tc>
          <w:tcPr>
            <w:tcW w:w="1044" w:type="dxa"/>
            <w:tcBorders>
              <w:top w:val="nil"/>
              <w:left w:val="nil"/>
              <w:bottom w:val="single" w:sz="4" w:space="0" w:color="333300"/>
              <w:right w:val="single" w:sz="4" w:space="0" w:color="333300"/>
            </w:tcBorders>
            <w:shd w:val="clear" w:color="auto" w:fill="auto"/>
            <w:hideMark/>
          </w:tcPr>
          <w:p w14:paraId="751B6716" w14:textId="77777777" w:rsidR="00A2021B" w:rsidRPr="00C05E02" w:rsidRDefault="00A2021B">
            <w:pPr>
              <w:rPr>
                <w:sz w:val="20"/>
              </w:rPr>
            </w:pPr>
            <w:r w:rsidRPr="00C05E02">
              <w:rPr>
                <w:sz w:val="20"/>
              </w:rPr>
              <w:t>9.3.1.19.5</w:t>
            </w:r>
          </w:p>
        </w:tc>
        <w:tc>
          <w:tcPr>
            <w:tcW w:w="810" w:type="dxa"/>
            <w:tcBorders>
              <w:top w:val="nil"/>
              <w:left w:val="nil"/>
              <w:bottom w:val="single" w:sz="4" w:space="0" w:color="333300"/>
              <w:right w:val="single" w:sz="4" w:space="0" w:color="333300"/>
            </w:tcBorders>
            <w:shd w:val="clear" w:color="auto" w:fill="auto"/>
            <w:hideMark/>
          </w:tcPr>
          <w:p w14:paraId="374EA656" w14:textId="77777777" w:rsidR="00A2021B" w:rsidRPr="00C05E02" w:rsidRDefault="00A2021B">
            <w:pPr>
              <w:rPr>
                <w:sz w:val="20"/>
              </w:rPr>
            </w:pPr>
            <w:r w:rsidRPr="00C05E02">
              <w:rPr>
                <w:sz w:val="20"/>
              </w:rPr>
              <w:t>32.19</w:t>
            </w:r>
          </w:p>
        </w:tc>
        <w:tc>
          <w:tcPr>
            <w:tcW w:w="1710" w:type="dxa"/>
            <w:tcBorders>
              <w:top w:val="nil"/>
              <w:left w:val="nil"/>
              <w:bottom w:val="single" w:sz="4" w:space="0" w:color="333300"/>
              <w:right w:val="single" w:sz="4" w:space="0" w:color="333300"/>
            </w:tcBorders>
            <w:shd w:val="clear" w:color="auto" w:fill="auto"/>
            <w:hideMark/>
          </w:tcPr>
          <w:p w14:paraId="5F500815" w14:textId="77777777" w:rsidR="00A2021B" w:rsidRPr="00C05E02" w:rsidRDefault="00A2021B">
            <w:pPr>
              <w:rPr>
                <w:sz w:val="20"/>
              </w:rPr>
            </w:pPr>
            <w:r w:rsidRPr="00C05E02">
              <w:rPr>
                <w:sz w:val="20"/>
              </w:rPr>
              <w:t>Measurement Exchange ID does not include a NDPA frame, so there is a logical issue.</w:t>
            </w:r>
          </w:p>
        </w:tc>
        <w:tc>
          <w:tcPr>
            <w:tcW w:w="2700" w:type="dxa"/>
            <w:tcBorders>
              <w:top w:val="nil"/>
              <w:left w:val="nil"/>
              <w:bottom w:val="single" w:sz="4" w:space="0" w:color="333300"/>
              <w:right w:val="single" w:sz="4" w:space="0" w:color="333300"/>
            </w:tcBorders>
            <w:shd w:val="clear" w:color="auto" w:fill="auto"/>
            <w:hideMark/>
          </w:tcPr>
          <w:p w14:paraId="1C52FB7A" w14:textId="77777777" w:rsidR="00A2021B" w:rsidRPr="00C05E02" w:rsidRDefault="00A2021B">
            <w:pPr>
              <w:rPr>
                <w:sz w:val="20"/>
              </w:rPr>
            </w:pPr>
            <w:r w:rsidRPr="00C05E02">
              <w:rPr>
                <w:sz w:val="20"/>
              </w:rPr>
              <w:t>Change to: the Sounding Dialog Token field contains a Measurement Exchange ID value in the</w:t>
            </w:r>
            <w:r w:rsidRPr="00C05E02">
              <w:rPr>
                <w:sz w:val="20"/>
              </w:rPr>
              <w:br/>
              <w:t>range of 0 to 63, which identifies the measurement exchange that this transmitted Sensing NDP</w:t>
            </w:r>
            <w:r w:rsidRPr="00C05E02">
              <w:rPr>
                <w:sz w:val="20"/>
              </w:rPr>
              <w:br/>
              <w:t>Announcement frame is part of ...</w:t>
            </w:r>
          </w:p>
        </w:tc>
        <w:tc>
          <w:tcPr>
            <w:tcW w:w="3263" w:type="dxa"/>
            <w:tcBorders>
              <w:top w:val="nil"/>
              <w:left w:val="nil"/>
              <w:bottom w:val="single" w:sz="4" w:space="0" w:color="333300"/>
              <w:right w:val="single" w:sz="4" w:space="0" w:color="333300"/>
            </w:tcBorders>
            <w:shd w:val="clear" w:color="auto" w:fill="auto"/>
            <w:hideMark/>
          </w:tcPr>
          <w:p w14:paraId="368635BD" w14:textId="77777777" w:rsidR="00A2021B" w:rsidRPr="00C05E02" w:rsidRDefault="00A2021B">
            <w:pPr>
              <w:rPr>
                <w:sz w:val="20"/>
              </w:rPr>
            </w:pPr>
            <w:r w:rsidRPr="00C05E02">
              <w:rPr>
                <w:sz w:val="20"/>
              </w:rPr>
              <w:t> Revise</w:t>
            </w:r>
          </w:p>
          <w:p w14:paraId="55C852E6" w14:textId="77777777" w:rsidR="00A2021B" w:rsidRPr="00C05E02" w:rsidRDefault="00A2021B">
            <w:pPr>
              <w:rPr>
                <w:sz w:val="20"/>
              </w:rPr>
            </w:pPr>
          </w:p>
          <w:p w14:paraId="01212716" w14:textId="29BAE8D0" w:rsidR="00A2021B" w:rsidRPr="00C05E02" w:rsidRDefault="00000000">
            <w:pPr>
              <w:rPr>
                <w:sz w:val="20"/>
              </w:rPr>
            </w:pPr>
            <w:hyperlink r:id="rId8" w:history="1">
              <w:r w:rsidR="00612E03" w:rsidRPr="00700DD4">
                <w:rPr>
                  <w:rStyle w:val="Hyperlink"/>
                </w:rPr>
                <w:t>https://mentor.ieee.org/802.11/dcn/21/11-23-1456-02-00bf-LB276-Comment-Resolutions-for-Sensing-NDPA-Frame-Format</w:t>
              </w:r>
            </w:hyperlink>
            <w:r w:rsidR="00A2021B" w:rsidRPr="00C05E02">
              <w:rPr>
                <w:rStyle w:val="Hyperlink"/>
                <w:color w:val="000000"/>
              </w:rPr>
              <w:t>.docx</w:t>
            </w:r>
            <w:r w:rsidR="00A2021B" w:rsidRPr="00C05E02">
              <w:rPr>
                <w:sz w:val="20"/>
              </w:rPr>
              <w:t xml:space="preserve"> </w:t>
            </w:r>
          </w:p>
        </w:tc>
      </w:tr>
      <w:tr w:rsidR="00A2021B" w:rsidRPr="00C05E02" w14:paraId="04558E1F" w14:textId="77777777" w:rsidTr="00A2021B">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650271F" w14:textId="77777777" w:rsidR="00A2021B" w:rsidRPr="00C05E02" w:rsidRDefault="00A2021B">
            <w:pPr>
              <w:jc w:val="right"/>
              <w:rPr>
                <w:sz w:val="20"/>
              </w:rPr>
            </w:pPr>
            <w:r w:rsidRPr="00C05E02">
              <w:rPr>
                <w:sz w:val="20"/>
              </w:rPr>
              <w:t>3287</w:t>
            </w:r>
          </w:p>
        </w:tc>
        <w:tc>
          <w:tcPr>
            <w:tcW w:w="1044" w:type="dxa"/>
            <w:tcBorders>
              <w:top w:val="nil"/>
              <w:left w:val="nil"/>
              <w:bottom w:val="single" w:sz="4" w:space="0" w:color="333300"/>
              <w:right w:val="single" w:sz="4" w:space="0" w:color="333300"/>
            </w:tcBorders>
            <w:shd w:val="clear" w:color="auto" w:fill="auto"/>
            <w:hideMark/>
          </w:tcPr>
          <w:p w14:paraId="0BF997D2" w14:textId="77777777" w:rsidR="00A2021B" w:rsidRPr="00C05E02" w:rsidRDefault="00A2021B">
            <w:pPr>
              <w:rPr>
                <w:sz w:val="20"/>
              </w:rPr>
            </w:pPr>
            <w:r w:rsidRPr="00C05E02">
              <w:rPr>
                <w:sz w:val="20"/>
              </w:rPr>
              <w:t>9.3.1.19.5</w:t>
            </w:r>
          </w:p>
        </w:tc>
        <w:tc>
          <w:tcPr>
            <w:tcW w:w="810" w:type="dxa"/>
            <w:tcBorders>
              <w:top w:val="nil"/>
              <w:left w:val="nil"/>
              <w:bottom w:val="single" w:sz="4" w:space="0" w:color="333300"/>
              <w:right w:val="single" w:sz="4" w:space="0" w:color="333300"/>
            </w:tcBorders>
            <w:shd w:val="clear" w:color="auto" w:fill="auto"/>
            <w:hideMark/>
          </w:tcPr>
          <w:p w14:paraId="014218AD" w14:textId="77777777" w:rsidR="00A2021B" w:rsidRPr="00C05E02" w:rsidRDefault="00A2021B">
            <w:pPr>
              <w:rPr>
                <w:sz w:val="20"/>
              </w:rPr>
            </w:pPr>
            <w:r w:rsidRPr="00C05E02">
              <w:rPr>
                <w:sz w:val="20"/>
              </w:rPr>
              <w:t>32.24</w:t>
            </w:r>
          </w:p>
        </w:tc>
        <w:tc>
          <w:tcPr>
            <w:tcW w:w="1710" w:type="dxa"/>
            <w:tcBorders>
              <w:top w:val="nil"/>
              <w:left w:val="nil"/>
              <w:bottom w:val="single" w:sz="4" w:space="0" w:color="333300"/>
              <w:right w:val="single" w:sz="4" w:space="0" w:color="333300"/>
            </w:tcBorders>
            <w:shd w:val="clear" w:color="auto" w:fill="auto"/>
            <w:hideMark/>
          </w:tcPr>
          <w:p w14:paraId="5FB95FF7" w14:textId="77777777" w:rsidR="00A2021B" w:rsidRPr="00C05E02" w:rsidRDefault="00A2021B">
            <w:pPr>
              <w:rPr>
                <w:sz w:val="20"/>
              </w:rPr>
            </w:pPr>
            <w:r w:rsidRPr="00C05E02">
              <w:rPr>
                <w:sz w:val="20"/>
              </w:rPr>
              <w:t>STA Info List field has already been described in 9.3.1.19.1 (General description). The sentence here is redundant.</w:t>
            </w:r>
          </w:p>
        </w:tc>
        <w:tc>
          <w:tcPr>
            <w:tcW w:w="2700" w:type="dxa"/>
            <w:tcBorders>
              <w:top w:val="nil"/>
              <w:left w:val="nil"/>
              <w:bottom w:val="single" w:sz="4" w:space="0" w:color="333300"/>
              <w:right w:val="single" w:sz="4" w:space="0" w:color="333300"/>
            </w:tcBorders>
            <w:shd w:val="clear" w:color="auto" w:fill="auto"/>
            <w:hideMark/>
          </w:tcPr>
          <w:p w14:paraId="65A36CA2" w14:textId="77777777" w:rsidR="00A2021B" w:rsidRPr="00C05E02" w:rsidRDefault="00A2021B">
            <w:pPr>
              <w:rPr>
                <w:sz w:val="20"/>
              </w:rPr>
            </w:pPr>
            <w:r w:rsidRPr="00C05E02">
              <w:rPr>
                <w:sz w:val="20"/>
              </w:rPr>
              <w:t>Remove this sentence.</w:t>
            </w:r>
          </w:p>
        </w:tc>
        <w:tc>
          <w:tcPr>
            <w:tcW w:w="3263" w:type="dxa"/>
            <w:tcBorders>
              <w:top w:val="nil"/>
              <w:left w:val="nil"/>
              <w:bottom w:val="single" w:sz="4" w:space="0" w:color="333300"/>
              <w:right w:val="single" w:sz="4" w:space="0" w:color="333300"/>
            </w:tcBorders>
            <w:shd w:val="clear" w:color="auto" w:fill="auto"/>
            <w:hideMark/>
          </w:tcPr>
          <w:p w14:paraId="1C0D5821" w14:textId="77777777" w:rsidR="00A2021B" w:rsidRDefault="00A2021B">
            <w:pPr>
              <w:rPr>
                <w:sz w:val="20"/>
              </w:rPr>
            </w:pPr>
            <w:r w:rsidRPr="00C05E02">
              <w:rPr>
                <w:sz w:val="20"/>
              </w:rPr>
              <w:t> </w:t>
            </w:r>
            <w:r w:rsidR="004F7DF7">
              <w:rPr>
                <w:sz w:val="20"/>
              </w:rPr>
              <w:t>Revise</w:t>
            </w:r>
          </w:p>
          <w:p w14:paraId="1BF29C4E" w14:textId="77777777" w:rsidR="004F7DF7" w:rsidRDefault="004F7DF7">
            <w:pPr>
              <w:rPr>
                <w:sz w:val="20"/>
              </w:rPr>
            </w:pPr>
          </w:p>
          <w:p w14:paraId="57BAE399" w14:textId="1B6011EB" w:rsidR="004F7DF7" w:rsidRPr="00C05E02" w:rsidRDefault="00674392" w:rsidP="004F7DF7">
            <w:pPr>
              <w:rPr>
                <w:sz w:val="20"/>
              </w:rPr>
            </w:pPr>
            <w:proofErr w:type="spellStart"/>
            <w:r>
              <w:rPr>
                <w:sz w:val="20"/>
              </w:rPr>
              <w:t>TGbf</w:t>
            </w:r>
            <w:proofErr w:type="spellEnd"/>
            <w:r w:rsidR="004F7DF7" w:rsidRPr="00C05E02">
              <w:rPr>
                <w:sz w:val="20"/>
              </w:rPr>
              <w:t xml:space="preserve"> editor: Delete the text in P32 L</w:t>
            </w:r>
            <w:r w:rsidR="00FB2665">
              <w:rPr>
                <w:sz w:val="20"/>
              </w:rPr>
              <w:t>24</w:t>
            </w:r>
          </w:p>
          <w:p w14:paraId="498B695A" w14:textId="517384CF" w:rsidR="004F7DF7" w:rsidRPr="00C05E02" w:rsidRDefault="004F7DF7">
            <w:pPr>
              <w:rPr>
                <w:sz w:val="20"/>
              </w:rPr>
            </w:pPr>
          </w:p>
        </w:tc>
      </w:tr>
      <w:tr w:rsidR="00A2021B" w:rsidRPr="00C05E02" w14:paraId="40C6147A" w14:textId="77777777" w:rsidTr="00F12451">
        <w:trPr>
          <w:trHeight w:val="2447"/>
        </w:trPr>
        <w:tc>
          <w:tcPr>
            <w:tcW w:w="661" w:type="dxa"/>
            <w:tcBorders>
              <w:top w:val="nil"/>
              <w:left w:val="single" w:sz="4" w:space="0" w:color="333300"/>
              <w:bottom w:val="single" w:sz="4" w:space="0" w:color="333300"/>
              <w:right w:val="single" w:sz="4" w:space="0" w:color="333300"/>
            </w:tcBorders>
            <w:shd w:val="clear" w:color="auto" w:fill="auto"/>
            <w:hideMark/>
          </w:tcPr>
          <w:p w14:paraId="6139E85E" w14:textId="77777777" w:rsidR="00A2021B" w:rsidRPr="00C05E02" w:rsidRDefault="00A2021B">
            <w:pPr>
              <w:jc w:val="right"/>
              <w:rPr>
                <w:sz w:val="20"/>
              </w:rPr>
            </w:pPr>
            <w:r w:rsidRPr="00C05E02">
              <w:rPr>
                <w:sz w:val="20"/>
              </w:rPr>
              <w:t>3288</w:t>
            </w:r>
          </w:p>
        </w:tc>
        <w:tc>
          <w:tcPr>
            <w:tcW w:w="1044" w:type="dxa"/>
            <w:tcBorders>
              <w:top w:val="nil"/>
              <w:left w:val="nil"/>
              <w:bottom w:val="single" w:sz="4" w:space="0" w:color="333300"/>
              <w:right w:val="single" w:sz="4" w:space="0" w:color="333300"/>
            </w:tcBorders>
            <w:shd w:val="clear" w:color="auto" w:fill="auto"/>
            <w:hideMark/>
          </w:tcPr>
          <w:p w14:paraId="05944554" w14:textId="77777777" w:rsidR="00A2021B" w:rsidRPr="00C05E02" w:rsidRDefault="00A2021B">
            <w:pPr>
              <w:rPr>
                <w:sz w:val="20"/>
              </w:rPr>
            </w:pPr>
            <w:r w:rsidRPr="00C05E02">
              <w:rPr>
                <w:sz w:val="20"/>
              </w:rPr>
              <w:t>9.3.1.19.5</w:t>
            </w:r>
          </w:p>
        </w:tc>
        <w:tc>
          <w:tcPr>
            <w:tcW w:w="810" w:type="dxa"/>
            <w:tcBorders>
              <w:top w:val="nil"/>
              <w:left w:val="nil"/>
              <w:bottom w:val="single" w:sz="4" w:space="0" w:color="333300"/>
              <w:right w:val="single" w:sz="4" w:space="0" w:color="333300"/>
            </w:tcBorders>
            <w:shd w:val="clear" w:color="auto" w:fill="auto"/>
            <w:hideMark/>
          </w:tcPr>
          <w:p w14:paraId="24345F90" w14:textId="77777777" w:rsidR="00A2021B" w:rsidRPr="00C05E02" w:rsidRDefault="00A2021B">
            <w:pPr>
              <w:rPr>
                <w:sz w:val="20"/>
              </w:rPr>
            </w:pPr>
            <w:r w:rsidRPr="00C05E02">
              <w:rPr>
                <w:sz w:val="20"/>
              </w:rPr>
              <w:t>32.49</w:t>
            </w:r>
          </w:p>
        </w:tc>
        <w:tc>
          <w:tcPr>
            <w:tcW w:w="1710" w:type="dxa"/>
            <w:tcBorders>
              <w:top w:val="nil"/>
              <w:left w:val="nil"/>
              <w:bottom w:val="single" w:sz="4" w:space="0" w:color="333300"/>
              <w:right w:val="single" w:sz="4" w:space="0" w:color="333300"/>
            </w:tcBorders>
            <w:shd w:val="clear" w:color="auto" w:fill="auto"/>
            <w:hideMark/>
          </w:tcPr>
          <w:p w14:paraId="0842EC0F" w14:textId="77777777" w:rsidR="00A2021B" w:rsidRPr="00C05E02" w:rsidRDefault="00A2021B">
            <w:pPr>
              <w:rPr>
                <w:sz w:val="20"/>
              </w:rPr>
            </w:pPr>
            <w:r w:rsidRPr="00C05E02">
              <w:rPr>
                <w:sz w:val="20"/>
              </w:rPr>
              <w:t>9.3.1.19.1 (General description) has described RA for other variants. It's better to merge RA of sensing there. Same issue for P32L53.</w:t>
            </w:r>
          </w:p>
        </w:tc>
        <w:tc>
          <w:tcPr>
            <w:tcW w:w="2700" w:type="dxa"/>
            <w:tcBorders>
              <w:top w:val="nil"/>
              <w:left w:val="nil"/>
              <w:bottom w:val="single" w:sz="4" w:space="0" w:color="333300"/>
              <w:right w:val="single" w:sz="4" w:space="0" w:color="333300"/>
            </w:tcBorders>
            <w:shd w:val="clear" w:color="auto" w:fill="auto"/>
            <w:hideMark/>
          </w:tcPr>
          <w:p w14:paraId="0A66BFA3" w14:textId="77777777" w:rsidR="00A2021B" w:rsidRPr="00C05E02" w:rsidRDefault="00A2021B">
            <w:pPr>
              <w:rPr>
                <w:sz w:val="20"/>
              </w:rPr>
            </w:pPr>
            <w:r w:rsidRPr="00C05E02">
              <w:rPr>
                <w:sz w:val="20"/>
              </w:rPr>
              <w:t>Merge it into 9.3.1.19.1.</w:t>
            </w:r>
          </w:p>
        </w:tc>
        <w:tc>
          <w:tcPr>
            <w:tcW w:w="3263" w:type="dxa"/>
            <w:tcBorders>
              <w:top w:val="nil"/>
              <w:left w:val="nil"/>
              <w:bottom w:val="single" w:sz="4" w:space="0" w:color="333300"/>
              <w:right w:val="single" w:sz="4" w:space="0" w:color="333300"/>
            </w:tcBorders>
            <w:shd w:val="clear" w:color="auto" w:fill="auto"/>
            <w:hideMark/>
          </w:tcPr>
          <w:p w14:paraId="22D28EEF" w14:textId="77777777" w:rsidR="00A2021B" w:rsidRPr="00C05E02" w:rsidRDefault="00A2021B">
            <w:pPr>
              <w:rPr>
                <w:sz w:val="20"/>
              </w:rPr>
            </w:pPr>
            <w:r w:rsidRPr="00C05E02">
              <w:rPr>
                <w:sz w:val="20"/>
              </w:rPr>
              <w:t> Reject</w:t>
            </w:r>
          </w:p>
          <w:p w14:paraId="02C21B94" w14:textId="77777777" w:rsidR="00A2021B" w:rsidRPr="00C05E02" w:rsidRDefault="00A2021B">
            <w:pPr>
              <w:rPr>
                <w:sz w:val="20"/>
              </w:rPr>
            </w:pPr>
          </w:p>
          <w:p w14:paraId="6BA8AB72" w14:textId="77777777" w:rsidR="00A2021B" w:rsidRPr="00C05E02" w:rsidRDefault="00A2021B">
            <w:pPr>
              <w:rPr>
                <w:sz w:val="20"/>
              </w:rPr>
            </w:pPr>
            <w:r w:rsidRPr="00C05E02">
              <w:rPr>
                <w:sz w:val="20"/>
              </w:rPr>
              <w:t xml:space="preserve">The 9.3.2.19.1 (General description) is not describing the use of NDP Announcement frame in the Non-TB sensing measurement exchange, besides when it is combined with other text in the baseline specification (i.e., </w:t>
            </w:r>
            <w:proofErr w:type="spellStart"/>
            <w:r w:rsidRPr="00C05E02">
              <w:rPr>
                <w:sz w:val="20"/>
              </w:rPr>
              <w:t>REVmf</w:t>
            </w:r>
            <w:proofErr w:type="spellEnd"/>
            <w:r w:rsidRPr="00C05E02">
              <w:rPr>
                <w:sz w:val="20"/>
              </w:rPr>
              <w:t xml:space="preserve">), the baseline editor will remove the redundant text as needed. </w:t>
            </w:r>
          </w:p>
        </w:tc>
      </w:tr>
      <w:tr w:rsidR="00A2021B" w:rsidRPr="00C05E02" w14:paraId="3516B46F" w14:textId="77777777" w:rsidTr="00A2021B">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0A0C51A2" w14:textId="77777777" w:rsidR="00A2021B" w:rsidRPr="00C05E02" w:rsidRDefault="00A2021B">
            <w:pPr>
              <w:jc w:val="right"/>
              <w:rPr>
                <w:sz w:val="20"/>
              </w:rPr>
            </w:pPr>
            <w:r w:rsidRPr="00C05E02">
              <w:rPr>
                <w:sz w:val="20"/>
              </w:rPr>
              <w:t>3289</w:t>
            </w:r>
          </w:p>
        </w:tc>
        <w:tc>
          <w:tcPr>
            <w:tcW w:w="1044" w:type="dxa"/>
            <w:tcBorders>
              <w:top w:val="nil"/>
              <w:left w:val="nil"/>
              <w:bottom w:val="single" w:sz="4" w:space="0" w:color="333300"/>
              <w:right w:val="single" w:sz="4" w:space="0" w:color="333300"/>
            </w:tcBorders>
            <w:shd w:val="clear" w:color="auto" w:fill="auto"/>
            <w:hideMark/>
          </w:tcPr>
          <w:p w14:paraId="15A46801" w14:textId="77777777" w:rsidR="00A2021B" w:rsidRPr="00C05E02" w:rsidRDefault="00A2021B">
            <w:pPr>
              <w:rPr>
                <w:sz w:val="20"/>
              </w:rPr>
            </w:pPr>
            <w:r w:rsidRPr="00C05E02">
              <w:rPr>
                <w:sz w:val="20"/>
              </w:rPr>
              <w:t>9.3.1.19.5</w:t>
            </w:r>
          </w:p>
        </w:tc>
        <w:tc>
          <w:tcPr>
            <w:tcW w:w="810" w:type="dxa"/>
            <w:tcBorders>
              <w:top w:val="nil"/>
              <w:left w:val="nil"/>
              <w:bottom w:val="single" w:sz="4" w:space="0" w:color="333300"/>
              <w:right w:val="single" w:sz="4" w:space="0" w:color="333300"/>
            </w:tcBorders>
            <w:shd w:val="clear" w:color="auto" w:fill="auto"/>
            <w:hideMark/>
          </w:tcPr>
          <w:p w14:paraId="5F36B206" w14:textId="77777777" w:rsidR="00A2021B" w:rsidRPr="00C05E02" w:rsidRDefault="00A2021B">
            <w:pPr>
              <w:rPr>
                <w:sz w:val="20"/>
              </w:rPr>
            </w:pPr>
            <w:r w:rsidRPr="00C05E02">
              <w:rPr>
                <w:sz w:val="20"/>
              </w:rPr>
              <w:t>33.32</w:t>
            </w:r>
          </w:p>
        </w:tc>
        <w:tc>
          <w:tcPr>
            <w:tcW w:w="1710" w:type="dxa"/>
            <w:tcBorders>
              <w:top w:val="nil"/>
              <w:left w:val="nil"/>
              <w:bottom w:val="single" w:sz="4" w:space="0" w:color="333300"/>
              <w:right w:val="single" w:sz="4" w:space="0" w:color="333300"/>
            </w:tcBorders>
            <w:shd w:val="clear" w:color="auto" w:fill="auto"/>
            <w:hideMark/>
          </w:tcPr>
          <w:p w14:paraId="50586AD8" w14:textId="77777777" w:rsidR="00A2021B" w:rsidRPr="00C05E02" w:rsidRDefault="00A2021B">
            <w:pPr>
              <w:rPr>
                <w:sz w:val="20"/>
              </w:rPr>
            </w:pPr>
            <w:r w:rsidRPr="00C05E02">
              <w:rPr>
                <w:sz w:val="20"/>
              </w:rPr>
              <w:t>This paragraph applies to both TB and non-TB? Or only applies to non-TB?</w:t>
            </w:r>
            <w:r w:rsidRPr="00C05E02">
              <w:rPr>
                <w:sz w:val="20"/>
              </w:rPr>
              <w:br/>
              <w:t>This paragraph somewhat duplicates with the previous TB and non-TB paragraphs, it should be merged into those three paragraphs.</w:t>
            </w:r>
          </w:p>
        </w:tc>
        <w:tc>
          <w:tcPr>
            <w:tcW w:w="2700" w:type="dxa"/>
            <w:tcBorders>
              <w:top w:val="nil"/>
              <w:left w:val="nil"/>
              <w:bottom w:val="single" w:sz="4" w:space="0" w:color="333300"/>
              <w:right w:val="single" w:sz="4" w:space="0" w:color="333300"/>
            </w:tcBorders>
            <w:shd w:val="clear" w:color="auto" w:fill="auto"/>
            <w:hideMark/>
          </w:tcPr>
          <w:p w14:paraId="6B07B210" w14:textId="77777777" w:rsidR="00A2021B" w:rsidRPr="00C05E02" w:rsidRDefault="00A2021B">
            <w:pPr>
              <w:rPr>
                <w:sz w:val="20"/>
              </w:rPr>
            </w:pPr>
            <w:r w:rsidRPr="00C05E02">
              <w:rPr>
                <w:sz w:val="20"/>
              </w:rPr>
              <w:t>Merged it into the previous paragraphs.</w:t>
            </w:r>
          </w:p>
        </w:tc>
        <w:tc>
          <w:tcPr>
            <w:tcW w:w="3263" w:type="dxa"/>
            <w:tcBorders>
              <w:top w:val="nil"/>
              <w:left w:val="nil"/>
              <w:bottom w:val="single" w:sz="4" w:space="0" w:color="333300"/>
              <w:right w:val="single" w:sz="4" w:space="0" w:color="333300"/>
            </w:tcBorders>
            <w:shd w:val="clear" w:color="auto" w:fill="auto"/>
            <w:hideMark/>
          </w:tcPr>
          <w:p w14:paraId="21470899" w14:textId="77777777" w:rsidR="00A2021B" w:rsidRPr="00C05E02" w:rsidRDefault="00A2021B">
            <w:pPr>
              <w:rPr>
                <w:sz w:val="20"/>
              </w:rPr>
            </w:pPr>
            <w:r w:rsidRPr="00C05E02">
              <w:rPr>
                <w:sz w:val="20"/>
              </w:rPr>
              <w:t xml:space="preserve"> Revise </w:t>
            </w:r>
          </w:p>
          <w:p w14:paraId="3D21A7EE" w14:textId="77777777" w:rsidR="00A2021B" w:rsidRPr="00C05E02" w:rsidRDefault="00A2021B">
            <w:pPr>
              <w:rPr>
                <w:sz w:val="20"/>
              </w:rPr>
            </w:pPr>
          </w:p>
          <w:p w14:paraId="4F3420D7" w14:textId="24DF72C2" w:rsidR="00A2021B" w:rsidRPr="00C05E02" w:rsidRDefault="00000000">
            <w:pPr>
              <w:rPr>
                <w:sz w:val="20"/>
              </w:rPr>
            </w:pPr>
            <w:hyperlink r:id="rId9" w:history="1">
              <w:r w:rsidR="00612E03" w:rsidRPr="00700DD4">
                <w:rPr>
                  <w:rStyle w:val="Hyperlink"/>
                </w:rPr>
                <w:t>https://mentor.ieee.org/802.11/dcn/21/11-23-1456-02-00bf-LB276-Comment-Resolutions-for-Sensing-NDPA-Frame-Format</w:t>
              </w:r>
            </w:hyperlink>
            <w:r w:rsidR="00A2021B" w:rsidRPr="00C05E02">
              <w:rPr>
                <w:rStyle w:val="Hyperlink"/>
                <w:color w:val="000000"/>
              </w:rPr>
              <w:t>.docx</w:t>
            </w:r>
            <w:r w:rsidR="00A2021B" w:rsidRPr="00C05E02">
              <w:rPr>
                <w:sz w:val="20"/>
              </w:rPr>
              <w:t xml:space="preserve"> </w:t>
            </w:r>
          </w:p>
          <w:p w14:paraId="1DDCA79B" w14:textId="77777777" w:rsidR="00A2021B" w:rsidRPr="00C05E02" w:rsidRDefault="00A2021B">
            <w:pPr>
              <w:rPr>
                <w:sz w:val="20"/>
              </w:rPr>
            </w:pPr>
          </w:p>
        </w:tc>
      </w:tr>
      <w:tr w:rsidR="00A2021B" w:rsidRPr="00C05E02" w14:paraId="03EDC2CA" w14:textId="77777777" w:rsidTr="00A2021B">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4314D8F8" w14:textId="77777777" w:rsidR="00A2021B" w:rsidRPr="00C05E02" w:rsidRDefault="00A2021B">
            <w:pPr>
              <w:jc w:val="right"/>
              <w:rPr>
                <w:sz w:val="20"/>
              </w:rPr>
            </w:pPr>
            <w:r w:rsidRPr="00C05E02">
              <w:rPr>
                <w:sz w:val="20"/>
              </w:rPr>
              <w:lastRenderedPageBreak/>
              <w:t>3290</w:t>
            </w:r>
          </w:p>
        </w:tc>
        <w:tc>
          <w:tcPr>
            <w:tcW w:w="1044" w:type="dxa"/>
            <w:tcBorders>
              <w:top w:val="nil"/>
              <w:left w:val="nil"/>
              <w:bottom w:val="single" w:sz="4" w:space="0" w:color="333300"/>
              <w:right w:val="single" w:sz="4" w:space="0" w:color="333300"/>
            </w:tcBorders>
            <w:shd w:val="clear" w:color="auto" w:fill="auto"/>
            <w:hideMark/>
          </w:tcPr>
          <w:p w14:paraId="11D48959" w14:textId="77777777" w:rsidR="00A2021B" w:rsidRPr="00C05E02" w:rsidRDefault="00A2021B">
            <w:pPr>
              <w:rPr>
                <w:sz w:val="20"/>
              </w:rPr>
            </w:pPr>
            <w:r w:rsidRPr="00C05E02">
              <w:rPr>
                <w:sz w:val="20"/>
              </w:rPr>
              <w:t>9.3.1.19.5</w:t>
            </w:r>
          </w:p>
        </w:tc>
        <w:tc>
          <w:tcPr>
            <w:tcW w:w="810" w:type="dxa"/>
            <w:tcBorders>
              <w:top w:val="nil"/>
              <w:left w:val="nil"/>
              <w:bottom w:val="single" w:sz="4" w:space="0" w:color="333300"/>
              <w:right w:val="single" w:sz="4" w:space="0" w:color="333300"/>
            </w:tcBorders>
            <w:shd w:val="clear" w:color="auto" w:fill="auto"/>
            <w:hideMark/>
          </w:tcPr>
          <w:p w14:paraId="21A5DA59" w14:textId="77777777" w:rsidR="00A2021B" w:rsidRPr="00C05E02" w:rsidRDefault="00A2021B">
            <w:pPr>
              <w:rPr>
                <w:sz w:val="20"/>
              </w:rPr>
            </w:pPr>
            <w:r w:rsidRPr="00C05E02">
              <w:rPr>
                <w:sz w:val="20"/>
              </w:rPr>
              <w:t>33.32</w:t>
            </w:r>
          </w:p>
        </w:tc>
        <w:tc>
          <w:tcPr>
            <w:tcW w:w="1710" w:type="dxa"/>
            <w:tcBorders>
              <w:top w:val="nil"/>
              <w:left w:val="nil"/>
              <w:bottom w:val="single" w:sz="4" w:space="0" w:color="333300"/>
              <w:right w:val="single" w:sz="4" w:space="0" w:color="333300"/>
            </w:tcBorders>
            <w:shd w:val="clear" w:color="auto" w:fill="auto"/>
            <w:hideMark/>
          </w:tcPr>
          <w:p w14:paraId="72B658F4" w14:textId="77777777" w:rsidR="00A2021B" w:rsidRPr="00C05E02" w:rsidRDefault="00A2021B">
            <w:pPr>
              <w:rPr>
                <w:sz w:val="20"/>
              </w:rPr>
            </w:pPr>
            <w:r w:rsidRPr="00C05E02">
              <w:rPr>
                <w:sz w:val="20"/>
              </w:rPr>
              <w:t>Since this paragraph is under 9.3.1.19.5 (Sensing NDP Announcement frame format), it's clear that it is talking about Sensing NDPA, so B31 definitely is set to 1, the word 'if' should be removed.</w:t>
            </w:r>
          </w:p>
        </w:tc>
        <w:tc>
          <w:tcPr>
            <w:tcW w:w="2700" w:type="dxa"/>
            <w:tcBorders>
              <w:top w:val="nil"/>
              <w:left w:val="nil"/>
              <w:bottom w:val="single" w:sz="4" w:space="0" w:color="333300"/>
              <w:right w:val="single" w:sz="4" w:space="0" w:color="333300"/>
            </w:tcBorders>
            <w:shd w:val="clear" w:color="auto" w:fill="auto"/>
            <w:hideMark/>
          </w:tcPr>
          <w:p w14:paraId="587F7390" w14:textId="77777777" w:rsidR="00A2021B" w:rsidRPr="00C05E02" w:rsidRDefault="00A2021B">
            <w:pPr>
              <w:rPr>
                <w:sz w:val="20"/>
              </w:rPr>
            </w:pPr>
            <w:r w:rsidRPr="00C05E02">
              <w:rPr>
                <w:sz w:val="20"/>
              </w:rPr>
              <w:t>Change to: In the STA Info field with AID11 subfield equal to 2045, bit B31 is set to 1 to indicate that the frame is a Sensing NDP Announcement frame, bits B28 through B30 are set to the Measurement Session ID of the corresponding sensing measurement exchange.</w:t>
            </w:r>
          </w:p>
        </w:tc>
        <w:tc>
          <w:tcPr>
            <w:tcW w:w="3263" w:type="dxa"/>
            <w:tcBorders>
              <w:top w:val="nil"/>
              <w:left w:val="nil"/>
              <w:bottom w:val="single" w:sz="4" w:space="0" w:color="333300"/>
              <w:right w:val="single" w:sz="4" w:space="0" w:color="333300"/>
            </w:tcBorders>
            <w:shd w:val="clear" w:color="auto" w:fill="auto"/>
            <w:hideMark/>
          </w:tcPr>
          <w:p w14:paraId="2C813CF2" w14:textId="77777777" w:rsidR="00A2021B" w:rsidRPr="00C05E02" w:rsidRDefault="00A2021B">
            <w:pPr>
              <w:rPr>
                <w:sz w:val="20"/>
              </w:rPr>
            </w:pPr>
            <w:r w:rsidRPr="00C05E02">
              <w:rPr>
                <w:sz w:val="20"/>
              </w:rPr>
              <w:t xml:space="preserve"> Revise </w:t>
            </w:r>
          </w:p>
          <w:p w14:paraId="750BDD63" w14:textId="77777777" w:rsidR="00A2021B" w:rsidRPr="00C05E02" w:rsidRDefault="00A2021B">
            <w:pPr>
              <w:rPr>
                <w:sz w:val="20"/>
              </w:rPr>
            </w:pPr>
          </w:p>
          <w:p w14:paraId="6339181F" w14:textId="4FEB062F" w:rsidR="00A2021B" w:rsidRPr="00C05E02" w:rsidRDefault="00A2021B">
            <w:pPr>
              <w:rPr>
                <w:sz w:val="20"/>
              </w:rPr>
            </w:pPr>
            <w:proofErr w:type="spellStart"/>
            <w:r w:rsidRPr="00C05E02">
              <w:t>TG</w:t>
            </w:r>
            <w:r w:rsidR="00FD2B5D">
              <w:t>bf</w:t>
            </w:r>
            <w:proofErr w:type="spellEnd"/>
            <w:r w:rsidRPr="00C05E02">
              <w:t xml:space="preserve"> editor: Delete the word “if” from P34L4</w:t>
            </w:r>
            <w:r w:rsidR="0023078D">
              <w:t>0</w:t>
            </w:r>
            <w:r w:rsidR="004F7652">
              <w:t xml:space="preserve"> and add the word “and” before </w:t>
            </w:r>
            <w:r w:rsidR="00565DBF">
              <w:t>the phrase “bits B28”.</w:t>
            </w:r>
          </w:p>
          <w:p w14:paraId="205F5287" w14:textId="77777777" w:rsidR="00A2021B" w:rsidRPr="00C05E02" w:rsidRDefault="00A2021B">
            <w:pPr>
              <w:rPr>
                <w:sz w:val="20"/>
              </w:rPr>
            </w:pPr>
          </w:p>
        </w:tc>
      </w:tr>
      <w:tr w:rsidR="00A2021B" w:rsidRPr="00C05E02" w14:paraId="614A4B0B" w14:textId="77777777" w:rsidTr="00A2021B">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53566645" w14:textId="77777777" w:rsidR="00A2021B" w:rsidRPr="00C05E02" w:rsidRDefault="00A2021B">
            <w:pPr>
              <w:jc w:val="right"/>
              <w:rPr>
                <w:sz w:val="20"/>
              </w:rPr>
            </w:pPr>
            <w:r w:rsidRPr="00C05E02">
              <w:rPr>
                <w:sz w:val="20"/>
              </w:rPr>
              <w:t>3392</w:t>
            </w:r>
          </w:p>
        </w:tc>
        <w:tc>
          <w:tcPr>
            <w:tcW w:w="1044" w:type="dxa"/>
            <w:tcBorders>
              <w:top w:val="nil"/>
              <w:left w:val="nil"/>
              <w:bottom w:val="single" w:sz="4" w:space="0" w:color="333300"/>
              <w:right w:val="single" w:sz="4" w:space="0" w:color="333300"/>
            </w:tcBorders>
            <w:shd w:val="clear" w:color="auto" w:fill="auto"/>
            <w:hideMark/>
          </w:tcPr>
          <w:p w14:paraId="349E4952" w14:textId="77777777" w:rsidR="00A2021B" w:rsidRPr="00C05E02" w:rsidRDefault="00A2021B">
            <w:pPr>
              <w:rPr>
                <w:sz w:val="20"/>
              </w:rPr>
            </w:pPr>
            <w:r w:rsidRPr="00C05E02">
              <w:rPr>
                <w:sz w:val="20"/>
              </w:rPr>
              <w:t>9.3.1.19.1</w:t>
            </w:r>
          </w:p>
        </w:tc>
        <w:tc>
          <w:tcPr>
            <w:tcW w:w="810" w:type="dxa"/>
            <w:tcBorders>
              <w:top w:val="nil"/>
              <w:left w:val="nil"/>
              <w:bottom w:val="single" w:sz="4" w:space="0" w:color="333300"/>
              <w:right w:val="single" w:sz="4" w:space="0" w:color="333300"/>
            </w:tcBorders>
            <w:shd w:val="clear" w:color="auto" w:fill="auto"/>
            <w:hideMark/>
          </w:tcPr>
          <w:p w14:paraId="376FA9FA" w14:textId="77777777" w:rsidR="00A2021B" w:rsidRPr="00C05E02" w:rsidRDefault="00A2021B">
            <w:pPr>
              <w:rPr>
                <w:sz w:val="20"/>
              </w:rPr>
            </w:pPr>
            <w:r w:rsidRPr="00C05E02">
              <w:rPr>
                <w:sz w:val="20"/>
              </w:rPr>
              <w:t>29.06</w:t>
            </w:r>
          </w:p>
        </w:tc>
        <w:tc>
          <w:tcPr>
            <w:tcW w:w="1710" w:type="dxa"/>
            <w:tcBorders>
              <w:top w:val="nil"/>
              <w:left w:val="nil"/>
              <w:bottom w:val="single" w:sz="4" w:space="0" w:color="333300"/>
              <w:right w:val="single" w:sz="4" w:space="0" w:color="333300"/>
            </w:tcBorders>
            <w:shd w:val="clear" w:color="auto" w:fill="auto"/>
            <w:hideMark/>
          </w:tcPr>
          <w:p w14:paraId="51D8B7D5" w14:textId="77777777" w:rsidR="00A2021B" w:rsidRPr="00C05E02" w:rsidRDefault="00A2021B">
            <w:pPr>
              <w:rPr>
                <w:sz w:val="20"/>
              </w:rPr>
            </w:pPr>
            <w:r w:rsidRPr="00C05E02">
              <w:rPr>
                <w:sz w:val="20"/>
              </w:rPr>
              <w:t>Table9-42a has gone through several changes in 11be D4.0.</w:t>
            </w:r>
          </w:p>
        </w:tc>
        <w:tc>
          <w:tcPr>
            <w:tcW w:w="2700" w:type="dxa"/>
            <w:tcBorders>
              <w:top w:val="nil"/>
              <w:left w:val="nil"/>
              <w:bottom w:val="single" w:sz="4" w:space="0" w:color="333300"/>
              <w:right w:val="single" w:sz="4" w:space="0" w:color="333300"/>
            </w:tcBorders>
            <w:shd w:val="clear" w:color="auto" w:fill="auto"/>
            <w:hideMark/>
          </w:tcPr>
          <w:p w14:paraId="02114252" w14:textId="77777777" w:rsidR="00A2021B" w:rsidRPr="00C05E02" w:rsidRDefault="00A2021B">
            <w:pPr>
              <w:rPr>
                <w:sz w:val="20"/>
              </w:rPr>
            </w:pPr>
            <w:r w:rsidRPr="00C05E02">
              <w:rPr>
                <w:sz w:val="20"/>
              </w:rPr>
              <w:t>Align Table 9-42a with the 11be D4.0</w:t>
            </w:r>
          </w:p>
        </w:tc>
        <w:tc>
          <w:tcPr>
            <w:tcW w:w="3263" w:type="dxa"/>
            <w:tcBorders>
              <w:top w:val="nil"/>
              <w:left w:val="nil"/>
              <w:bottom w:val="single" w:sz="4" w:space="0" w:color="333300"/>
              <w:right w:val="single" w:sz="4" w:space="0" w:color="333300"/>
            </w:tcBorders>
            <w:shd w:val="clear" w:color="auto" w:fill="auto"/>
            <w:hideMark/>
          </w:tcPr>
          <w:p w14:paraId="6B29F264" w14:textId="77777777" w:rsidR="00A2021B" w:rsidRPr="00C05E02" w:rsidRDefault="00A2021B">
            <w:pPr>
              <w:rPr>
                <w:sz w:val="20"/>
              </w:rPr>
            </w:pPr>
            <w:r w:rsidRPr="00C05E02">
              <w:rPr>
                <w:sz w:val="20"/>
              </w:rPr>
              <w:t xml:space="preserve"> Revise </w:t>
            </w:r>
          </w:p>
          <w:p w14:paraId="4344E5C9" w14:textId="77777777" w:rsidR="00A2021B" w:rsidRPr="00C05E02" w:rsidRDefault="00A2021B">
            <w:pPr>
              <w:rPr>
                <w:sz w:val="20"/>
              </w:rPr>
            </w:pPr>
          </w:p>
          <w:p w14:paraId="45301960" w14:textId="74FFFC71" w:rsidR="00A2021B" w:rsidRPr="00C05E02" w:rsidRDefault="00000000">
            <w:pPr>
              <w:rPr>
                <w:sz w:val="20"/>
              </w:rPr>
            </w:pPr>
            <w:hyperlink r:id="rId10" w:history="1">
              <w:r w:rsidR="00612E03" w:rsidRPr="00700DD4">
                <w:rPr>
                  <w:rStyle w:val="Hyperlink"/>
                </w:rPr>
                <w:t>https://mentor.ieee.org/802.11/dcn/21/11-23-1456-02-00bf-LB276-Comment-Resolutions-for-Sensing-NDPA-Frame-Format</w:t>
              </w:r>
            </w:hyperlink>
            <w:r w:rsidR="00A2021B" w:rsidRPr="00C05E02">
              <w:rPr>
                <w:rStyle w:val="Hyperlink"/>
                <w:color w:val="000000"/>
              </w:rPr>
              <w:t>.docx</w:t>
            </w:r>
            <w:r w:rsidR="00A2021B" w:rsidRPr="00C05E02">
              <w:rPr>
                <w:sz w:val="20"/>
              </w:rPr>
              <w:t xml:space="preserve"> </w:t>
            </w:r>
          </w:p>
        </w:tc>
      </w:tr>
      <w:tr w:rsidR="00A2021B" w:rsidRPr="00C05E02" w14:paraId="564D3C43" w14:textId="77777777" w:rsidTr="00A2021B">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7A2DD6A9" w14:textId="77777777" w:rsidR="00A2021B" w:rsidRPr="00C05E02" w:rsidRDefault="00A2021B">
            <w:pPr>
              <w:jc w:val="right"/>
              <w:rPr>
                <w:sz w:val="20"/>
              </w:rPr>
            </w:pPr>
            <w:r w:rsidRPr="00C05E02">
              <w:rPr>
                <w:sz w:val="20"/>
              </w:rPr>
              <w:t>3527</w:t>
            </w:r>
          </w:p>
        </w:tc>
        <w:tc>
          <w:tcPr>
            <w:tcW w:w="1044" w:type="dxa"/>
            <w:tcBorders>
              <w:top w:val="nil"/>
              <w:left w:val="nil"/>
              <w:bottom w:val="single" w:sz="4" w:space="0" w:color="333300"/>
              <w:right w:val="single" w:sz="4" w:space="0" w:color="333300"/>
            </w:tcBorders>
            <w:shd w:val="clear" w:color="auto" w:fill="auto"/>
            <w:hideMark/>
          </w:tcPr>
          <w:p w14:paraId="4B91004A" w14:textId="77777777" w:rsidR="00A2021B" w:rsidRPr="00C05E02" w:rsidRDefault="00A2021B">
            <w:pPr>
              <w:rPr>
                <w:sz w:val="20"/>
              </w:rPr>
            </w:pPr>
            <w:r w:rsidRPr="00C05E02">
              <w:rPr>
                <w:sz w:val="20"/>
              </w:rPr>
              <w:t>9.3.1.19.1</w:t>
            </w:r>
          </w:p>
        </w:tc>
        <w:tc>
          <w:tcPr>
            <w:tcW w:w="810" w:type="dxa"/>
            <w:tcBorders>
              <w:top w:val="nil"/>
              <w:left w:val="nil"/>
              <w:bottom w:val="single" w:sz="4" w:space="0" w:color="333300"/>
              <w:right w:val="single" w:sz="4" w:space="0" w:color="333300"/>
            </w:tcBorders>
            <w:shd w:val="clear" w:color="auto" w:fill="auto"/>
            <w:hideMark/>
          </w:tcPr>
          <w:p w14:paraId="14C4EA22" w14:textId="77777777" w:rsidR="00A2021B" w:rsidRPr="00C05E02" w:rsidRDefault="00A2021B">
            <w:pPr>
              <w:rPr>
                <w:sz w:val="20"/>
              </w:rPr>
            </w:pPr>
            <w:r w:rsidRPr="00C05E02">
              <w:rPr>
                <w:sz w:val="20"/>
              </w:rPr>
              <w:t>31.32</w:t>
            </w:r>
          </w:p>
        </w:tc>
        <w:tc>
          <w:tcPr>
            <w:tcW w:w="1710" w:type="dxa"/>
            <w:tcBorders>
              <w:top w:val="nil"/>
              <w:left w:val="nil"/>
              <w:bottom w:val="single" w:sz="4" w:space="0" w:color="333300"/>
              <w:right w:val="single" w:sz="4" w:space="0" w:color="333300"/>
            </w:tcBorders>
            <w:shd w:val="clear" w:color="auto" w:fill="auto"/>
            <w:hideMark/>
          </w:tcPr>
          <w:p w14:paraId="6156C642" w14:textId="77777777" w:rsidR="00A2021B" w:rsidRPr="00C05E02" w:rsidRDefault="00A2021B">
            <w:pPr>
              <w:rPr>
                <w:sz w:val="20"/>
              </w:rPr>
            </w:pPr>
            <w:r w:rsidRPr="00C05E02">
              <w:rPr>
                <w:sz w:val="20"/>
              </w:rPr>
              <w:t>Is it " or " or "and"</w:t>
            </w:r>
          </w:p>
        </w:tc>
        <w:tc>
          <w:tcPr>
            <w:tcW w:w="2700" w:type="dxa"/>
            <w:tcBorders>
              <w:top w:val="nil"/>
              <w:left w:val="nil"/>
              <w:bottom w:val="single" w:sz="4" w:space="0" w:color="333300"/>
              <w:right w:val="single" w:sz="4" w:space="0" w:color="333300"/>
            </w:tcBorders>
            <w:shd w:val="clear" w:color="auto" w:fill="auto"/>
            <w:hideMark/>
          </w:tcPr>
          <w:p w14:paraId="5900BCC0" w14:textId="77777777" w:rsidR="00A2021B" w:rsidRPr="00C05E02" w:rsidRDefault="00A2021B">
            <w:pPr>
              <w:rPr>
                <w:sz w:val="20"/>
              </w:rPr>
            </w:pPr>
            <w:r w:rsidRPr="00C05E02">
              <w:rPr>
                <w:sz w:val="20"/>
              </w:rPr>
              <w:t>change to "Ranging NDP Announcement frame or Sensing NDP Announcement..."</w:t>
            </w:r>
          </w:p>
        </w:tc>
        <w:tc>
          <w:tcPr>
            <w:tcW w:w="3263" w:type="dxa"/>
            <w:tcBorders>
              <w:top w:val="nil"/>
              <w:left w:val="nil"/>
              <w:bottom w:val="single" w:sz="4" w:space="0" w:color="333300"/>
              <w:right w:val="single" w:sz="4" w:space="0" w:color="333300"/>
            </w:tcBorders>
            <w:shd w:val="clear" w:color="auto" w:fill="auto"/>
            <w:hideMark/>
          </w:tcPr>
          <w:p w14:paraId="0C55E560" w14:textId="77777777" w:rsidR="00A2021B" w:rsidRPr="00C05E02" w:rsidRDefault="00A2021B">
            <w:pPr>
              <w:rPr>
                <w:sz w:val="20"/>
              </w:rPr>
            </w:pPr>
            <w:r w:rsidRPr="00C05E02">
              <w:rPr>
                <w:sz w:val="20"/>
              </w:rPr>
              <w:t> Accept</w:t>
            </w:r>
          </w:p>
        </w:tc>
      </w:tr>
      <w:tr w:rsidR="00A2021B" w:rsidRPr="00C05E02" w14:paraId="6F24F958" w14:textId="77777777" w:rsidTr="00A2021B">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6C0DAC81" w14:textId="77777777" w:rsidR="00A2021B" w:rsidRPr="00C05E02" w:rsidRDefault="00A2021B">
            <w:pPr>
              <w:jc w:val="right"/>
              <w:rPr>
                <w:sz w:val="20"/>
              </w:rPr>
            </w:pPr>
            <w:r w:rsidRPr="00C05E02">
              <w:rPr>
                <w:sz w:val="20"/>
              </w:rPr>
              <w:t>3528</w:t>
            </w:r>
          </w:p>
        </w:tc>
        <w:tc>
          <w:tcPr>
            <w:tcW w:w="1044" w:type="dxa"/>
            <w:tcBorders>
              <w:top w:val="nil"/>
              <w:left w:val="nil"/>
              <w:bottom w:val="single" w:sz="4" w:space="0" w:color="333300"/>
              <w:right w:val="single" w:sz="4" w:space="0" w:color="333300"/>
            </w:tcBorders>
            <w:shd w:val="clear" w:color="auto" w:fill="auto"/>
            <w:hideMark/>
          </w:tcPr>
          <w:p w14:paraId="639FCCB8" w14:textId="77777777" w:rsidR="00A2021B" w:rsidRPr="00C05E02" w:rsidRDefault="00A2021B">
            <w:pPr>
              <w:rPr>
                <w:sz w:val="20"/>
              </w:rPr>
            </w:pPr>
            <w:r w:rsidRPr="00C05E02">
              <w:rPr>
                <w:sz w:val="20"/>
              </w:rPr>
              <w:t>9.3.1.19.5</w:t>
            </w:r>
          </w:p>
        </w:tc>
        <w:tc>
          <w:tcPr>
            <w:tcW w:w="810" w:type="dxa"/>
            <w:tcBorders>
              <w:top w:val="nil"/>
              <w:left w:val="nil"/>
              <w:bottom w:val="single" w:sz="4" w:space="0" w:color="333300"/>
              <w:right w:val="single" w:sz="4" w:space="0" w:color="333300"/>
            </w:tcBorders>
            <w:shd w:val="clear" w:color="auto" w:fill="auto"/>
            <w:hideMark/>
          </w:tcPr>
          <w:p w14:paraId="047D926D" w14:textId="77777777" w:rsidR="00A2021B" w:rsidRPr="00C05E02" w:rsidRDefault="00A2021B">
            <w:pPr>
              <w:rPr>
                <w:sz w:val="20"/>
              </w:rPr>
            </w:pPr>
            <w:r w:rsidRPr="00C05E02">
              <w:rPr>
                <w:sz w:val="20"/>
              </w:rPr>
              <w:t>32.45</w:t>
            </w:r>
          </w:p>
        </w:tc>
        <w:tc>
          <w:tcPr>
            <w:tcW w:w="1710" w:type="dxa"/>
            <w:tcBorders>
              <w:top w:val="nil"/>
              <w:left w:val="nil"/>
              <w:bottom w:val="single" w:sz="4" w:space="0" w:color="333300"/>
              <w:right w:val="single" w:sz="4" w:space="0" w:color="333300"/>
            </w:tcBorders>
            <w:shd w:val="clear" w:color="auto" w:fill="auto"/>
            <w:hideMark/>
          </w:tcPr>
          <w:p w14:paraId="6067226F" w14:textId="77777777" w:rsidR="00A2021B" w:rsidRPr="00C05E02" w:rsidRDefault="00A2021B">
            <w:pPr>
              <w:rPr>
                <w:sz w:val="20"/>
              </w:rPr>
            </w:pPr>
            <w:r w:rsidRPr="00C05E02">
              <w:rPr>
                <w:sz w:val="20"/>
              </w:rPr>
              <w:t>Does this sentence imply that a sensing NDP Announcement frame may main more one STA Infor field for one STA that is an intended recipient of this frame?</w:t>
            </w:r>
          </w:p>
        </w:tc>
        <w:tc>
          <w:tcPr>
            <w:tcW w:w="2700" w:type="dxa"/>
            <w:tcBorders>
              <w:top w:val="nil"/>
              <w:left w:val="nil"/>
              <w:bottom w:val="single" w:sz="4" w:space="0" w:color="333300"/>
              <w:right w:val="single" w:sz="4" w:space="0" w:color="333300"/>
            </w:tcBorders>
            <w:shd w:val="clear" w:color="auto" w:fill="auto"/>
            <w:hideMark/>
          </w:tcPr>
          <w:p w14:paraId="6FA0D70F" w14:textId="77777777" w:rsidR="00A2021B" w:rsidRPr="00C05E02" w:rsidRDefault="00A2021B">
            <w:pPr>
              <w:rPr>
                <w:sz w:val="20"/>
              </w:rPr>
            </w:pPr>
            <w:r w:rsidRPr="00C05E02">
              <w:rPr>
                <w:sz w:val="20"/>
              </w:rPr>
              <w:t>Please clarify this.</w:t>
            </w:r>
          </w:p>
        </w:tc>
        <w:tc>
          <w:tcPr>
            <w:tcW w:w="3263" w:type="dxa"/>
            <w:tcBorders>
              <w:top w:val="nil"/>
              <w:left w:val="nil"/>
              <w:bottom w:val="single" w:sz="4" w:space="0" w:color="333300"/>
              <w:right w:val="single" w:sz="4" w:space="0" w:color="333300"/>
            </w:tcBorders>
            <w:shd w:val="clear" w:color="auto" w:fill="auto"/>
            <w:hideMark/>
          </w:tcPr>
          <w:p w14:paraId="08675962" w14:textId="48C34949" w:rsidR="00A2021B" w:rsidRPr="00C05E02" w:rsidRDefault="005B5C57">
            <w:pPr>
              <w:rPr>
                <w:sz w:val="20"/>
              </w:rPr>
            </w:pPr>
            <w:r>
              <w:rPr>
                <w:sz w:val="20"/>
              </w:rPr>
              <w:t xml:space="preserve">Revise </w:t>
            </w:r>
          </w:p>
          <w:p w14:paraId="7FDCACAF" w14:textId="77777777" w:rsidR="00A2021B" w:rsidRPr="00C05E02" w:rsidRDefault="00A2021B">
            <w:pPr>
              <w:rPr>
                <w:sz w:val="20"/>
              </w:rPr>
            </w:pPr>
          </w:p>
          <w:p w14:paraId="4FD9BC98" w14:textId="5E921C1B" w:rsidR="00A2021B" w:rsidRPr="00C05E02" w:rsidRDefault="005B5C57">
            <w:pPr>
              <w:rPr>
                <w:sz w:val="20"/>
              </w:rPr>
            </w:pPr>
            <w:proofErr w:type="spellStart"/>
            <w:r>
              <w:rPr>
                <w:sz w:val="20"/>
              </w:rPr>
              <w:t>TG</w:t>
            </w:r>
            <w:r w:rsidR="00FD2B5D">
              <w:rPr>
                <w:sz w:val="20"/>
              </w:rPr>
              <w:t>bf</w:t>
            </w:r>
            <w:proofErr w:type="spellEnd"/>
            <w:r w:rsidR="00FD2B5D">
              <w:rPr>
                <w:sz w:val="20"/>
              </w:rPr>
              <w:t xml:space="preserve"> editor on P32L</w:t>
            </w:r>
            <w:r w:rsidR="002B6EE0">
              <w:rPr>
                <w:sz w:val="20"/>
              </w:rPr>
              <w:t xml:space="preserve">45 change the word “least” to “most”. </w:t>
            </w:r>
          </w:p>
        </w:tc>
      </w:tr>
      <w:tr w:rsidR="00344548" w:rsidRPr="00C05E02" w14:paraId="761C4FF0" w14:textId="77777777" w:rsidTr="00A2021B">
        <w:trPr>
          <w:trHeight w:val="1785"/>
        </w:trPr>
        <w:tc>
          <w:tcPr>
            <w:tcW w:w="661" w:type="dxa"/>
            <w:tcBorders>
              <w:top w:val="nil"/>
              <w:left w:val="single" w:sz="4" w:space="0" w:color="333300"/>
              <w:bottom w:val="single" w:sz="4" w:space="0" w:color="333300"/>
              <w:right w:val="single" w:sz="4" w:space="0" w:color="333300"/>
            </w:tcBorders>
            <w:shd w:val="clear" w:color="auto" w:fill="auto"/>
          </w:tcPr>
          <w:p w14:paraId="432D2A7F" w14:textId="4E270939" w:rsidR="00344548" w:rsidRPr="00C05E02" w:rsidRDefault="00344548">
            <w:pPr>
              <w:jc w:val="right"/>
              <w:rPr>
                <w:sz w:val="20"/>
              </w:rPr>
            </w:pPr>
            <w:r>
              <w:rPr>
                <w:sz w:val="20"/>
              </w:rPr>
              <w:t>3393</w:t>
            </w:r>
          </w:p>
        </w:tc>
        <w:tc>
          <w:tcPr>
            <w:tcW w:w="1044" w:type="dxa"/>
            <w:tcBorders>
              <w:top w:val="nil"/>
              <w:left w:val="nil"/>
              <w:bottom w:val="single" w:sz="4" w:space="0" w:color="333300"/>
              <w:right w:val="single" w:sz="4" w:space="0" w:color="333300"/>
            </w:tcBorders>
            <w:shd w:val="clear" w:color="auto" w:fill="auto"/>
          </w:tcPr>
          <w:p w14:paraId="36C42061" w14:textId="72B0C021" w:rsidR="00344548" w:rsidRPr="00C05E02" w:rsidRDefault="00FA64EB">
            <w:pPr>
              <w:rPr>
                <w:sz w:val="20"/>
              </w:rPr>
            </w:pPr>
            <w:r w:rsidRPr="00FA64EB">
              <w:rPr>
                <w:sz w:val="20"/>
              </w:rPr>
              <w:t>9.3.1.19.5</w:t>
            </w:r>
          </w:p>
        </w:tc>
        <w:tc>
          <w:tcPr>
            <w:tcW w:w="810" w:type="dxa"/>
            <w:tcBorders>
              <w:top w:val="nil"/>
              <w:left w:val="nil"/>
              <w:bottom w:val="single" w:sz="4" w:space="0" w:color="333300"/>
              <w:right w:val="single" w:sz="4" w:space="0" w:color="333300"/>
            </w:tcBorders>
            <w:shd w:val="clear" w:color="auto" w:fill="auto"/>
          </w:tcPr>
          <w:p w14:paraId="1D1B05B4" w14:textId="350BD7D7" w:rsidR="00344548" w:rsidRPr="00C05E02" w:rsidRDefault="00FA64EB">
            <w:pPr>
              <w:rPr>
                <w:sz w:val="20"/>
              </w:rPr>
            </w:pPr>
            <w:r>
              <w:rPr>
                <w:sz w:val="20"/>
              </w:rPr>
              <w:t>32.45</w:t>
            </w:r>
          </w:p>
        </w:tc>
        <w:tc>
          <w:tcPr>
            <w:tcW w:w="1710" w:type="dxa"/>
            <w:tcBorders>
              <w:top w:val="nil"/>
              <w:left w:val="nil"/>
              <w:bottom w:val="single" w:sz="4" w:space="0" w:color="333300"/>
              <w:right w:val="single" w:sz="4" w:space="0" w:color="333300"/>
            </w:tcBorders>
            <w:shd w:val="clear" w:color="auto" w:fill="auto"/>
          </w:tcPr>
          <w:p w14:paraId="30B6836A" w14:textId="37F24D87" w:rsidR="00344548" w:rsidRPr="00C05E02" w:rsidRDefault="00FA64EB">
            <w:pPr>
              <w:rPr>
                <w:sz w:val="20"/>
              </w:rPr>
            </w:pPr>
            <w:r w:rsidRPr="00FA64EB">
              <w:rPr>
                <w:sz w:val="20"/>
              </w:rPr>
              <w:t xml:space="preserve">The sentence "A Sensing NDP Announcement frame contains at least one STA Info field with an AID11 subfield less than 2008 per STA that is an intended recipient of this frame" is confusing and may be wrongly interpreted that a Sensing NDPA frame may contain one or more STA Info field "per STA". Also it is stated in 11be D4.0 that "An NDP Announcement frame contains at </w:t>
            </w:r>
            <w:r w:rsidRPr="00FA64EB">
              <w:rPr>
                <w:sz w:val="20"/>
              </w:rPr>
              <w:lastRenderedPageBreak/>
              <w:t>most one STA Info field per STA."</w:t>
            </w:r>
          </w:p>
        </w:tc>
        <w:tc>
          <w:tcPr>
            <w:tcW w:w="2700" w:type="dxa"/>
            <w:tcBorders>
              <w:top w:val="nil"/>
              <w:left w:val="nil"/>
              <w:bottom w:val="single" w:sz="4" w:space="0" w:color="333300"/>
              <w:right w:val="single" w:sz="4" w:space="0" w:color="333300"/>
            </w:tcBorders>
            <w:shd w:val="clear" w:color="auto" w:fill="auto"/>
          </w:tcPr>
          <w:p w14:paraId="64DC35C0" w14:textId="6C49CF15" w:rsidR="00344548" w:rsidRPr="00C05E02" w:rsidRDefault="0016740E">
            <w:pPr>
              <w:rPr>
                <w:sz w:val="20"/>
              </w:rPr>
            </w:pPr>
            <w:r w:rsidRPr="0016740E">
              <w:rPr>
                <w:sz w:val="20"/>
              </w:rPr>
              <w:lastRenderedPageBreak/>
              <w:t>remove "per STA"</w:t>
            </w:r>
          </w:p>
        </w:tc>
        <w:tc>
          <w:tcPr>
            <w:tcW w:w="3263" w:type="dxa"/>
            <w:tcBorders>
              <w:top w:val="nil"/>
              <w:left w:val="nil"/>
              <w:bottom w:val="single" w:sz="4" w:space="0" w:color="333300"/>
              <w:right w:val="single" w:sz="4" w:space="0" w:color="333300"/>
            </w:tcBorders>
            <w:shd w:val="clear" w:color="auto" w:fill="auto"/>
          </w:tcPr>
          <w:p w14:paraId="6578BDE3" w14:textId="77777777" w:rsidR="0016740E" w:rsidRPr="00C05E02" w:rsidRDefault="0016740E" w:rsidP="0016740E">
            <w:pPr>
              <w:rPr>
                <w:sz w:val="20"/>
              </w:rPr>
            </w:pPr>
            <w:r>
              <w:rPr>
                <w:sz w:val="20"/>
              </w:rPr>
              <w:t xml:space="preserve">Revise </w:t>
            </w:r>
          </w:p>
          <w:p w14:paraId="6419880D" w14:textId="77777777" w:rsidR="0016740E" w:rsidRPr="00C05E02" w:rsidRDefault="0016740E" w:rsidP="0016740E">
            <w:pPr>
              <w:rPr>
                <w:sz w:val="20"/>
              </w:rPr>
            </w:pPr>
          </w:p>
          <w:p w14:paraId="6F06E216" w14:textId="42854BB7" w:rsidR="00344548" w:rsidRDefault="0016740E" w:rsidP="0016740E">
            <w:pPr>
              <w:rPr>
                <w:sz w:val="20"/>
              </w:rPr>
            </w:pPr>
            <w:proofErr w:type="spellStart"/>
            <w:r>
              <w:rPr>
                <w:sz w:val="20"/>
              </w:rPr>
              <w:t>TGbf</w:t>
            </w:r>
            <w:proofErr w:type="spellEnd"/>
            <w:r>
              <w:rPr>
                <w:sz w:val="20"/>
              </w:rPr>
              <w:t xml:space="preserve"> editor on P32L45 change the word “least” to “most”.</w:t>
            </w:r>
          </w:p>
        </w:tc>
      </w:tr>
      <w:tr w:rsidR="00A2021B" w:rsidRPr="00C05E02" w14:paraId="4F1105EE" w14:textId="77777777" w:rsidTr="00882B2D">
        <w:trPr>
          <w:trHeight w:val="881"/>
        </w:trPr>
        <w:tc>
          <w:tcPr>
            <w:tcW w:w="661" w:type="dxa"/>
            <w:tcBorders>
              <w:top w:val="nil"/>
              <w:left w:val="single" w:sz="4" w:space="0" w:color="333300"/>
              <w:bottom w:val="single" w:sz="4" w:space="0" w:color="333300"/>
              <w:right w:val="single" w:sz="4" w:space="0" w:color="333300"/>
            </w:tcBorders>
            <w:shd w:val="clear" w:color="auto" w:fill="auto"/>
            <w:hideMark/>
          </w:tcPr>
          <w:p w14:paraId="787E94E9" w14:textId="77777777" w:rsidR="00A2021B" w:rsidRPr="00C05E02" w:rsidRDefault="00A2021B">
            <w:pPr>
              <w:jc w:val="right"/>
              <w:rPr>
                <w:sz w:val="20"/>
              </w:rPr>
            </w:pPr>
            <w:r w:rsidRPr="00C05E02">
              <w:rPr>
                <w:sz w:val="20"/>
              </w:rPr>
              <w:t>3529</w:t>
            </w:r>
          </w:p>
        </w:tc>
        <w:tc>
          <w:tcPr>
            <w:tcW w:w="1044" w:type="dxa"/>
            <w:tcBorders>
              <w:top w:val="nil"/>
              <w:left w:val="nil"/>
              <w:bottom w:val="single" w:sz="4" w:space="0" w:color="333300"/>
              <w:right w:val="single" w:sz="4" w:space="0" w:color="333300"/>
            </w:tcBorders>
            <w:shd w:val="clear" w:color="auto" w:fill="auto"/>
            <w:hideMark/>
          </w:tcPr>
          <w:p w14:paraId="2B2396DF" w14:textId="77777777" w:rsidR="00A2021B" w:rsidRPr="00C05E02" w:rsidRDefault="00A2021B">
            <w:pPr>
              <w:rPr>
                <w:sz w:val="20"/>
              </w:rPr>
            </w:pPr>
            <w:r w:rsidRPr="00C05E02">
              <w:rPr>
                <w:sz w:val="20"/>
              </w:rPr>
              <w:t>9.3.1.19.5</w:t>
            </w:r>
          </w:p>
        </w:tc>
        <w:tc>
          <w:tcPr>
            <w:tcW w:w="810" w:type="dxa"/>
            <w:tcBorders>
              <w:top w:val="nil"/>
              <w:left w:val="nil"/>
              <w:bottom w:val="single" w:sz="4" w:space="0" w:color="333300"/>
              <w:right w:val="single" w:sz="4" w:space="0" w:color="333300"/>
            </w:tcBorders>
            <w:shd w:val="clear" w:color="auto" w:fill="auto"/>
            <w:hideMark/>
          </w:tcPr>
          <w:p w14:paraId="0F5FB5F7" w14:textId="77777777" w:rsidR="00A2021B" w:rsidRPr="00C05E02" w:rsidRDefault="00A2021B">
            <w:pPr>
              <w:rPr>
                <w:sz w:val="20"/>
              </w:rPr>
            </w:pPr>
            <w:r w:rsidRPr="00C05E02">
              <w:rPr>
                <w:sz w:val="20"/>
              </w:rPr>
              <w:t>32.64</w:t>
            </w:r>
          </w:p>
        </w:tc>
        <w:tc>
          <w:tcPr>
            <w:tcW w:w="1710" w:type="dxa"/>
            <w:tcBorders>
              <w:top w:val="nil"/>
              <w:left w:val="nil"/>
              <w:bottom w:val="single" w:sz="4" w:space="0" w:color="333300"/>
              <w:right w:val="single" w:sz="4" w:space="0" w:color="333300"/>
            </w:tcBorders>
            <w:shd w:val="clear" w:color="auto" w:fill="auto"/>
            <w:hideMark/>
          </w:tcPr>
          <w:p w14:paraId="65D48D1C" w14:textId="77777777" w:rsidR="00A2021B" w:rsidRPr="00C05E02" w:rsidRDefault="00A2021B">
            <w:pPr>
              <w:rPr>
                <w:sz w:val="20"/>
              </w:rPr>
            </w:pPr>
            <w:r w:rsidRPr="00C05E02">
              <w:rPr>
                <w:sz w:val="20"/>
              </w:rPr>
              <w:t>It is a bit contradictory here. It is illustrated in line 50, the RA field is set to the address of that STA, which is an AP in a non-TB sensing measurement exchange. However, it is illustrated in line 64 that the intended recipient is identified by the RA field and the AID11 subfield is set to 0 in the case of a non-TB sensing measurement exchange. Does this imply that the address of the AP is 0 no matter what AP is?</w:t>
            </w:r>
          </w:p>
        </w:tc>
        <w:tc>
          <w:tcPr>
            <w:tcW w:w="2700" w:type="dxa"/>
            <w:tcBorders>
              <w:top w:val="nil"/>
              <w:left w:val="nil"/>
              <w:bottom w:val="single" w:sz="4" w:space="0" w:color="333300"/>
              <w:right w:val="single" w:sz="4" w:space="0" w:color="333300"/>
            </w:tcBorders>
            <w:shd w:val="clear" w:color="auto" w:fill="auto"/>
            <w:hideMark/>
          </w:tcPr>
          <w:p w14:paraId="263656D9" w14:textId="77777777" w:rsidR="00A2021B" w:rsidRPr="00C05E02" w:rsidRDefault="00A2021B">
            <w:pPr>
              <w:rPr>
                <w:sz w:val="20"/>
              </w:rPr>
            </w:pPr>
            <w:r w:rsidRPr="00C05E02">
              <w:rPr>
                <w:sz w:val="20"/>
              </w:rPr>
              <w:t>Please clarify this.</w:t>
            </w:r>
          </w:p>
        </w:tc>
        <w:tc>
          <w:tcPr>
            <w:tcW w:w="3263" w:type="dxa"/>
            <w:tcBorders>
              <w:top w:val="nil"/>
              <w:left w:val="nil"/>
              <w:bottom w:val="single" w:sz="4" w:space="0" w:color="333300"/>
              <w:right w:val="single" w:sz="4" w:space="0" w:color="333300"/>
            </w:tcBorders>
            <w:shd w:val="clear" w:color="auto" w:fill="auto"/>
            <w:hideMark/>
          </w:tcPr>
          <w:p w14:paraId="0DAE76FC" w14:textId="77777777" w:rsidR="00A2021B" w:rsidRPr="00C05E02" w:rsidRDefault="00A2021B">
            <w:pPr>
              <w:rPr>
                <w:sz w:val="20"/>
              </w:rPr>
            </w:pPr>
            <w:r w:rsidRPr="00C05E02">
              <w:rPr>
                <w:sz w:val="20"/>
              </w:rPr>
              <w:t> Reject</w:t>
            </w:r>
          </w:p>
          <w:p w14:paraId="79176534" w14:textId="77777777" w:rsidR="00A2021B" w:rsidRPr="00C05E02" w:rsidRDefault="00A2021B">
            <w:pPr>
              <w:rPr>
                <w:sz w:val="20"/>
              </w:rPr>
            </w:pPr>
          </w:p>
          <w:p w14:paraId="11927CEC" w14:textId="77777777" w:rsidR="00A2021B" w:rsidRPr="00C05E02" w:rsidRDefault="00A2021B">
            <w:pPr>
              <w:rPr>
                <w:sz w:val="20"/>
              </w:rPr>
            </w:pPr>
            <w:r w:rsidRPr="00C05E02">
              <w:rPr>
                <w:sz w:val="20"/>
              </w:rPr>
              <w:t xml:space="preserve">The below quoted text by the commenter </w:t>
            </w:r>
          </w:p>
          <w:p w14:paraId="3BCF151E" w14:textId="77777777" w:rsidR="00A2021B" w:rsidRPr="00C05E02" w:rsidRDefault="00A2021B">
            <w:pPr>
              <w:rPr>
                <w:sz w:val="20"/>
              </w:rPr>
            </w:pPr>
          </w:p>
          <w:p w14:paraId="126A0042" w14:textId="77777777" w:rsidR="00A2021B" w:rsidRPr="00C05E02" w:rsidRDefault="00A2021B">
            <w:pPr>
              <w:rPr>
                <w:color w:val="000000"/>
                <w:sz w:val="20"/>
              </w:rPr>
            </w:pPr>
            <w:r w:rsidRPr="00C05E02">
              <w:rPr>
                <w:sz w:val="20"/>
              </w:rPr>
              <w:t>“</w:t>
            </w:r>
            <w:proofErr w:type="spellStart"/>
            <w:r w:rsidRPr="00C05E02">
              <w:rPr>
                <w:color w:val="000000"/>
                <w:sz w:val="20"/>
              </w:rPr>
              <w:t>the</w:t>
            </w:r>
            <w:proofErr w:type="spellEnd"/>
            <w:r w:rsidRPr="00C05E02">
              <w:rPr>
                <w:color w:val="000000"/>
                <w:sz w:val="20"/>
              </w:rPr>
              <w:t xml:space="preserve"> intended recipient is identified by the RA field and the AID11 subfield is set to 0”</w:t>
            </w:r>
          </w:p>
          <w:p w14:paraId="0798AE16" w14:textId="77777777" w:rsidR="00A2021B" w:rsidRPr="00C05E02" w:rsidRDefault="00A2021B">
            <w:pPr>
              <w:rPr>
                <w:color w:val="000000"/>
                <w:sz w:val="20"/>
              </w:rPr>
            </w:pPr>
          </w:p>
          <w:p w14:paraId="075B27C3" w14:textId="2E0D8445" w:rsidR="00A2021B" w:rsidRPr="00C05E02" w:rsidRDefault="009C4096">
            <w:pPr>
              <w:rPr>
                <w:sz w:val="20"/>
              </w:rPr>
            </w:pPr>
            <w:r>
              <w:rPr>
                <w:color w:val="000000"/>
                <w:sz w:val="20"/>
              </w:rPr>
              <w:t xml:space="preserve">Which does not </w:t>
            </w:r>
            <w:r w:rsidR="00A2021B" w:rsidRPr="00C05E02">
              <w:rPr>
                <w:color w:val="000000"/>
                <w:sz w:val="20"/>
              </w:rPr>
              <w:t>imply that RA is set to zero but rather only AID11 set to 0. The RA field is the MAC address of the AP in this case.</w:t>
            </w:r>
            <w:r w:rsidR="00A2021B" w:rsidRPr="00C05E02">
              <w:rPr>
                <w:sz w:val="20"/>
              </w:rPr>
              <w:t xml:space="preserve"> </w:t>
            </w:r>
          </w:p>
        </w:tc>
      </w:tr>
      <w:tr w:rsidR="00A2021B" w:rsidRPr="00C05E02" w14:paraId="765880EE" w14:textId="77777777" w:rsidTr="00882B2D">
        <w:trPr>
          <w:trHeight w:val="2204"/>
        </w:trPr>
        <w:tc>
          <w:tcPr>
            <w:tcW w:w="661" w:type="dxa"/>
            <w:tcBorders>
              <w:top w:val="nil"/>
              <w:left w:val="single" w:sz="4" w:space="0" w:color="333300"/>
              <w:bottom w:val="single" w:sz="4" w:space="0" w:color="333300"/>
              <w:right w:val="single" w:sz="4" w:space="0" w:color="333300"/>
            </w:tcBorders>
            <w:shd w:val="clear" w:color="auto" w:fill="auto"/>
            <w:hideMark/>
          </w:tcPr>
          <w:p w14:paraId="5B1D6E1A" w14:textId="77777777" w:rsidR="00A2021B" w:rsidRPr="00C05E02" w:rsidRDefault="00A2021B">
            <w:pPr>
              <w:jc w:val="right"/>
              <w:rPr>
                <w:sz w:val="20"/>
              </w:rPr>
            </w:pPr>
            <w:r w:rsidRPr="00C05E02">
              <w:rPr>
                <w:sz w:val="20"/>
              </w:rPr>
              <w:t>3531</w:t>
            </w:r>
          </w:p>
        </w:tc>
        <w:tc>
          <w:tcPr>
            <w:tcW w:w="1044" w:type="dxa"/>
            <w:tcBorders>
              <w:top w:val="nil"/>
              <w:left w:val="nil"/>
              <w:bottom w:val="single" w:sz="4" w:space="0" w:color="333300"/>
              <w:right w:val="single" w:sz="4" w:space="0" w:color="333300"/>
            </w:tcBorders>
            <w:shd w:val="clear" w:color="auto" w:fill="auto"/>
            <w:hideMark/>
          </w:tcPr>
          <w:p w14:paraId="1315B1D7" w14:textId="77777777" w:rsidR="00A2021B" w:rsidRPr="00C05E02" w:rsidRDefault="00A2021B">
            <w:pPr>
              <w:rPr>
                <w:sz w:val="20"/>
              </w:rPr>
            </w:pPr>
            <w:r w:rsidRPr="00C05E02">
              <w:rPr>
                <w:sz w:val="20"/>
              </w:rPr>
              <w:t>9.3.1.19.5</w:t>
            </w:r>
          </w:p>
        </w:tc>
        <w:tc>
          <w:tcPr>
            <w:tcW w:w="810" w:type="dxa"/>
            <w:tcBorders>
              <w:top w:val="nil"/>
              <w:left w:val="nil"/>
              <w:bottom w:val="single" w:sz="4" w:space="0" w:color="333300"/>
              <w:right w:val="single" w:sz="4" w:space="0" w:color="333300"/>
            </w:tcBorders>
            <w:shd w:val="clear" w:color="auto" w:fill="auto"/>
            <w:hideMark/>
          </w:tcPr>
          <w:p w14:paraId="42544924" w14:textId="77777777" w:rsidR="00A2021B" w:rsidRPr="00C05E02" w:rsidRDefault="00A2021B">
            <w:pPr>
              <w:rPr>
                <w:sz w:val="20"/>
              </w:rPr>
            </w:pPr>
            <w:r w:rsidRPr="00C05E02">
              <w:rPr>
                <w:sz w:val="20"/>
              </w:rPr>
              <w:t>34.40</w:t>
            </w:r>
          </w:p>
        </w:tc>
        <w:tc>
          <w:tcPr>
            <w:tcW w:w="1710" w:type="dxa"/>
            <w:tcBorders>
              <w:top w:val="nil"/>
              <w:left w:val="nil"/>
              <w:bottom w:val="single" w:sz="4" w:space="0" w:color="333300"/>
              <w:right w:val="single" w:sz="4" w:space="0" w:color="333300"/>
            </w:tcBorders>
            <w:shd w:val="clear" w:color="auto" w:fill="auto"/>
            <w:hideMark/>
          </w:tcPr>
          <w:p w14:paraId="3686C138" w14:textId="77777777" w:rsidR="00A2021B" w:rsidRPr="00C05E02" w:rsidRDefault="00A2021B">
            <w:pPr>
              <w:rPr>
                <w:sz w:val="20"/>
              </w:rPr>
            </w:pPr>
            <w:r w:rsidRPr="00C05E02">
              <w:rPr>
                <w:sz w:val="20"/>
              </w:rPr>
              <w:t>What is the setting of B28 to B30 if bit  B31 is set to 0 in the STA Info field with AID11 subfield equal to 2045?</w:t>
            </w:r>
          </w:p>
        </w:tc>
        <w:tc>
          <w:tcPr>
            <w:tcW w:w="2700" w:type="dxa"/>
            <w:tcBorders>
              <w:top w:val="nil"/>
              <w:left w:val="nil"/>
              <w:bottom w:val="single" w:sz="4" w:space="0" w:color="333300"/>
              <w:right w:val="single" w:sz="4" w:space="0" w:color="333300"/>
            </w:tcBorders>
            <w:shd w:val="clear" w:color="auto" w:fill="auto"/>
            <w:hideMark/>
          </w:tcPr>
          <w:p w14:paraId="6AAF64B2" w14:textId="77777777" w:rsidR="00A2021B" w:rsidRPr="00C05E02" w:rsidRDefault="00A2021B">
            <w:pPr>
              <w:rPr>
                <w:sz w:val="20"/>
              </w:rPr>
            </w:pPr>
            <w:r w:rsidRPr="00C05E02">
              <w:rPr>
                <w:sz w:val="20"/>
              </w:rPr>
              <w:t>Please add the clarification when bit B31 is set to 0 in the STA Info field with AID11 subfield equal to 2045.</w:t>
            </w:r>
          </w:p>
        </w:tc>
        <w:tc>
          <w:tcPr>
            <w:tcW w:w="3263" w:type="dxa"/>
            <w:tcBorders>
              <w:top w:val="nil"/>
              <w:left w:val="nil"/>
              <w:bottom w:val="single" w:sz="4" w:space="0" w:color="333300"/>
              <w:right w:val="single" w:sz="4" w:space="0" w:color="333300"/>
            </w:tcBorders>
            <w:shd w:val="clear" w:color="auto" w:fill="auto"/>
            <w:hideMark/>
          </w:tcPr>
          <w:p w14:paraId="65B6FB52" w14:textId="77777777" w:rsidR="00A2021B" w:rsidRPr="00C05E02" w:rsidRDefault="00A2021B">
            <w:pPr>
              <w:rPr>
                <w:sz w:val="20"/>
              </w:rPr>
            </w:pPr>
            <w:r w:rsidRPr="00C05E02">
              <w:rPr>
                <w:sz w:val="20"/>
              </w:rPr>
              <w:t> Reject</w:t>
            </w:r>
          </w:p>
          <w:p w14:paraId="37D45FE4" w14:textId="77777777" w:rsidR="00A2021B" w:rsidRPr="00C05E02" w:rsidRDefault="00A2021B">
            <w:pPr>
              <w:rPr>
                <w:sz w:val="20"/>
              </w:rPr>
            </w:pPr>
          </w:p>
          <w:p w14:paraId="696F8544" w14:textId="58FE9977" w:rsidR="00A2021B" w:rsidRPr="00C05E02" w:rsidRDefault="00A2021B">
            <w:pPr>
              <w:rPr>
                <w:sz w:val="20"/>
              </w:rPr>
            </w:pPr>
            <w:r w:rsidRPr="00C05E02">
              <w:rPr>
                <w:sz w:val="20"/>
              </w:rPr>
              <w:t xml:space="preserve">The STA Info with AID11 set to 2045 with B31 not set to 1 is used in the ranging measurement exchange where the format is already shown in Figure 9-61h (802.11az-2022) </w:t>
            </w:r>
            <w:r w:rsidR="00D402C6">
              <w:rPr>
                <w:sz w:val="20"/>
              </w:rPr>
              <w:t>and</w:t>
            </w:r>
            <w:r w:rsidRPr="00C05E02">
              <w:rPr>
                <w:sz w:val="20"/>
              </w:rPr>
              <w:t xml:space="preserve"> B28-B31 are reserved.</w:t>
            </w:r>
          </w:p>
        </w:tc>
      </w:tr>
      <w:tr w:rsidR="00A2021B" w:rsidRPr="00C05E02" w14:paraId="169C3798" w14:textId="77777777" w:rsidTr="00A2021B">
        <w:trPr>
          <w:trHeight w:val="1275"/>
        </w:trPr>
        <w:tc>
          <w:tcPr>
            <w:tcW w:w="661" w:type="dxa"/>
            <w:tcBorders>
              <w:top w:val="nil"/>
              <w:left w:val="single" w:sz="4" w:space="0" w:color="333300"/>
              <w:bottom w:val="single" w:sz="4" w:space="0" w:color="333300"/>
              <w:right w:val="single" w:sz="4" w:space="0" w:color="333300"/>
            </w:tcBorders>
            <w:shd w:val="clear" w:color="auto" w:fill="auto"/>
          </w:tcPr>
          <w:p w14:paraId="3C5714A3" w14:textId="77777777" w:rsidR="00A2021B" w:rsidRPr="00C05E02" w:rsidRDefault="00A2021B">
            <w:pPr>
              <w:jc w:val="right"/>
              <w:rPr>
                <w:sz w:val="20"/>
              </w:rPr>
            </w:pPr>
            <w:r w:rsidRPr="00C05E02">
              <w:rPr>
                <w:sz w:val="20"/>
              </w:rPr>
              <w:t>3414</w:t>
            </w:r>
          </w:p>
        </w:tc>
        <w:tc>
          <w:tcPr>
            <w:tcW w:w="1044" w:type="dxa"/>
            <w:tcBorders>
              <w:top w:val="nil"/>
              <w:left w:val="nil"/>
              <w:bottom w:val="single" w:sz="4" w:space="0" w:color="333300"/>
              <w:right w:val="single" w:sz="4" w:space="0" w:color="333300"/>
            </w:tcBorders>
            <w:shd w:val="clear" w:color="auto" w:fill="auto"/>
          </w:tcPr>
          <w:p w14:paraId="73BF7386" w14:textId="77777777" w:rsidR="00A2021B" w:rsidRPr="00C05E02" w:rsidRDefault="00A2021B">
            <w:pPr>
              <w:rPr>
                <w:sz w:val="20"/>
              </w:rPr>
            </w:pPr>
            <w:r w:rsidRPr="00C05E02">
              <w:rPr>
                <w:sz w:val="20"/>
              </w:rPr>
              <w:t>11.55.1.5.2.1</w:t>
            </w:r>
          </w:p>
        </w:tc>
        <w:tc>
          <w:tcPr>
            <w:tcW w:w="810" w:type="dxa"/>
            <w:tcBorders>
              <w:top w:val="nil"/>
              <w:left w:val="nil"/>
              <w:bottom w:val="single" w:sz="4" w:space="0" w:color="333300"/>
              <w:right w:val="single" w:sz="4" w:space="0" w:color="333300"/>
            </w:tcBorders>
            <w:shd w:val="clear" w:color="auto" w:fill="auto"/>
          </w:tcPr>
          <w:p w14:paraId="12BFD25F" w14:textId="77777777" w:rsidR="00A2021B" w:rsidRPr="00C05E02" w:rsidRDefault="00A2021B">
            <w:pPr>
              <w:rPr>
                <w:sz w:val="20"/>
              </w:rPr>
            </w:pPr>
            <w:r w:rsidRPr="00C05E02">
              <w:rPr>
                <w:sz w:val="20"/>
              </w:rPr>
              <w:t>143.51</w:t>
            </w:r>
          </w:p>
        </w:tc>
        <w:tc>
          <w:tcPr>
            <w:tcW w:w="1710" w:type="dxa"/>
            <w:tcBorders>
              <w:top w:val="nil"/>
              <w:left w:val="nil"/>
              <w:bottom w:val="single" w:sz="4" w:space="0" w:color="333300"/>
              <w:right w:val="single" w:sz="4" w:space="0" w:color="333300"/>
            </w:tcBorders>
            <w:shd w:val="clear" w:color="auto" w:fill="auto"/>
          </w:tcPr>
          <w:p w14:paraId="63F62F32" w14:textId="77777777" w:rsidR="00A2021B" w:rsidRPr="00C05E02" w:rsidRDefault="00A2021B">
            <w:pPr>
              <w:rPr>
                <w:sz w:val="20"/>
              </w:rPr>
            </w:pPr>
            <w:r w:rsidRPr="00C05E02">
              <w:rPr>
                <w:sz w:val="20"/>
              </w:rPr>
              <w:t>It is not allowed to perform NDPA sounding in TB sensing measurement exchanges without reporting and polling phases. If neither of them is needed, one of them has to be included what decreases efficiency.</w:t>
            </w:r>
          </w:p>
        </w:tc>
        <w:tc>
          <w:tcPr>
            <w:tcW w:w="2700" w:type="dxa"/>
            <w:tcBorders>
              <w:top w:val="nil"/>
              <w:left w:val="nil"/>
              <w:bottom w:val="single" w:sz="4" w:space="0" w:color="333300"/>
              <w:right w:val="single" w:sz="4" w:space="0" w:color="333300"/>
            </w:tcBorders>
            <w:shd w:val="clear" w:color="auto" w:fill="auto"/>
          </w:tcPr>
          <w:p w14:paraId="767D8334" w14:textId="77777777" w:rsidR="00A2021B" w:rsidRPr="00C05E02" w:rsidRDefault="00A2021B">
            <w:pPr>
              <w:rPr>
                <w:sz w:val="20"/>
              </w:rPr>
            </w:pPr>
            <w:r w:rsidRPr="00C05E02">
              <w:rPr>
                <w:sz w:val="20"/>
              </w:rPr>
              <w:t>Allow a TB sensing measurement exchange that only consists of an NDPA sounding phase.</w:t>
            </w:r>
          </w:p>
        </w:tc>
        <w:tc>
          <w:tcPr>
            <w:tcW w:w="3263" w:type="dxa"/>
            <w:tcBorders>
              <w:top w:val="nil"/>
              <w:left w:val="nil"/>
              <w:bottom w:val="single" w:sz="4" w:space="0" w:color="333300"/>
              <w:right w:val="single" w:sz="4" w:space="0" w:color="333300"/>
            </w:tcBorders>
            <w:shd w:val="clear" w:color="auto" w:fill="auto"/>
          </w:tcPr>
          <w:p w14:paraId="481F4D43" w14:textId="39824324" w:rsidR="00A2021B" w:rsidRPr="00C05E02" w:rsidRDefault="00793E40">
            <w:pPr>
              <w:rPr>
                <w:sz w:val="20"/>
              </w:rPr>
            </w:pPr>
            <w:r>
              <w:rPr>
                <w:sz w:val="20"/>
              </w:rPr>
              <w:t>Revise</w:t>
            </w:r>
          </w:p>
          <w:p w14:paraId="73E3E86A" w14:textId="77777777" w:rsidR="00A2021B" w:rsidRPr="00C05E02" w:rsidRDefault="00A2021B">
            <w:pPr>
              <w:rPr>
                <w:sz w:val="20"/>
              </w:rPr>
            </w:pPr>
          </w:p>
          <w:p w14:paraId="09582BFD" w14:textId="4603EF26" w:rsidR="00531EB5" w:rsidRPr="00C05E02" w:rsidRDefault="00000000">
            <w:pPr>
              <w:rPr>
                <w:sz w:val="20"/>
              </w:rPr>
            </w:pPr>
            <w:hyperlink r:id="rId11" w:history="1">
              <w:r w:rsidR="00612E03" w:rsidRPr="00700DD4">
                <w:rPr>
                  <w:rStyle w:val="Hyperlink"/>
                </w:rPr>
                <w:t>https://mentor.ieee.org/802.11/dcn/21/11-23-1456-02-00bf-LB276-Comment-Resolutions-for-Sensing-NDPA-Frame-Format</w:t>
              </w:r>
            </w:hyperlink>
            <w:r w:rsidR="00612E03" w:rsidRPr="00C05E02">
              <w:rPr>
                <w:rStyle w:val="Hyperlink"/>
                <w:color w:val="000000"/>
              </w:rPr>
              <w:t>.docx</w:t>
            </w:r>
            <w:r w:rsidR="00612E03" w:rsidRPr="00C05E02">
              <w:rPr>
                <w:sz w:val="20"/>
              </w:rPr>
              <w:t xml:space="preserve"> </w:t>
            </w:r>
          </w:p>
        </w:tc>
      </w:tr>
      <w:tr w:rsidR="00A2021B" w:rsidRPr="00C05E02" w14:paraId="52B4659B" w14:textId="77777777" w:rsidTr="00A2021B">
        <w:trPr>
          <w:trHeight w:val="1275"/>
        </w:trPr>
        <w:tc>
          <w:tcPr>
            <w:tcW w:w="661" w:type="dxa"/>
            <w:tcBorders>
              <w:top w:val="nil"/>
              <w:left w:val="single" w:sz="4" w:space="0" w:color="333300"/>
              <w:bottom w:val="single" w:sz="4" w:space="0" w:color="333300"/>
              <w:right w:val="single" w:sz="4" w:space="0" w:color="333300"/>
            </w:tcBorders>
            <w:shd w:val="clear" w:color="auto" w:fill="auto"/>
          </w:tcPr>
          <w:p w14:paraId="020D7BEB" w14:textId="77777777" w:rsidR="00A2021B" w:rsidRPr="00C05E02" w:rsidRDefault="00A2021B">
            <w:pPr>
              <w:jc w:val="right"/>
              <w:rPr>
                <w:sz w:val="20"/>
              </w:rPr>
            </w:pPr>
            <w:r w:rsidRPr="00C05E02">
              <w:rPr>
                <w:sz w:val="20"/>
              </w:rPr>
              <w:lastRenderedPageBreak/>
              <w:t>3469</w:t>
            </w:r>
          </w:p>
        </w:tc>
        <w:tc>
          <w:tcPr>
            <w:tcW w:w="1044" w:type="dxa"/>
            <w:tcBorders>
              <w:top w:val="nil"/>
              <w:left w:val="nil"/>
              <w:bottom w:val="single" w:sz="4" w:space="0" w:color="333300"/>
              <w:right w:val="single" w:sz="4" w:space="0" w:color="333300"/>
            </w:tcBorders>
            <w:shd w:val="clear" w:color="auto" w:fill="auto"/>
          </w:tcPr>
          <w:p w14:paraId="5A57949A" w14:textId="77777777" w:rsidR="00A2021B" w:rsidRPr="00C05E02" w:rsidRDefault="00A2021B">
            <w:pPr>
              <w:rPr>
                <w:sz w:val="20"/>
              </w:rPr>
            </w:pPr>
            <w:r w:rsidRPr="00C05E02">
              <w:rPr>
                <w:sz w:val="20"/>
              </w:rPr>
              <w:t>11.55.1.5.2.1</w:t>
            </w:r>
          </w:p>
        </w:tc>
        <w:tc>
          <w:tcPr>
            <w:tcW w:w="810" w:type="dxa"/>
            <w:tcBorders>
              <w:top w:val="nil"/>
              <w:left w:val="nil"/>
              <w:bottom w:val="single" w:sz="4" w:space="0" w:color="333300"/>
              <w:right w:val="single" w:sz="4" w:space="0" w:color="333300"/>
            </w:tcBorders>
            <w:shd w:val="clear" w:color="auto" w:fill="auto"/>
          </w:tcPr>
          <w:p w14:paraId="6CECB48E" w14:textId="77777777" w:rsidR="00A2021B" w:rsidRPr="00C05E02" w:rsidRDefault="00A2021B">
            <w:pPr>
              <w:rPr>
                <w:sz w:val="20"/>
              </w:rPr>
            </w:pPr>
            <w:r w:rsidRPr="00C05E02">
              <w:rPr>
                <w:sz w:val="20"/>
              </w:rPr>
              <w:t>143.51</w:t>
            </w:r>
          </w:p>
        </w:tc>
        <w:tc>
          <w:tcPr>
            <w:tcW w:w="1710" w:type="dxa"/>
            <w:tcBorders>
              <w:top w:val="nil"/>
              <w:left w:val="nil"/>
              <w:bottom w:val="single" w:sz="4" w:space="0" w:color="333300"/>
              <w:right w:val="single" w:sz="4" w:space="0" w:color="333300"/>
            </w:tcBorders>
            <w:shd w:val="clear" w:color="auto" w:fill="auto"/>
          </w:tcPr>
          <w:p w14:paraId="4FD7AFE9" w14:textId="77777777" w:rsidR="00A2021B" w:rsidRPr="00C05E02" w:rsidRDefault="00A2021B">
            <w:pPr>
              <w:rPr>
                <w:sz w:val="20"/>
              </w:rPr>
            </w:pPr>
            <w:r w:rsidRPr="00C05E02">
              <w:rPr>
                <w:sz w:val="20"/>
              </w:rPr>
              <w:t>In TB sensing mode, NDPA sounding which doesn't need reporting cannot be done without a polling phase. Removing the polling phase requirement can result in a low overhead means to do sensing.</w:t>
            </w:r>
          </w:p>
        </w:tc>
        <w:tc>
          <w:tcPr>
            <w:tcW w:w="2700" w:type="dxa"/>
            <w:tcBorders>
              <w:top w:val="nil"/>
              <w:left w:val="nil"/>
              <w:bottom w:val="single" w:sz="4" w:space="0" w:color="333300"/>
              <w:right w:val="single" w:sz="4" w:space="0" w:color="333300"/>
            </w:tcBorders>
            <w:shd w:val="clear" w:color="auto" w:fill="auto"/>
          </w:tcPr>
          <w:p w14:paraId="20844F18" w14:textId="77777777" w:rsidR="00A2021B" w:rsidRPr="00C05E02" w:rsidRDefault="00A2021B">
            <w:pPr>
              <w:rPr>
                <w:sz w:val="20"/>
              </w:rPr>
            </w:pPr>
            <w:r w:rsidRPr="00C05E02">
              <w:rPr>
                <w:sz w:val="20"/>
              </w:rPr>
              <w:t>Allow a TB session to consist of only NDPA sounding phase.</w:t>
            </w:r>
          </w:p>
        </w:tc>
        <w:tc>
          <w:tcPr>
            <w:tcW w:w="3263" w:type="dxa"/>
            <w:tcBorders>
              <w:top w:val="nil"/>
              <w:left w:val="nil"/>
              <w:bottom w:val="single" w:sz="4" w:space="0" w:color="333300"/>
              <w:right w:val="single" w:sz="4" w:space="0" w:color="333300"/>
            </w:tcBorders>
            <w:shd w:val="clear" w:color="auto" w:fill="auto"/>
          </w:tcPr>
          <w:p w14:paraId="0EDB1035" w14:textId="4E691421" w:rsidR="00A2021B" w:rsidRPr="00C05E02" w:rsidRDefault="006329CC">
            <w:pPr>
              <w:rPr>
                <w:sz w:val="20"/>
              </w:rPr>
            </w:pPr>
            <w:r>
              <w:rPr>
                <w:sz w:val="20"/>
              </w:rPr>
              <w:t>Revise</w:t>
            </w:r>
          </w:p>
          <w:p w14:paraId="0509757C" w14:textId="77777777" w:rsidR="00A2021B" w:rsidRPr="00C05E02" w:rsidRDefault="00A2021B">
            <w:pPr>
              <w:rPr>
                <w:sz w:val="20"/>
              </w:rPr>
            </w:pPr>
          </w:p>
          <w:p w14:paraId="56ECBA50" w14:textId="3EEB66D5" w:rsidR="006329CC" w:rsidRPr="00C05E02" w:rsidRDefault="00000000" w:rsidP="001237EE">
            <w:pPr>
              <w:rPr>
                <w:sz w:val="20"/>
              </w:rPr>
            </w:pPr>
            <w:hyperlink r:id="rId12" w:history="1">
              <w:r w:rsidR="00612E03" w:rsidRPr="00700DD4">
                <w:rPr>
                  <w:rStyle w:val="Hyperlink"/>
                </w:rPr>
                <w:t>https://mentor.ieee.org/802.11/dcn/21/11-23-1456-02-00bf-LB276-Comment-Resolutions-for-Sensing-NDPA-Frame-Format</w:t>
              </w:r>
            </w:hyperlink>
            <w:r w:rsidR="00612E03" w:rsidRPr="00C05E02">
              <w:rPr>
                <w:rStyle w:val="Hyperlink"/>
                <w:color w:val="000000"/>
              </w:rPr>
              <w:t>.docx</w:t>
            </w:r>
          </w:p>
        </w:tc>
      </w:tr>
    </w:tbl>
    <w:p w14:paraId="22CB63AF" w14:textId="627CFA91" w:rsidR="00CA09B2" w:rsidRDefault="00CA09B2" w:rsidP="009A3DD4"/>
    <w:p w14:paraId="6B395E26" w14:textId="77777777" w:rsidR="00A2021B" w:rsidRDefault="00A2021B" w:rsidP="009A3DD4"/>
    <w:p w14:paraId="62FC9EC0" w14:textId="5FAD31C5" w:rsidR="00271464" w:rsidRDefault="00271464" w:rsidP="009A3DD4"/>
    <w:p w14:paraId="125B479C" w14:textId="77777777" w:rsidR="00271464" w:rsidRDefault="00271464">
      <w:r>
        <w:br w:type="page"/>
      </w:r>
    </w:p>
    <w:p w14:paraId="48CFFA4E" w14:textId="77777777" w:rsidR="00651A26" w:rsidRPr="00651A26" w:rsidRDefault="00651A26" w:rsidP="00651A26">
      <w:pPr>
        <w:autoSpaceDE w:val="0"/>
        <w:autoSpaceDN w:val="0"/>
        <w:adjustRightInd w:val="0"/>
        <w:rPr>
          <w:rFonts w:eastAsia="Arial,Bold"/>
          <w:b/>
          <w:bCs/>
          <w:color w:val="FF0000"/>
          <w:sz w:val="24"/>
          <w:szCs w:val="24"/>
        </w:rPr>
      </w:pPr>
      <w:r w:rsidRPr="00651A26">
        <w:rPr>
          <w:rFonts w:eastAsia="Arial,Bold"/>
          <w:b/>
          <w:bCs/>
          <w:color w:val="FF0000"/>
          <w:sz w:val="24"/>
          <w:szCs w:val="24"/>
        </w:rPr>
        <w:lastRenderedPageBreak/>
        <w:t>Resolution for CID 3247</w:t>
      </w:r>
    </w:p>
    <w:p w14:paraId="6DC25547" w14:textId="77777777" w:rsidR="00651A26" w:rsidRPr="00651A26" w:rsidRDefault="00651A26" w:rsidP="00651A26">
      <w:pPr>
        <w:autoSpaceDE w:val="0"/>
        <w:autoSpaceDN w:val="0"/>
        <w:adjustRightInd w:val="0"/>
        <w:rPr>
          <w:color w:val="FF0000"/>
        </w:rPr>
      </w:pPr>
      <w:proofErr w:type="spellStart"/>
      <w:r w:rsidRPr="00651A26">
        <w:rPr>
          <w:color w:val="FF0000"/>
        </w:rPr>
        <w:t>TGbf</w:t>
      </w:r>
      <w:proofErr w:type="spellEnd"/>
      <w:r w:rsidRPr="00651A26">
        <w:rPr>
          <w:color w:val="FF0000"/>
        </w:rPr>
        <w:t xml:space="preserve"> editor: Change the text in P33 L40-41 as follows</w:t>
      </w:r>
    </w:p>
    <w:p w14:paraId="534E87EB" w14:textId="77777777" w:rsidR="00651A26" w:rsidRPr="00651A26" w:rsidRDefault="00651A26" w:rsidP="00651A26">
      <w:pPr>
        <w:autoSpaceDE w:val="0"/>
        <w:autoSpaceDN w:val="0"/>
        <w:adjustRightInd w:val="0"/>
      </w:pPr>
    </w:p>
    <w:p w14:paraId="06C1176B" w14:textId="77777777" w:rsidR="00651A26" w:rsidRPr="00651A26" w:rsidRDefault="00651A26" w:rsidP="00651A26">
      <w:pPr>
        <w:autoSpaceDE w:val="0"/>
        <w:autoSpaceDN w:val="0"/>
        <w:adjustRightInd w:val="0"/>
      </w:pPr>
      <w:r w:rsidRPr="00651A26">
        <w:rPr>
          <w:strike/>
          <w:color w:val="000000"/>
          <w:sz w:val="20"/>
        </w:rPr>
        <w:t xml:space="preserve">If the AID11 subfield is equal to 2044, </w:t>
      </w:r>
      <w:proofErr w:type="spellStart"/>
      <w:r w:rsidRPr="00651A26">
        <w:rPr>
          <w:strike/>
          <w:color w:val="000000"/>
          <w:sz w:val="20"/>
        </w:rPr>
        <w:t>t</w:t>
      </w:r>
      <w:r w:rsidRPr="00651A26">
        <w:rPr>
          <w:color w:val="000000"/>
          <w:sz w:val="20"/>
        </w:rPr>
        <w:t>The</w:t>
      </w:r>
      <w:proofErr w:type="spellEnd"/>
      <w:r w:rsidRPr="00651A26">
        <w:rPr>
          <w:color w:val="000000"/>
          <w:sz w:val="20"/>
        </w:rPr>
        <w:t xml:space="preserve"> format of the STA Info field with AID11 equal to 2044 is shown in Figure 9-75m (STA Info field in a Sensing NDP Announcement frame with AID11 subfield equal to 2044).</w:t>
      </w:r>
      <w:r w:rsidRPr="00651A26">
        <w:t xml:space="preserve"> </w:t>
      </w:r>
    </w:p>
    <w:p w14:paraId="38AC1D91" w14:textId="77777777" w:rsidR="00651A26" w:rsidRPr="00651A26" w:rsidRDefault="00651A26" w:rsidP="00651A26">
      <w:pPr>
        <w:autoSpaceDE w:val="0"/>
        <w:autoSpaceDN w:val="0"/>
        <w:adjustRightInd w:val="0"/>
      </w:pPr>
    </w:p>
    <w:p w14:paraId="3DF71845" w14:textId="77777777" w:rsidR="00651A26" w:rsidRPr="00651A26" w:rsidRDefault="00651A26" w:rsidP="00651A26">
      <w:pPr>
        <w:autoSpaceDE w:val="0"/>
        <w:autoSpaceDN w:val="0"/>
        <w:adjustRightInd w:val="0"/>
        <w:rPr>
          <w:rFonts w:eastAsia="Arial,Bold"/>
          <w:b/>
          <w:bCs/>
          <w:color w:val="000000"/>
          <w:sz w:val="20"/>
        </w:rPr>
      </w:pPr>
    </w:p>
    <w:p w14:paraId="4B6AEBAD" w14:textId="77777777" w:rsidR="00651A26" w:rsidRPr="00651A26" w:rsidRDefault="00651A26" w:rsidP="00651A26">
      <w:pPr>
        <w:autoSpaceDE w:val="0"/>
        <w:autoSpaceDN w:val="0"/>
        <w:adjustRightInd w:val="0"/>
        <w:rPr>
          <w:rFonts w:eastAsia="Arial,Bold"/>
          <w:b/>
          <w:bCs/>
          <w:color w:val="000000"/>
          <w:sz w:val="20"/>
        </w:rPr>
      </w:pPr>
    </w:p>
    <w:p w14:paraId="5FE0392B" w14:textId="77777777" w:rsidR="00651A26" w:rsidRPr="00651A26" w:rsidRDefault="00651A26" w:rsidP="00651A26">
      <w:pPr>
        <w:autoSpaceDE w:val="0"/>
        <w:autoSpaceDN w:val="0"/>
        <w:adjustRightInd w:val="0"/>
        <w:rPr>
          <w:rFonts w:eastAsia="Arial,Bold"/>
          <w:b/>
          <w:bCs/>
          <w:color w:val="FF0000"/>
          <w:sz w:val="24"/>
          <w:szCs w:val="24"/>
        </w:rPr>
      </w:pPr>
      <w:r w:rsidRPr="00651A26">
        <w:rPr>
          <w:rFonts w:eastAsia="Arial,Bold"/>
          <w:b/>
          <w:bCs/>
          <w:color w:val="FF0000"/>
          <w:sz w:val="24"/>
          <w:szCs w:val="24"/>
        </w:rPr>
        <w:t>Resolution for CID 3286</w:t>
      </w:r>
    </w:p>
    <w:p w14:paraId="37FE00FC" w14:textId="77777777" w:rsidR="00651A26" w:rsidRPr="00651A26" w:rsidRDefault="00651A26" w:rsidP="00651A26">
      <w:pPr>
        <w:autoSpaceDE w:val="0"/>
        <w:autoSpaceDN w:val="0"/>
        <w:adjustRightInd w:val="0"/>
        <w:rPr>
          <w:color w:val="FF0000"/>
        </w:rPr>
      </w:pPr>
      <w:proofErr w:type="spellStart"/>
      <w:r w:rsidRPr="00651A26">
        <w:rPr>
          <w:color w:val="FF0000"/>
        </w:rPr>
        <w:t>TGbf</w:t>
      </w:r>
      <w:proofErr w:type="spellEnd"/>
      <w:r w:rsidRPr="00651A26">
        <w:rPr>
          <w:color w:val="FF0000"/>
        </w:rPr>
        <w:t xml:space="preserve"> editor: Change the text in P32 L17-21 as follows</w:t>
      </w:r>
    </w:p>
    <w:p w14:paraId="26789FA3" w14:textId="77777777" w:rsidR="00651A26" w:rsidRPr="00651A26" w:rsidRDefault="00651A26" w:rsidP="00651A26">
      <w:pPr>
        <w:autoSpaceDE w:val="0"/>
        <w:autoSpaceDN w:val="0"/>
        <w:adjustRightInd w:val="0"/>
      </w:pPr>
    </w:p>
    <w:p w14:paraId="7C90ECC1" w14:textId="77777777" w:rsidR="00651A26" w:rsidRPr="00651A26" w:rsidRDefault="00651A26" w:rsidP="00651A26">
      <w:pPr>
        <w:autoSpaceDE w:val="0"/>
        <w:autoSpaceDN w:val="0"/>
        <w:adjustRightInd w:val="0"/>
        <w:rPr>
          <w:color w:val="000000"/>
          <w:sz w:val="20"/>
        </w:rPr>
      </w:pPr>
      <w:r w:rsidRPr="00651A26">
        <w:rPr>
          <w:color w:val="000000"/>
          <w:sz w:val="20"/>
        </w:rPr>
        <w:t xml:space="preserve">The Sounding Dialog Token Number </w:t>
      </w:r>
      <w:r w:rsidRPr="00651A26">
        <w:rPr>
          <w:strike/>
          <w:color w:val="000000"/>
          <w:sz w:val="20"/>
        </w:rPr>
        <w:t>sub</w:t>
      </w:r>
      <w:r w:rsidRPr="00651A26">
        <w:rPr>
          <w:color w:val="000000"/>
          <w:sz w:val="20"/>
        </w:rPr>
        <w:t xml:space="preserve">field in the Sounding Dialog Token field contains a </w:t>
      </w:r>
      <w:r w:rsidRPr="00651A26">
        <w:rPr>
          <w:strike/>
          <w:color w:val="000000"/>
          <w:sz w:val="20"/>
        </w:rPr>
        <w:t xml:space="preserve">value in the range of 0 to 63, which identifies the </w:t>
      </w:r>
      <w:r w:rsidRPr="00651A26">
        <w:rPr>
          <w:color w:val="000000"/>
          <w:sz w:val="20"/>
        </w:rPr>
        <w:t xml:space="preserve">Measurement Exchange ID </w:t>
      </w:r>
      <w:r w:rsidRPr="00F830F2">
        <w:rPr>
          <w:sz w:val="20"/>
          <w:u w:val="single"/>
        </w:rPr>
        <w:t>value in the range of 0 to 63</w:t>
      </w:r>
      <w:r w:rsidRPr="00651A26">
        <w:rPr>
          <w:color w:val="000000"/>
          <w:sz w:val="20"/>
        </w:rPr>
        <w:t>, which identifies the measurement exchange that this transmitted Sensing NDP Announcement frame is part of (see 11.55.1.5.2 (TB sensing measurement exchange) and 11.55.1.5.3 (</w:t>
      </w:r>
      <w:proofErr w:type="spellStart"/>
      <w:r w:rsidRPr="00651A26">
        <w:rPr>
          <w:color w:val="000000"/>
          <w:sz w:val="20"/>
        </w:rPr>
        <w:t>NonTB</w:t>
      </w:r>
      <w:proofErr w:type="spellEnd"/>
      <w:r w:rsidRPr="00651A26">
        <w:rPr>
          <w:color w:val="000000"/>
          <w:sz w:val="20"/>
        </w:rPr>
        <w:t xml:space="preserve"> sensing measurement exchange)).</w:t>
      </w:r>
    </w:p>
    <w:p w14:paraId="5ED79F53" w14:textId="77777777" w:rsidR="00651A26" w:rsidRPr="00651A26" w:rsidRDefault="00651A26" w:rsidP="00651A26">
      <w:pPr>
        <w:autoSpaceDE w:val="0"/>
        <w:autoSpaceDN w:val="0"/>
        <w:adjustRightInd w:val="0"/>
        <w:rPr>
          <w:color w:val="000000"/>
          <w:sz w:val="20"/>
        </w:rPr>
      </w:pPr>
    </w:p>
    <w:p w14:paraId="11080CB2" w14:textId="77777777" w:rsidR="00651A26" w:rsidRPr="00651A26" w:rsidRDefault="00651A26" w:rsidP="00651A26">
      <w:pPr>
        <w:autoSpaceDE w:val="0"/>
        <w:autoSpaceDN w:val="0"/>
        <w:adjustRightInd w:val="0"/>
        <w:rPr>
          <w:color w:val="000000"/>
          <w:sz w:val="20"/>
        </w:rPr>
      </w:pPr>
    </w:p>
    <w:p w14:paraId="7CDBBE76" w14:textId="77777777" w:rsidR="00651A26" w:rsidRPr="00651A26" w:rsidRDefault="00651A26" w:rsidP="00651A26">
      <w:pPr>
        <w:autoSpaceDE w:val="0"/>
        <w:autoSpaceDN w:val="0"/>
        <w:adjustRightInd w:val="0"/>
        <w:rPr>
          <w:color w:val="000000"/>
          <w:sz w:val="20"/>
        </w:rPr>
      </w:pPr>
    </w:p>
    <w:p w14:paraId="15269EBE" w14:textId="77777777" w:rsidR="00651A26" w:rsidRPr="00651A26" w:rsidRDefault="00651A26" w:rsidP="00651A26">
      <w:pPr>
        <w:autoSpaceDE w:val="0"/>
        <w:autoSpaceDN w:val="0"/>
        <w:adjustRightInd w:val="0"/>
        <w:rPr>
          <w:rFonts w:eastAsia="Arial,Bold"/>
          <w:b/>
          <w:bCs/>
          <w:color w:val="FF0000"/>
          <w:sz w:val="24"/>
          <w:szCs w:val="24"/>
        </w:rPr>
      </w:pPr>
      <w:r w:rsidRPr="00651A26">
        <w:rPr>
          <w:rFonts w:eastAsia="Arial,Bold"/>
          <w:b/>
          <w:bCs/>
          <w:color w:val="FF0000"/>
          <w:sz w:val="24"/>
          <w:szCs w:val="24"/>
        </w:rPr>
        <w:t>Resolution for CID 3289</w:t>
      </w:r>
    </w:p>
    <w:p w14:paraId="05A4ABD4" w14:textId="0BE5B9C4" w:rsidR="00651A26" w:rsidRPr="00651A26" w:rsidRDefault="00651A26" w:rsidP="00651A26">
      <w:pPr>
        <w:autoSpaceDE w:val="0"/>
        <w:autoSpaceDN w:val="0"/>
        <w:adjustRightInd w:val="0"/>
        <w:ind w:left="720"/>
        <w:rPr>
          <w:color w:val="FF0000"/>
        </w:rPr>
      </w:pPr>
      <w:proofErr w:type="spellStart"/>
      <w:r w:rsidRPr="00651A26">
        <w:rPr>
          <w:color w:val="FF0000"/>
        </w:rPr>
        <w:t>TGbf</w:t>
      </w:r>
      <w:proofErr w:type="spellEnd"/>
      <w:r w:rsidRPr="00651A26">
        <w:rPr>
          <w:color w:val="FF0000"/>
        </w:rPr>
        <w:t xml:space="preserve"> editor: Add the text in </w:t>
      </w:r>
      <w:r w:rsidR="00325B7F">
        <w:rPr>
          <w:color w:val="FF0000"/>
        </w:rPr>
        <w:t>underline</w:t>
      </w:r>
      <w:r w:rsidRPr="00651A26">
        <w:rPr>
          <w:color w:val="FF0000"/>
        </w:rPr>
        <w:t xml:space="preserve"> (below) in P33 after L8 after the following black text (below) </w:t>
      </w:r>
    </w:p>
    <w:p w14:paraId="19609E76" w14:textId="77777777" w:rsidR="00651A26" w:rsidRPr="00651A26" w:rsidRDefault="00651A26" w:rsidP="00651A26">
      <w:pPr>
        <w:autoSpaceDE w:val="0"/>
        <w:autoSpaceDN w:val="0"/>
        <w:adjustRightInd w:val="0"/>
        <w:ind w:left="720"/>
        <w:rPr>
          <w:color w:val="000000"/>
          <w:sz w:val="20"/>
        </w:rPr>
      </w:pPr>
    </w:p>
    <w:p w14:paraId="2AABE26B" w14:textId="77777777" w:rsidR="00651A26" w:rsidRPr="00651A26" w:rsidRDefault="00651A26" w:rsidP="00651A26">
      <w:pPr>
        <w:ind w:left="720"/>
        <w:rPr>
          <w:color w:val="000000"/>
          <w:sz w:val="20"/>
        </w:rPr>
      </w:pPr>
      <w:r w:rsidRPr="00651A26">
        <w:rPr>
          <w:color w:val="000000"/>
          <w:sz w:val="20"/>
        </w:rPr>
        <w:t>When used in a TB sensing measurement exchange (see 11.55.1.5.2 (TB sensing measurement exchange)), if the bandwidth of the PPDU carrying the NDP Announcement frame is less than or equal to 160 MHz,</w:t>
      </w:r>
    </w:p>
    <w:p w14:paraId="1F19FCA3" w14:textId="77777777" w:rsidR="00651A26" w:rsidRPr="00651A26" w:rsidRDefault="00651A26" w:rsidP="00651A26">
      <w:pPr>
        <w:ind w:left="720"/>
        <w:rPr>
          <w:color w:val="000000"/>
          <w:sz w:val="20"/>
        </w:rPr>
      </w:pPr>
    </w:p>
    <w:p w14:paraId="42FDC3EB" w14:textId="77777777" w:rsidR="00651A26" w:rsidRPr="00651A26" w:rsidRDefault="00651A26" w:rsidP="00651A26">
      <w:pPr>
        <w:ind w:left="1440"/>
        <w:rPr>
          <w:color w:val="000000"/>
          <w:sz w:val="20"/>
        </w:rPr>
      </w:pPr>
      <w:r w:rsidRPr="00651A26">
        <w:rPr>
          <w:color w:val="000000"/>
          <w:sz w:val="20"/>
        </w:rPr>
        <w:t>— the SI2SR NSTS and SI2SR Rep fields are used to indicate the HE-LTF configuration (see 27.3.18a.1 (HE Ranging NDP)) of the SI2SR NDP that follows</w:t>
      </w:r>
    </w:p>
    <w:p w14:paraId="1C51EBE2" w14:textId="77777777" w:rsidR="00651A26" w:rsidRPr="00651A26" w:rsidRDefault="00651A26" w:rsidP="00651A26">
      <w:pPr>
        <w:ind w:left="1440"/>
        <w:rPr>
          <w:color w:val="000000"/>
          <w:sz w:val="20"/>
        </w:rPr>
      </w:pPr>
    </w:p>
    <w:p w14:paraId="0DD30AF5" w14:textId="77777777" w:rsidR="00651A26" w:rsidRPr="00651A26" w:rsidRDefault="00651A26" w:rsidP="00651A26">
      <w:pPr>
        <w:ind w:left="1440"/>
        <w:rPr>
          <w:color w:val="000000"/>
          <w:sz w:val="20"/>
        </w:rPr>
      </w:pPr>
      <w:r w:rsidRPr="00651A26">
        <w:rPr>
          <w:color w:val="000000"/>
          <w:sz w:val="20"/>
        </w:rPr>
        <w:t>— the sensing responder to sensing initiator (SR2SI) NSTS and SR2SI Rep fields are reserved</w:t>
      </w:r>
    </w:p>
    <w:p w14:paraId="745801E9" w14:textId="77777777" w:rsidR="00651A26" w:rsidRPr="00651A26" w:rsidRDefault="00651A26" w:rsidP="00651A26">
      <w:pPr>
        <w:ind w:left="1440"/>
        <w:rPr>
          <w:color w:val="000000"/>
          <w:sz w:val="20"/>
        </w:rPr>
      </w:pPr>
    </w:p>
    <w:p w14:paraId="6F4E4E96" w14:textId="77777777" w:rsidR="00651A26" w:rsidRPr="00651A26" w:rsidRDefault="00651A26" w:rsidP="00651A26">
      <w:pPr>
        <w:ind w:left="1440"/>
        <w:rPr>
          <w:color w:val="000000"/>
          <w:sz w:val="20"/>
        </w:rPr>
      </w:pPr>
      <w:r w:rsidRPr="00651A26">
        <w:rPr>
          <w:color w:val="000000"/>
          <w:sz w:val="20"/>
        </w:rPr>
        <w:t xml:space="preserve">--- </w:t>
      </w:r>
      <w:r w:rsidRPr="00325B7F">
        <w:rPr>
          <w:color w:val="000000"/>
          <w:sz w:val="20"/>
          <w:u w:val="single"/>
        </w:rPr>
        <w:t>the SI2SR Rep field is set to the number of HE-LTF repetitions of the corresponding HE Ranging NDP minus 1 (see 27.3.18a.1 (HE Ranging NDP)). If the SI2SR Rep is equal to 0, then there is no HE-LTF repetition in the SI2SR NDP.</w:t>
      </w:r>
    </w:p>
    <w:p w14:paraId="2A29D5F1" w14:textId="77777777" w:rsidR="00651A26" w:rsidRPr="00651A26" w:rsidRDefault="00651A26" w:rsidP="00651A26">
      <w:pPr>
        <w:ind w:left="1440"/>
        <w:rPr>
          <w:color w:val="000000"/>
          <w:sz w:val="20"/>
        </w:rPr>
      </w:pPr>
    </w:p>
    <w:p w14:paraId="2201455C" w14:textId="7EE6B7E7" w:rsidR="00651A26" w:rsidRPr="00651A26" w:rsidRDefault="00651A26" w:rsidP="00651A26">
      <w:pPr>
        <w:autoSpaceDE w:val="0"/>
        <w:autoSpaceDN w:val="0"/>
        <w:adjustRightInd w:val="0"/>
        <w:ind w:left="720"/>
        <w:rPr>
          <w:color w:val="FF0000"/>
        </w:rPr>
      </w:pPr>
      <w:proofErr w:type="spellStart"/>
      <w:r w:rsidRPr="00651A26">
        <w:rPr>
          <w:color w:val="FF0000"/>
        </w:rPr>
        <w:t>TGbf</w:t>
      </w:r>
      <w:proofErr w:type="spellEnd"/>
      <w:r w:rsidRPr="00651A26">
        <w:rPr>
          <w:color w:val="FF0000"/>
        </w:rPr>
        <w:t xml:space="preserve"> editor: Add the text in </w:t>
      </w:r>
      <w:r w:rsidR="002521C9">
        <w:rPr>
          <w:color w:val="FF0000"/>
        </w:rPr>
        <w:t>underline</w:t>
      </w:r>
      <w:r w:rsidRPr="00651A26">
        <w:rPr>
          <w:color w:val="FF0000"/>
        </w:rPr>
        <w:t xml:space="preserve"> (below) P33 after L29 after the following black text (below)</w:t>
      </w:r>
    </w:p>
    <w:p w14:paraId="25CEA6DA" w14:textId="77777777" w:rsidR="00651A26" w:rsidRPr="00651A26" w:rsidRDefault="00651A26" w:rsidP="00651A26">
      <w:pPr>
        <w:ind w:left="720"/>
        <w:rPr>
          <w:color w:val="000000"/>
          <w:sz w:val="20"/>
        </w:rPr>
      </w:pPr>
    </w:p>
    <w:p w14:paraId="03E3B72A" w14:textId="77777777" w:rsidR="00651A26" w:rsidRPr="00651A26" w:rsidRDefault="00651A26" w:rsidP="00651A26">
      <w:pPr>
        <w:ind w:left="720"/>
        <w:rPr>
          <w:color w:val="000000"/>
          <w:sz w:val="20"/>
        </w:rPr>
      </w:pPr>
      <w:r w:rsidRPr="00651A26">
        <w:rPr>
          <w:color w:val="000000"/>
          <w:sz w:val="20"/>
        </w:rPr>
        <w:t>When used in a non-TB sensing measurement exchange (see 11.55.1.5.3 (Non-TB sensing measurement exchange)), if the bandwidth of the PPDU carrying the NDP Announcement frame is less than or equal to 160 MHz,</w:t>
      </w:r>
    </w:p>
    <w:p w14:paraId="51F6820D" w14:textId="77777777" w:rsidR="00651A26" w:rsidRPr="00651A26" w:rsidRDefault="00651A26" w:rsidP="00651A26">
      <w:pPr>
        <w:ind w:left="720"/>
        <w:rPr>
          <w:color w:val="000000"/>
          <w:sz w:val="20"/>
        </w:rPr>
      </w:pPr>
    </w:p>
    <w:p w14:paraId="78E8049C" w14:textId="77777777" w:rsidR="00651A26" w:rsidRPr="00651A26" w:rsidRDefault="00651A26" w:rsidP="00651A26">
      <w:pPr>
        <w:ind w:left="1440"/>
        <w:rPr>
          <w:color w:val="000000"/>
          <w:sz w:val="20"/>
        </w:rPr>
      </w:pPr>
      <w:r w:rsidRPr="00651A26">
        <w:rPr>
          <w:color w:val="000000"/>
          <w:sz w:val="20"/>
        </w:rPr>
        <w:t>— the SI2SR NSTS and SI2SR Rep fields are used to indicate the HE-LTF configuration (see 27.3.18a.1 (HE Ranging NDP)) of the SI2SR NDP that follows</w:t>
      </w:r>
    </w:p>
    <w:p w14:paraId="7805D758" w14:textId="77777777" w:rsidR="00651A26" w:rsidRPr="00651A26" w:rsidRDefault="00651A26" w:rsidP="00651A26">
      <w:pPr>
        <w:ind w:left="1440"/>
        <w:rPr>
          <w:color w:val="000000"/>
          <w:sz w:val="20"/>
        </w:rPr>
      </w:pPr>
      <w:r w:rsidRPr="00651A26">
        <w:rPr>
          <w:color w:val="000000"/>
          <w:sz w:val="20"/>
        </w:rPr>
        <w:t>— the SR2SI NSTS and SR2SI Rep fields indicate the HE-LTF configuration of the SR2SI NDP sent in response by the AP (i.e., sensing responder)</w:t>
      </w:r>
    </w:p>
    <w:p w14:paraId="132342C8" w14:textId="77777777" w:rsidR="00651A26" w:rsidRPr="00651A26" w:rsidRDefault="00651A26" w:rsidP="00651A26">
      <w:pPr>
        <w:ind w:left="1440"/>
        <w:rPr>
          <w:color w:val="000000"/>
          <w:sz w:val="20"/>
        </w:rPr>
      </w:pPr>
    </w:p>
    <w:p w14:paraId="4AC5B737" w14:textId="753461C5" w:rsidR="00651A26" w:rsidRPr="00651A26" w:rsidRDefault="00651A26" w:rsidP="00651A26">
      <w:pPr>
        <w:ind w:left="1440"/>
        <w:rPr>
          <w:color w:val="000000"/>
          <w:sz w:val="20"/>
        </w:rPr>
      </w:pPr>
      <w:r w:rsidRPr="00651A26">
        <w:rPr>
          <w:color w:val="000000"/>
          <w:sz w:val="20"/>
        </w:rPr>
        <w:t xml:space="preserve">--- </w:t>
      </w:r>
      <w:r w:rsidRPr="002521C9">
        <w:rPr>
          <w:color w:val="000000"/>
          <w:sz w:val="20"/>
          <w:u w:val="single"/>
        </w:rPr>
        <w:t>the SR2SI Rep and SI2SR</w:t>
      </w:r>
      <w:r w:rsidR="00C036D7">
        <w:rPr>
          <w:color w:val="000000"/>
          <w:sz w:val="20"/>
          <w:u w:val="single"/>
        </w:rPr>
        <w:t xml:space="preserve"> Rep</w:t>
      </w:r>
      <w:r w:rsidRPr="002521C9">
        <w:rPr>
          <w:color w:val="000000"/>
          <w:sz w:val="20"/>
          <w:u w:val="single"/>
        </w:rPr>
        <w:t xml:space="preserve"> fields are set to the number of HE-LTF repetitions of the corresponding HE Ranging NDP minus 1 (see 27.3.18a.1 (HE Ranging NDP)). If the S</w:t>
      </w:r>
      <w:r w:rsidR="001E69EE">
        <w:rPr>
          <w:color w:val="000000"/>
          <w:sz w:val="20"/>
          <w:u w:val="single"/>
        </w:rPr>
        <w:t>I</w:t>
      </w:r>
      <w:r w:rsidRPr="002521C9">
        <w:rPr>
          <w:color w:val="000000"/>
          <w:sz w:val="20"/>
          <w:u w:val="single"/>
        </w:rPr>
        <w:t>2S</w:t>
      </w:r>
      <w:r w:rsidR="001E69EE">
        <w:rPr>
          <w:color w:val="000000"/>
          <w:sz w:val="20"/>
          <w:u w:val="single"/>
        </w:rPr>
        <w:t>R</w:t>
      </w:r>
      <w:r w:rsidRPr="002521C9">
        <w:rPr>
          <w:color w:val="000000"/>
          <w:sz w:val="20"/>
          <w:u w:val="single"/>
        </w:rPr>
        <w:t xml:space="preserve"> Rep and S</w:t>
      </w:r>
      <w:r w:rsidR="001E69EE">
        <w:rPr>
          <w:color w:val="000000"/>
          <w:sz w:val="20"/>
          <w:u w:val="single"/>
        </w:rPr>
        <w:t>R</w:t>
      </w:r>
      <w:r w:rsidRPr="002521C9">
        <w:rPr>
          <w:color w:val="000000"/>
          <w:sz w:val="20"/>
          <w:u w:val="single"/>
        </w:rPr>
        <w:t>2S</w:t>
      </w:r>
      <w:r w:rsidR="001E69EE">
        <w:rPr>
          <w:color w:val="000000"/>
          <w:sz w:val="20"/>
          <w:u w:val="single"/>
        </w:rPr>
        <w:t>I</w:t>
      </w:r>
      <w:r w:rsidRPr="002521C9">
        <w:rPr>
          <w:color w:val="000000"/>
          <w:sz w:val="20"/>
          <w:u w:val="single"/>
        </w:rPr>
        <w:t xml:space="preserve"> Rep are equal to 0, then there is no HE-LTF repetition in the S</w:t>
      </w:r>
      <w:r w:rsidR="004D4430">
        <w:rPr>
          <w:color w:val="000000"/>
          <w:sz w:val="20"/>
          <w:u w:val="single"/>
        </w:rPr>
        <w:t>I</w:t>
      </w:r>
      <w:r w:rsidRPr="002521C9">
        <w:rPr>
          <w:color w:val="000000"/>
          <w:sz w:val="20"/>
          <w:u w:val="single"/>
        </w:rPr>
        <w:t>2S</w:t>
      </w:r>
      <w:r w:rsidR="004D4430">
        <w:rPr>
          <w:color w:val="000000"/>
          <w:sz w:val="20"/>
          <w:u w:val="single"/>
        </w:rPr>
        <w:t>R</w:t>
      </w:r>
      <w:r w:rsidRPr="002521C9">
        <w:rPr>
          <w:color w:val="000000"/>
          <w:sz w:val="20"/>
          <w:u w:val="single"/>
        </w:rPr>
        <w:t xml:space="preserve"> NDP and SR2SI</w:t>
      </w:r>
      <w:r w:rsidR="00602528">
        <w:rPr>
          <w:color w:val="000000"/>
          <w:sz w:val="20"/>
          <w:u w:val="single"/>
        </w:rPr>
        <w:t xml:space="preserve"> NDP</w:t>
      </w:r>
      <w:r w:rsidRPr="002521C9">
        <w:rPr>
          <w:color w:val="000000"/>
          <w:sz w:val="20"/>
          <w:u w:val="single"/>
        </w:rPr>
        <w:t xml:space="preserve"> that follows, respectively.</w:t>
      </w:r>
    </w:p>
    <w:p w14:paraId="1E129A8A" w14:textId="77777777" w:rsidR="00651A26" w:rsidRPr="00651A26" w:rsidRDefault="00651A26" w:rsidP="00651A26">
      <w:pPr>
        <w:ind w:left="1440"/>
        <w:rPr>
          <w:color w:val="000000"/>
          <w:sz w:val="20"/>
        </w:rPr>
      </w:pPr>
    </w:p>
    <w:p w14:paraId="4ABF66A4" w14:textId="77777777" w:rsidR="00651A26" w:rsidRPr="00651A26" w:rsidRDefault="00651A26" w:rsidP="00651A26">
      <w:pPr>
        <w:ind w:left="720"/>
        <w:rPr>
          <w:color w:val="FF0000"/>
          <w:sz w:val="20"/>
        </w:rPr>
      </w:pPr>
      <w:proofErr w:type="spellStart"/>
      <w:r w:rsidRPr="00651A26">
        <w:rPr>
          <w:color w:val="FF0000"/>
        </w:rPr>
        <w:t>TGbf</w:t>
      </w:r>
      <w:proofErr w:type="spellEnd"/>
      <w:r w:rsidRPr="00651A26">
        <w:rPr>
          <w:color w:val="FF0000"/>
        </w:rPr>
        <w:t xml:space="preserve"> editor: Delete the text in P33 L32-37 as shown below</w:t>
      </w:r>
    </w:p>
    <w:p w14:paraId="2BD1787F" w14:textId="77777777" w:rsidR="00651A26" w:rsidRPr="00651A26" w:rsidRDefault="00651A26" w:rsidP="00651A26">
      <w:pPr>
        <w:autoSpaceDE w:val="0"/>
        <w:autoSpaceDN w:val="0"/>
        <w:adjustRightInd w:val="0"/>
        <w:ind w:left="720"/>
        <w:rPr>
          <w:strike/>
          <w:color w:val="000000"/>
          <w:sz w:val="20"/>
        </w:rPr>
      </w:pPr>
      <w:r w:rsidRPr="00651A26">
        <w:rPr>
          <w:strike/>
          <w:color w:val="000000"/>
          <w:sz w:val="20"/>
        </w:rPr>
        <w:t>If the bandwidth of the PPDU carrying the Sensing NDP Announcement frame is less than or equal to 160 MHz, the SR2SI Rep and SI2SR Rep fields are set to the number of HE-LTF repetitions of the corresponding HE Ranging NDP minus 1 (see 27.3.18a.1 (HE Ranging NDP)). If the SI2SR Rep and SR2SI Rep fields are both equal to 0, then there is no HE-LTF repetition in the SI2SR NDP and SR2SI NDP that follows, respectively.</w:t>
      </w:r>
    </w:p>
    <w:p w14:paraId="1E086E97" w14:textId="77777777" w:rsidR="00651A26" w:rsidRPr="00651A26" w:rsidRDefault="00651A26" w:rsidP="00651A26">
      <w:pPr>
        <w:autoSpaceDE w:val="0"/>
        <w:autoSpaceDN w:val="0"/>
        <w:adjustRightInd w:val="0"/>
        <w:rPr>
          <w:strike/>
          <w:color w:val="000000"/>
          <w:sz w:val="20"/>
        </w:rPr>
      </w:pPr>
    </w:p>
    <w:p w14:paraId="44875126" w14:textId="77777777" w:rsidR="00651A26" w:rsidRPr="00651A26" w:rsidRDefault="00651A26" w:rsidP="00651A26">
      <w:pPr>
        <w:autoSpaceDE w:val="0"/>
        <w:autoSpaceDN w:val="0"/>
        <w:adjustRightInd w:val="0"/>
        <w:rPr>
          <w:rFonts w:eastAsia="Arial,Bold"/>
          <w:b/>
          <w:bCs/>
          <w:color w:val="000000"/>
          <w:sz w:val="24"/>
          <w:szCs w:val="24"/>
        </w:rPr>
      </w:pPr>
    </w:p>
    <w:p w14:paraId="164104C9" w14:textId="77777777" w:rsidR="00651A26" w:rsidRPr="00651A26" w:rsidRDefault="00651A26" w:rsidP="00651A26">
      <w:pPr>
        <w:autoSpaceDE w:val="0"/>
        <w:autoSpaceDN w:val="0"/>
        <w:adjustRightInd w:val="0"/>
        <w:rPr>
          <w:rFonts w:eastAsia="Arial,Bold"/>
          <w:b/>
          <w:bCs/>
          <w:color w:val="FF0000"/>
          <w:sz w:val="24"/>
          <w:szCs w:val="24"/>
        </w:rPr>
      </w:pPr>
      <w:r w:rsidRPr="00651A26">
        <w:rPr>
          <w:rFonts w:eastAsia="Arial,Bold"/>
          <w:b/>
          <w:bCs/>
          <w:color w:val="FF0000"/>
          <w:sz w:val="24"/>
          <w:szCs w:val="24"/>
        </w:rPr>
        <w:t>Resolution for CID 3392</w:t>
      </w:r>
    </w:p>
    <w:p w14:paraId="57614EA9" w14:textId="77777777" w:rsidR="00651A26" w:rsidRPr="00651A26" w:rsidRDefault="00651A26" w:rsidP="00651A26">
      <w:pPr>
        <w:autoSpaceDE w:val="0"/>
        <w:autoSpaceDN w:val="0"/>
        <w:adjustRightInd w:val="0"/>
        <w:rPr>
          <w:rFonts w:eastAsia="Arial,Bold"/>
          <w:b/>
          <w:bCs/>
          <w:color w:val="FF0000"/>
          <w:sz w:val="24"/>
          <w:szCs w:val="24"/>
        </w:rPr>
      </w:pPr>
      <w:proofErr w:type="spellStart"/>
      <w:r w:rsidRPr="00651A26">
        <w:rPr>
          <w:color w:val="FF0000"/>
        </w:rPr>
        <w:t>TGbf</w:t>
      </w:r>
      <w:proofErr w:type="spellEnd"/>
      <w:r w:rsidRPr="00651A26">
        <w:rPr>
          <w:color w:val="FF0000"/>
        </w:rPr>
        <w:t xml:space="preserve"> editor: Change Table 9-42a in P30 with following changes to reflect the changes incorporated by 802.11be D4.0. Note changes are all editorial with moving text</w:t>
      </w:r>
    </w:p>
    <w:p w14:paraId="4B1399B6" w14:textId="77777777" w:rsidR="00651A26" w:rsidRPr="00651A26" w:rsidRDefault="00651A26" w:rsidP="00651A26">
      <w:pPr>
        <w:autoSpaceDE w:val="0"/>
        <w:autoSpaceDN w:val="0"/>
        <w:adjustRightInd w:val="0"/>
        <w:rPr>
          <w:rFonts w:eastAsia="Arial,Bold"/>
          <w:b/>
          <w:bCs/>
          <w:color w:val="FF0000"/>
          <w:sz w:val="24"/>
          <w:szCs w:val="24"/>
        </w:rPr>
      </w:pPr>
    </w:p>
    <w:p w14:paraId="49FCBFAC" w14:textId="77777777" w:rsidR="00651A26" w:rsidRPr="00651A26" w:rsidRDefault="00651A26" w:rsidP="00651A26">
      <w:pPr>
        <w:autoSpaceDE w:val="0"/>
        <w:autoSpaceDN w:val="0"/>
        <w:adjustRightInd w:val="0"/>
        <w:rPr>
          <w:rFonts w:eastAsia="Arial,Bold"/>
          <w:b/>
          <w:bCs/>
          <w:color w:val="000000"/>
          <w:sz w:val="24"/>
          <w:szCs w:val="24"/>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8580"/>
      </w:tblGrid>
      <w:tr w:rsidR="00651A26" w:rsidRPr="00651A26" w14:paraId="429D30E9" w14:textId="77777777" w:rsidTr="006159D0">
        <w:trPr>
          <w:jc w:val="center"/>
        </w:trPr>
        <w:tc>
          <w:tcPr>
            <w:tcW w:w="8580" w:type="dxa"/>
            <w:vAlign w:val="center"/>
            <w:hideMark/>
          </w:tcPr>
          <w:tbl>
            <w:tblPr>
              <w:tblW w:w="8580" w:type="dxa"/>
              <w:jc w:val="center"/>
              <w:tblLayout w:type="fixed"/>
              <w:tblCellMar>
                <w:top w:w="100" w:type="dxa"/>
                <w:left w:w="120" w:type="dxa"/>
                <w:bottom w:w="50" w:type="dxa"/>
                <w:right w:w="120" w:type="dxa"/>
              </w:tblCellMar>
              <w:tblLook w:val="0000" w:firstRow="0" w:lastRow="0" w:firstColumn="0" w:lastColumn="0" w:noHBand="0" w:noVBand="0"/>
            </w:tblPr>
            <w:tblGrid>
              <w:gridCol w:w="960"/>
              <w:gridCol w:w="1960"/>
              <w:gridCol w:w="1140"/>
              <w:gridCol w:w="1140"/>
              <w:gridCol w:w="1120"/>
              <w:gridCol w:w="1120"/>
              <w:gridCol w:w="1140"/>
            </w:tblGrid>
            <w:tr w:rsidR="00651A26" w:rsidRPr="00651A26" w14:paraId="63F7A89A" w14:textId="77777777" w:rsidTr="006159D0">
              <w:trPr>
                <w:jc w:val="center"/>
              </w:trPr>
              <w:tc>
                <w:tcPr>
                  <w:tcW w:w="8580" w:type="dxa"/>
                  <w:gridSpan w:val="7"/>
                  <w:tcBorders>
                    <w:top w:val="nil"/>
                    <w:left w:val="nil"/>
                    <w:bottom w:val="nil"/>
                    <w:right w:val="nil"/>
                  </w:tcBorders>
                  <w:tcMar>
                    <w:top w:w="100" w:type="dxa"/>
                    <w:left w:w="120" w:type="dxa"/>
                    <w:bottom w:w="50" w:type="dxa"/>
                    <w:right w:w="120" w:type="dxa"/>
                  </w:tcMar>
                  <w:vAlign w:val="center"/>
                </w:tcPr>
                <w:p w14:paraId="0051FA30" w14:textId="77777777" w:rsidR="00651A26" w:rsidRPr="00651A26" w:rsidRDefault="00651A26" w:rsidP="00651A26">
                  <w:pPr>
                    <w:pStyle w:val="TableTitle"/>
                    <w:numPr>
                      <w:ilvl w:val="0"/>
                      <w:numId w:val="1"/>
                    </w:numPr>
                    <w:ind w:right="800"/>
                    <w:rPr>
                      <w:rFonts w:ascii="Times New Roman" w:hAnsi="Times New Roman" w:cs="Times New Roman"/>
                    </w:rPr>
                  </w:pPr>
                  <w:bookmarkStart w:id="0" w:name="RTF32383939383a205461626c65"/>
                  <w:r w:rsidRPr="00651A26">
                    <w:rPr>
                      <w:rFonts w:ascii="Times New Roman" w:hAnsi="Times New Roman" w:cs="Times New Roman"/>
                      <w:w w:val="100"/>
                    </w:rPr>
                    <w:t>Table 9-42a- AID11 subfield encoding in an NDP Announcement frame</w:t>
                  </w:r>
                  <w:r w:rsidRPr="00651A26">
                    <w:rPr>
                      <w:rFonts w:ascii="Times New Roman" w:hAnsi="Times New Roman" w:cs="Times New Roman"/>
                      <w:w w:val="100"/>
                    </w:rPr>
                    <w:fldChar w:fldCharType="begin"/>
                  </w:r>
                  <w:r w:rsidRPr="00651A26">
                    <w:rPr>
                      <w:rFonts w:ascii="Times New Roman" w:hAnsi="Times New Roman" w:cs="Times New Roman"/>
                      <w:w w:val="100"/>
                    </w:rPr>
                    <w:instrText xml:space="preserve"> FILENAME </w:instrText>
                  </w:r>
                  <w:r w:rsidRPr="00651A26">
                    <w:rPr>
                      <w:rFonts w:ascii="Times New Roman" w:hAnsi="Times New Roman" w:cs="Times New Roman"/>
                      <w:w w:val="100"/>
                    </w:rPr>
                    <w:fldChar w:fldCharType="separate"/>
                  </w:r>
                  <w:r w:rsidRPr="00651A26">
                    <w:rPr>
                      <w:rFonts w:ascii="Times New Roman" w:hAnsi="Times New Roman" w:cs="Times New Roman"/>
                      <w:w w:val="100"/>
                    </w:rPr>
                    <w:t> </w:t>
                  </w:r>
                  <w:r w:rsidRPr="00651A26">
                    <w:rPr>
                      <w:rFonts w:ascii="Times New Roman" w:hAnsi="Times New Roman" w:cs="Times New Roman"/>
                      <w:w w:val="100"/>
                    </w:rPr>
                    <w:fldChar w:fldCharType="end"/>
                  </w:r>
                </w:p>
              </w:tc>
            </w:tr>
            <w:tr w:rsidR="00651A26" w:rsidRPr="00651A26" w14:paraId="6D378557" w14:textId="77777777" w:rsidTr="006159D0">
              <w:trPr>
                <w:trHeight w:val="400"/>
                <w:jc w:val="center"/>
              </w:trPr>
              <w:tc>
                <w:tcPr>
                  <w:tcW w:w="960" w:type="dxa"/>
                  <w:vMerge w:val="restart"/>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F0BF962" w14:textId="77777777" w:rsidR="00651A26" w:rsidRPr="00651A26" w:rsidRDefault="00651A26" w:rsidP="006159D0">
                  <w:pPr>
                    <w:pStyle w:val="CellHeading"/>
                  </w:pPr>
                  <w:r w:rsidRPr="00651A26">
                    <w:rPr>
                      <w:w w:val="100"/>
                    </w:rPr>
                    <w:t>AID11 subfield</w:t>
                  </w:r>
                </w:p>
              </w:tc>
              <w:tc>
                <w:tcPr>
                  <w:tcW w:w="196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96AF9DE" w14:textId="77777777" w:rsidR="00651A26" w:rsidRPr="00651A26" w:rsidRDefault="00651A26" w:rsidP="006159D0">
                  <w:pPr>
                    <w:pStyle w:val="CellHeading"/>
                  </w:pPr>
                  <w:r w:rsidRPr="00651A26">
                    <w:rPr>
                      <w:w w:val="100"/>
                    </w:rPr>
                    <w:t>Description</w:t>
                  </w:r>
                </w:p>
              </w:tc>
              <w:tc>
                <w:tcPr>
                  <w:tcW w:w="5660" w:type="dxa"/>
                  <w:gridSpan w:val="5"/>
                  <w:tcBorders>
                    <w:top w:val="single" w:sz="10" w:space="0" w:color="000000"/>
                    <w:left w:val="single" w:sz="2" w:space="0" w:color="000000"/>
                    <w:bottom w:val="single" w:sz="2" w:space="0" w:color="000000"/>
                    <w:right w:val="single" w:sz="10" w:space="0" w:color="000000"/>
                  </w:tcBorders>
                  <w:tcMar>
                    <w:top w:w="140" w:type="dxa"/>
                    <w:left w:w="120" w:type="dxa"/>
                    <w:bottom w:w="90" w:type="dxa"/>
                    <w:right w:w="120" w:type="dxa"/>
                  </w:tcMar>
                  <w:vAlign w:val="center"/>
                </w:tcPr>
                <w:p w14:paraId="1800AE9D" w14:textId="77777777" w:rsidR="00651A26" w:rsidRPr="00651A26" w:rsidRDefault="00651A26" w:rsidP="006159D0">
                  <w:pPr>
                    <w:pStyle w:val="CellHeading"/>
                  </w:pPr>
                  <w:r w:rsidRPr="00651A26">
                    <w:rPr>
                      <w:w w:val="100"/>
                    </w:rPr>
                    <w:t>NDP Announcement frame variant applicability (see NOTE)</w:t>
                  </w:r>
                </w:p>
              </w:tc>
            </w:tr>
            <w:tr w:rsidR="00651A26" w:rsidRPr="00651A26" w14:paraId="54439A9B" w14:textId="77777777" w:rsidTr="006159D0">
              <w:trPr>
                <w:trHeight w:val="400"/>
                <w:jc w:val="center"/>
              </w:trPr>
              <w:tc>
                <w:tcPr>
                  <w:tcW w:w="960" w:type="dxa"/>
                  <w:vMerge/>
                  <w:tcBorders>
                    <w:top w:val="single" w:sz="10" w:space="0" w:color="000000"/>
                    <w:left w:val="single" w:sz="10" w:space="0" w:color="000000"/>
                    <w:bottom w:val="single" w:sz="10" w:space="0" w:color="000000"/>
                    <w:right w:val="single" w:sz="2" w:space="0" w:color="000000"/>
                  </w:tcBorders>
                </w:tcPr>
                <w:p w14:paraId="06033F50" w14:textId="77777777" w:rsidR="00651A26" w:rsidRPr="00651A26" w:rsidRDefault="00651A26" w:rsidP="006159D0">
                  <w:pPr>
                    <w:pStyle w:val="A1FigTitle"/>
                    <w:spacing w:before="0" w:line="240" w:lineRule="auto"/>
                    <w:jc w:val="left"/>
                    <w:rPr>
                      <w:rFonts w:ascii="Times New Roman" w:hAnsi="Times New Roman" w:cs="Times New Roman"/>
                      <w:b w:val="0"/>
                      <w:bCs w:val="0"/>
                      <w:color w:val="auto"/>
                      <w:w w:val="100"/>
                      <w:sz w:val="24"/>
                      <w:szCs w:val="24"/>
                    </w:rPr>
                  </w:pPr>
                </w:p>
              </w:tc>
              <w:tc>
                <w:tcPr>
                  <w:tcW w:w="1960" w:type="dxa"/>
                  <w:vMerge/>
                  <w:tcBorders>
                    <w:top w:val="nil"/>
                    <w:left w:val="single" w:sz="2" w:space="0" w:color="000000"/>
                    <w:bottom w:val="single" w:sz="2" w:space="0" w:color="000000"/>
                    <w:right w:val="single" w:sz="2" w:space="0" w:color="000000"/>
                  </w:tcBorders>
                </w:tcPr>
                <w:p w14:paraId="45A09855" w14:textId="77777777" w:rsidR="00651A26" w:rsidRPr="00651A26" w:rsidRDefault="00651A26" w:rsidP="006159D0">
                  <w:pPr>
                    <w:pStyle w:val="A1FigTitle"/>
                    <w:spacing w:before="0" w:line="240" w:lineRule="auto"/>
                    <w:jc w:val="left"/>
                    <w:rPr>
                      <w:rFonts w:ascii="Times New Roman" w:hAnsi="Times New Roman" w:cs="Times New Roman"/>
                      <w:b w:val="0"/>
                      <w:bCs w:val="0"/>
                      <w:color w:val="auto"/>
                      <w:w w:val="100"/>
                      <w:sz w:val="24"/>
                      <w:szCs w:val="24"/>
                    </w:rPr>
                  </w:pPr>
                </w:p>
              </w:tc>
              <w:tc>
                <w:tcPr>
                  <w:tcW w:w="114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D00DE87" w14:textId="77777777" w:rsidR="00651A26" w:rsidRPr="00651A26" w:rsidRDefault="00651A26" w:rsidP="006159D0">
                  <w:pPr>
                    <w:pStyle w:val="CellHeading"/>
                  </w:pPr>
                  <w:r w:rsidRPr="00651A26">
                    <w:rPr>
                      <w:w w:val="100"/>
                    </w:rPr>
                    <w:t>VHT</w:t>
                  </w:r>
                </w:p>
              </w:tc>
              <w:tc>
                <w:tcPr>
                  <w:tcW w:w="114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565BF3A" w14:textId="77777777" w:rsidR="00651A26" w:rsidRPr="00651A26" w:rsidRDefault="00651A26" w:rsidP="006159D0">
                  <w:pPr>
                    <w:pStyle w:val="CellHeading"/>
                  </w:pPr>
                  <w:r w:rsidRPr="00651A26">
                    <w:rPr>
                      <w:w w:val="100"/>
                    </w:rPr>
                    <w:t>HE</w:t>
                  </w:r>
                </w:p>
              </w:tc>
              <w:tc>
                <w:tcPr>
                  <w:tcW w:w="112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B65FA47" w14:textId="77777777" w:rsidR="00651A26" w:rsidRPr="00651A26" w:rsidRDefault="00651A26" w:rsidP="006159D0">
                  <w:pPr>
                    <w:pStyle w:val="CellHeading"/>
                  </w:pPr>
                  <w:r w:rsidRPr="00651A26">
                    <w:rPr>
                      <w:w w:val="100"/>
                    </w:rPr>
                    <w:t>EHT</w:t>
                  </w:r>
                </w:p>
              </w:tc>
              <w:tc>
                <w:tcPr>
                  <w:tcW w:w="112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23F1FFA" w14:textId="77777777" w:rsidR="00651A26" w:rsidRPr="00651A26" w:rsidRDefault="00651A26" w:rsidP="006159D0">
                  <w:pPr>
                    <w:pStyle w:val="CellHeading"/>
                  </w:pPr>
                  <w:r w:rsidRPr="00651A26">
                    <w:rPr>
                      <w:w w:val="100"/>
                    </w:rPr>
                    <w:t>Ranging</w:t>
                  </w:r>
                </w:p>
              </w:tc>
              <w:tc>
                <w:tcPr>
                  <w:tcW w:w="1140" w:type="dxa"/>
                  <w:tcBorders>
                    <w:top w:val="nil"/>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ABA9DC7" w14:textId="77777777" w:rsidR="00651A26" w:rsidRPr="00651A26" w:rsidRDefault="00651A26" w:rsidP="006159D0">
                  <w:pPr>
                    <w:pStyle w:val="CellHeading"/>
                    <w:rPr>
                      <w:strike/>
                      <w:u w:val="thick"/>
                    </w:rPr>
                  </w:pPr>
                  <w:r w:rsidRPr="00651A26">
                    <w:rPr>
                      <w:w w:val="100"/>
                      <w:u w:val="thick"/>
                    </w:rPr>
                    <w:t>Sensing</w:t>
                  </w:r>
                </w:p>
              </w:tc>
            </w:tr>
            <w:tr w:rsidR="00651A26" w:rsidRPr="00651A26" w14:paraId="64520CD4" w14:textId="77777777" w:rsidTr="006159D0">
              <w:trPr>
                <w:trHeight w:val="737"/>
                <w:jc w:val="center"/>
              </w:trPr>
              <w:tc>
                <w:tcPr>
                  <w:tcW w:w="9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08F18CE" w14:textId="77777777" w:rsidR="00651A26" w:rsidRPr="00651A26" w:rsidRDefault="00651A26" w:rsidP="006159D0">
                  <w:pPr>
                    <w:pStyle w:val="CellBody"/>
                  </w:pPr>
                  <w:r w:rsidRPr="00651A26">
                    <w:rPr>
                      <w:w w:val="100"/>
                    </w:rPr>
                    <w:t>0</w:t>
                  </w:r>
                </w:p>
              </w:tc>
              <w:tc>
                <w:tcPr>
                  <w:tcW w:w="19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CB77146" w14:textId="77777777" w:rsidR="00651A26" w:rsidRPr="00651A26" w:rsidRDefault="00651A26" w:rsidP="006159D0">
                  <w:pPr>
                    <w:pStyle w:val="CellBody"/>
                  </w:pPr>
                  <w:r w:rsidRPr="00651A26">
                    <w:rPr>
                      <w:w w:val="100"/>
                    </w:rPr>
                    <w:t>STA Info field is addressed to the associated AP or mesh</w:t>
                  </w:r>
                </w:p>
              </w:tc>
              <w:tc>
                <w:tcPr>
                  <w:tcW w:w="5660" w:type="dxa"/>
                  <w:gridSpan w:val="5"/>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34816D7C" w14:textId="77777777" w:rsidR="00651A26" w:rsidRPr="00651A26" w:rsidRDefault="00651A26" w:rsidP="006159D0">
                  <w:pPr>
                    <w:pStyle w:val="CellBody"/>
                    <w:jc w:val="center"/>
                  </w:pPr>
                  <w:r w:rsidRPr="00651A26">
                    <w:rPr>
                      <w:w w:val="100"/>
                    </w:rPr>
                    <w:t>Applicable</w:t>
                  </w:r>
                </w:p>
              </w:tc>
            </w:tr>
            <w:tr w:rsidR="00651A26" w:rsidRPr="00651A26" w14:paraId="6986ADE4" w14:textId="77777777" w:rsidTr="006159D0">
              <w:trPr>
                <w:trHeight w:val="320"/>
                <w:jc w:val="center"/>
              </w:trPr>
              <w:tc>
                <w:tcPr>
                  <w:tcW w:w="9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AC3189A" w14:textId="77777777" w:rsidR="00651A26" w:rsidRPr="00651A26" w:rsidRDefault="00651A26" w:rsidP="006159D0">
                  <w:pPr>
                    <w:pStyle w:val="CellBody"/>
                  </w:pPr>
                  <w:r w:rsidRPr="00651A26">
                    <w:rPr>
                      <w:w w:val="100"/>
                    </w:rPr>
                    <w:t>1–2006</w:t>
                  </w:r>
                </w:p>
              </w:tc>
              <w:tc>
                <w:tcPr>
                  <w:tcW w:w="1960" w:type="dxa"/>
                  <w:vMerge w:val="restart"/>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993A1E3" w14:textId="77777777" w:rsidR="00651A26" w:rsidRPr="00651A26" w:rsidRDefault="00651A26" w:rsidP="006159D0">
                  <w:pPr>
                    <w:pStyle w:val="CellBody"/>
                    <w:rPr>
                      <w:w w:val="100"/>
                      <w:kern w:val="2"/>
                    </w:rPr>
                  </w:pPr>
                  <w:r w:rsidRPr="00651A26">
                    <w:rPr>
                      <w:color w:val="FF0000"/>
                      <w:w w:val="100"/>
                      <w:kern w:val="2"/>
                    </w:rPr>
                    <w:t xml:space="preserve">If the NDP Announcement frame is not a Ranging </w:t>
                  </w:r>
                  <w:r w:rsidRPr="00825D24">
                    <w:rPr>
                      <w:color w:val="FF0000"/>
                      <w:w w:val="100"/>
                      <w:kern w:val="2"/>
                      <w:u w:val="thick"/>
                    </w:rPr>
                    <w:t xml:space="preserve">or a Sensing </w:t>
                  </w:r>
                  <w:r w:rsidRPr="00651A26">
                    <w:rPr>
                      <w:color w:val="FF0000"/>
                      <w:w w:val="100"/>
                      <w:kern w:val="2"/>
                    </w:rPr>
                    <w:t xml:space="preserve">variant, the </w:t>
                  </w:r>
                  <w:r w:rsidRPr="00651A26">
                    <w:rPr>
                      <w:w w:val="100"/>
                      <w:kern w:val="2"/>
                    </w:rPr>
                    <w:t xml:space="preserve">STA Info field is addressed to an associated STA whose AID is equal to the value in the AID11 subfield </w:t>
                  </w:r>
                </w:p>
                <w:p w14:paraId="5FB6686A" w14:textId="77777777" w:rsidR="00651A26" w:rsidRPr="00651A26" w:rsidRDefault="00651A26" w:rsidP="006159D0">
                  <w:pPr>
                    <w:rPr>
                      <w:rFonts w:eastAsiaTheme="minorEastAsia"/>
                      <w:strike/>
                      <w:color w:val="000000"/>
                      <w:kern w:val="2"/>
                      <w:sz w:val="18"/>
                      <w:szCs w:val="18"/>
                      <w14:ligatures w14:val="standardContextual"/>
                    </w:rPr>
                  </w:pPr>
                  <w:r w:rsidRPr="00651A26">
                    <w:rPr>
                      <w:rFonts w:eastAsiaTheme="minorEastAsia"/>
                      <w:strike/>
                      <w:kern w:val="2"/>
                      <w:sz w:val="18"/>
                      <w:szCs w:val="18"/>
                      <w14:ligatures w14:val="standardContextual"/>
                    </w:rPr>
                    <w:t>if the NDP Announcement frame is not a Ranging or a Sensing variant.</w:t>
                  </w:r>
                </w:p>
                <w:p w14:paraId="73D09A5F" w14:textId="77777777" w:rsidR="00651A26" w:rsidRPr="00651A26" w:rsidRDefault="00651A26" w:rsidP="006159D0">
                  <w:pPr>
                    <w:pStyle w:val="CellBody"/>
                    <w:rPr>
                      <w:w w:val="100"/>
                      <w:kern w:val="2"/>
                    </w:rPr>
                  </w:pPr>
                </w:p>
                <w:p w14:paraId="24BF35FC" w14:textId="77777777" w:rsidR="00651A26" w:rsidRPr="00651A26" w:rsidRDefault="00651A26" w:rsidP="006159D0">
                  <w:pPr>
                    <w:pStyle w:val="CellBody"/>
                    <w:rPr>
                      <w:w w:val="100"/>
                      <w:kern w:val="2"/>
                    </w:rPr>
                  </w:pPr>
                </w:p>
                <w:p w14:paraId="5686C79B" w14:textId="77777777" w:rsidR="00651A26" w:rsidRPr="00651A26" w:rsidRDefault="00651A26" w:rsidP="006159D0">
                  <w:pPr>
                    <w:rPr>
                      <w:rFonts w:eastAsiaTheme="minorEastAsia"/>
                      <w:strike/>
                      <w:color w:val="000000"/>
                      <w:kern w:val="2"/>
                      <w:sz w:val="18"/>
                      <w:szCs w:val="18"/>
                      <w14:ligatures w14:val="standardContextual"/>
                    </w:rPr>
                  </w:pPr>
                  <w:r w:rsidRPr="00651A26">
                    <w:rPr>
                      <w:rFonts w:eastAsiaTheme="minorEastAsia"/>
                      <w:color w:val="FF0000"/>
                      <w:kern w:val="2"/>
                      <w:sz w:val="18"/>
                      <w:szCs w:val="18"/>
                      <w14:ligatures w14:val="standardContextual"/>
                    </w:rPr>
                    <w:t xml:space="preserve">If the NDP Announcement frame is not a Ranging </w:t>
                  </w:r>
                  <w:r w:rsidRPr="00825D24">
                    <w:rPr>
                      <w:rFonts w:eastAsiaTheme="minorEastAsia"/>
                      <w:color w:val="FF0000"/>
                      <w:kern w:val="2"/>
                      <w:sz w:val="18"/>
                      <w:szCs w:val="18"/>
                      <w:u w:val="single"/>
                      <w14:ligatures w14:val="standardContextual"/>
                    </w:rPr>
                    <w:t>or a Sensing</w:t>
                  </w:r>
                  <w:r w:rsidRPr="00651A26">
                    <w:rPr>
                      <w:rFonts w:eastAsiaTheme="minorEastAsia"/>
                      <w:color w:val="FF0000"/>
                      <w:kern w:val="2"/>
                      <w:sz w:val="18"/>
                      <w:szCs w:val="18"/>
                      <w14:ligatures w14:val="standardContextual"/>
                    </w:rPr>
                    <w:t xml:space="preserve"> variant, the STA</w:t>
                  </w:r>
                  <w:r w:rsidRPr="00651A26">
                    <w:rPr>
                      <w:kern w:val="2"/>
                    </w:rPr>
                    <w:t xml:space="preserve"> Info field is addressed to an </w:t>
                  </w:r>
                  <w:proofErr w:type="spellStart"/>
                  <w:r w:rsidRPr="00651A26">
                    <w:rPr>
                      <w:kern w:val="2"/>
                    </w:rPr>
                    <w:t>unassociated</w:t>
                  </w:r>
                  <w:proofErr w:type="spellEnd"/>
                  <w:r w:rsidRPr="00651A26">
                    <w:rPr>
                      <w:kern w:val="2"/>
                    </w:rPr>
                    <w:t xml:space="preserve"> STA or an associated STA whose RSID/</w:t>
                  </w:r>
                  <w:r w:rsidRPr="00651A26">
                    <w:rPr>
                      <w:kern w:val="2"/>
                      <w:u w:val="thick"/>
                    </w:rPr>
                    <w:t>USID/</w:t>
                  </w:r>
                  <w:r w:rsidRPr="00651A26">
                    <w:rPr>
                      <w:kern w:val="2"/>
                    </w:rPr>
                    <w:t>AID is equal to the value in the RSID11/</w:t>
                  </w:r>
                  <w:r w:rsidRPr="00651A26">
                    <w:rPr>
                      <w:kern w:val="2"/>
                      <w:u w:val="thick"/>
                    </w:rPr>
                    <w:t>USID11/</w:t>
                  </w:r>
                  <w:r w:rsidRPr="00651A26">
                    <w:rPr>
                      <w:kern w:val="2"/>
                    </w:rPr>
                    <w:t xml:space="preserve">AID11 subfield </w:t>
                  </w:r>
                  <w:r w:rsidRPr="00651A26">
                    <w:rPr>
                      <w:rFonts w:eastAsiaTheme="minorEastAsia"/>
                      <w:strike/>
                      <w:kern w:val="2"/>
                      <w:sz w:val="18"/>
                      <w:szCs w:val="18"/>
                      <w14:ligatures w14:val="standardContextual"/>
                    </w:rPr>
                    <w:t>if the NDP Announcement frame is not a Ranging or a Sensing variant.</w:t>
                  </w:r>
                </w:p>
                <w:p w14:paraId="0BA474F5" w14:textId="77777777" w:rsidR="00651A26" w:rsidRPr="00651A26" w:rsidRDefault="00651A26" w:rsidP="006159D0">
                  <w:pPr>
                    <w:pStyle w:val="CellBody"/>
                  </w:pPr>
                </w:p>
              </w:tc>
              <w:tc>
                <w:tcPr>
                  <w:tcW w:w="5660" w:type="dxa"/>
                  <w:gridSpan w:val="5"/>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3F2780D8" w14:textId="77777777" w:rsidR="00651A26" w:rsidRPr="00651A26" w:rsidRDefault="00651A26" w:rsidP="006159D0">
                  <w:pPr>
                    <w:pStyle w:val="CellBody"/>
                    <w:jc w:val="center"/>
                  </w:pPr>
                  <w:r w:rsidRPr="00651A26">
                    <w:rPr>
                      <w:w w:val="100"/>
                    </w:rPr>
                    <w:t>Applicable</w:t>
                  </w:r>
                </w:p>
              </w:tc>
            </w:tr>
            <w:tr w:rsidR="00651A26" w:rsidRPr="00651A26" w14:paraId="66F92051" w14:textId="77777777" w:rsidTr="006159D0">
              <w:trPr>
                <w:trHeight w:val="3800"/>
                <w:jc w:val="center"/>
              </w:trPr>
              <w:tc>
                <w:tcPr>
                  <w:tcW w:w="9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EC9F258" w14:textId="77777777" w:rsidR="00651A26" w:rsidRPr="00651A26" w:rsidRDefault="00651A26" w:rsidP="006159D0">
                  <w:pPr>
                    <w:pStyle w:val="CellBody"/>
                  </w:pPr>
                  <w:r w:rsidRPr="00651A26">
                    <w:rPr>
                      <w:w w:val="100"/>
                    </w:rPr>
                    <w:t>2007</w:t>
                  </w:r>
                </w:p>
              </w:tc>
              <w:tc>
                <w:tcPr>
                  <w:tcW w:w="1960" w:type="dxa"/>
                  <w:vMerge/>
                  <w:tcBorders>
                    <w:top w:val="nil"/>
                    <w:left w:val="single" w:sz="2" w:space="0" w:color="000000"/>
                    <w:bottom w:val="single" w:sz="2" w:space="0" w:color="000000"/>
                    <w:right w:val="single" w:sz="2" w:space="0" w:color="000000"/>
                  </w:tcBorders>
                </w:tcPr>
                <w:p w14:paraId="54631719" w14:textId="77777777" w:rsidR="00651A26" w:rsidRPr="00651A26" w:rsidRDefault="00651A26" w:rsidP="006159D0">
                  <w:pPr>
                    <w:pStyle w:val="A1FigTitle"/>
                    <w:spacing w:before="0" w:line="240" w:lineRule="auto"/>
                    <w:jc w:val="left"/>
                    <w:rPr>
                      <w:rFonts w:ascii="Times New Roman" w:hAnsi="Times New Roman" w:cs="Times New Roman"/>
                      <w:b w:val="0"/>
                      <w:bCs w:val="0"/>
                      <w:color w:val="auto"/>
                      <w:w w:val="100"/>
                      <w:sz w:val="24"/>
                      <w:szCs w:val="24"/>
                    </w:rPr>
                  </w:pPr>
                </w:p>
              </w:tc>
              <w:tc>
                <w:tcPr>
                  <w:tcW w:w="114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787A011B" w14:textId="77777777" w:rsidR="00651A26" w:rsidRPr="00651A26" w:rsidRDefault="00651A26" w:rsidP="006159D0">
                  <w:pPr>
                    <w:pStyle w:val="CellBody"/>
                    <w:jc w:val="center"/>
                  </w:pPr>
                  <w:r w:rsidRPr="00651A26">
                    <w:rPr>
                      <w:w w:val="100"/>
                    </w:rPr>
                    <w:t>Applicable</w:t>
                  </w:r>
                </w:p>
              </w:tc>
              <w:tc>
                <w:tcPr>
                  <w:tcW w:w="114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7B895FA4" w14:textId="77777777" w:rsidR="00651A26" w:rsidRPr="00651A26" w:rsidRDefault="00651A26" w:rsidP="006159D0">
                  <w:pPr>
                    <w:pStyle w:val="CellBody"/>
                    <w:jc w:val="center"/>
                  </w:pPr>
                  <w:r w:rsidRPr="00651A26">
                    <w:rPr>
                      <w:w w:val="100"/>
                    </w:rPr>
                    <w:t>Applicable (subject to 35.15.1 (Basic EHT BSS operation))</w:t>
                  </w:r>
                </w:p>
              </w:tc>
              <w:tc>
                <w:tcPr>
                  <w:tcW w:w="1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60271A13" w14:textId="77777777" w:rsidR="00651A26" w:rsidRPr="00651A26" w:rsidRDefault="00651A26" w:rsidP="006159D0">
                  <w:pPr>
                    <w:pStyle w:val="CellBody"/>
                    <w:jc w:val="center"/>
                  </w:pPr>
                  <w:r w:rsidRPr="00651A26">
                    <w:rPr>
                      <w:w w:val="100"/>
                    </w:rPr>
                    <w:t>Not applicable</w:t>
                  </w:r>
                </w:p>
              </w:tc>
              <w:tc>
                <w:tcPr>
                  <w:tcW w:w="1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572042B6" w14:textId="77777777" w:rsidR="00651A26" w:rsidRPr="00651A26" w:rsidRDefault="00651A26" w:rsidP="006159D0">
                  <w:pPr>
                    <w:pStyle w:val="CellBody"/>
                    <w:jc w:val="center"/>
                  </w:pPr>
                  <w:r w:rsidRPr="00651A26">
                    <w:rPr>
                      <w:w w:val="100"/>
                    </w:rPr>
                    <w:t>Applicable</w:t>
                  </w:r>
                </w:p>
              </w:tc>
              <w:tc>
                <w:tcPr>
                  <w:tcW w:w="11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0BAC2AF8" w14:textId="77777777" w:rsidR="00651A26" w:rsidRPr="00651A26" w:rsidRDefault="00651A26" w:rsidP="006159D0">
                  <w:pPr>
                    <w:pStyle w:val="CellBody"/>
                    <w:jc w:val="center"/>
                    <w:rPr>
                      <w:strike/>
                      <w:u w:val="thick"/>
                    </w:rPr>
                  </w:pPr>
                  <w:r w:rsidRPr="00651A26">
                    <w:rPr>
                      <w:w w:val="100"/>
                      <w:u w:val="thick"/>
                    </w:rPr>
                    <w:t>Applicable</w:t>
                  </w:r>
                </w:p>
              </w:tc>
            </w:tr>
            <w:tr w:rsidR="00651A26" w:rsidRPr="00651A26" w14:paraId="1AF61C75" w14:textId="77777777" w:rsidTr="006159D0">
              <w:trPr>
                <w:trHeight w:val="520"/>
                <w:jc w:val="center"/>
              </w:trPr>
              <w:tc>
                <w:tcPr>
                  <w:tcW w:w="9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E59B46A" w14:textId="77777777" w:rsidR="00651A26" w:rsidRPr="00651A26" w:rsidRDefault="00651A26" w:rsidP="006159D0">
                  <w:pPr>
                    <w:pStyle w:val="CellBody"/>
                  </w:pPr>
                  <w:r w:rsidRPr="00651A26">
                    <w:rPr>
                      <w:w w:val="100"/>
                    </w:rPr>
                    <w:t>2008–2042</w:t>
                  </w:r>
                </w:p>
              </w:tc>
              <w:tc>
                <w:tcPr>
                  <w:tcW w:w="19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6B436A" w14:textId="77777777" w:rsidR="00651A26" w:rsidRPr="00651A26" w:rsidRDefault="00651A26" w:rsidP="006159D0">
                  <w:pPr>
                    <w:pStyle w:val="CellBody"/>
                  </w:pPr>
                  <w:r w:rsidRPr="00651A26">
                    <w:rPr>
                      <w:w w:val="100"/>
                    </w:rPr>
                    <w:t>N/A</w:t>
                  </w:r>
                </w:p>
              </w:tc>
              <w:tc>
                <w:tcPr>
                  <w:tcW w:w="5660" w:type="dxa"/>
                  <w:gridSpan w:val="5"/>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78060B8D" w14:textId="77777777" w:rsidR="00651A26" w:rsidRPr="00651A26" w:rsidRDefault="00651A26" w:rsidP="006159D0">
                  <w:pPr>
                    <w:pStyle w:val="CellBody"/>
                    <w:jc w:val="center"/>
                  </w:pPr>
                  <w:r w:rsidRPr="00651A26">
                    <w:rPr>
                      <w:w w:val="100"/>
                    </w:rPr>
                    <w:t>Not applicable</w:t>
                  </w:r>
                </w:p>
              </w:tc>
            </w:tr>
            <w:tr w:rsidR="00651A26" w:rsidRPr="00651A26" w14:paraId="22C66D5A" w14:textId="77777777" w:rsidTr="006159D0">
              <w:trPr>
                <w:trHeight w:val="720"/>
                <w:jc w:val="center"/>
              </w:trPr>
              <w:tc>
                <w:tcPr>
                  <w:tcW w:w="9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EAE6E45" w14:textId="77777777" w:rsidR="00651A26" w:rsidRPr="00651A26" w:rsidRDefault="00651A26" w:rsidP="006159D0">
                  <w:pPr>
                    <w:pStyle w:val="CellBody"/>
                  </w:pPr>
                  <w:r w:rsidRPr="00651A26">
                    <w:rPr>
                      <w:w w:val="100"/>
                    </w:rPr>
                    <w:lastRenderedPageBreak/>
                    <w:t>2043</w:t>
                  </w:r>
                </w:p>
              </w:tc>
              <w:tc>
                <w:tcPr>
                  <w:tcW w:w="19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4C94EFE" w14:textId="77777777" w:rsidR="00651A26" w:rsidRPr="00651A26" w:rsidRDefault="00651A26" w:rsidP="006159D0">
                  <w:pPr>
                    <w:pStyle w:val="CellBody"/>
                  </w:pPr>
                  <w:r w:rsidRPr="00651A26">
                    <w:rPr>
                      <w:w w:val="100"/>
                    </w:rPr>
                    <w:t>STA Info field contains a sequence authentication code subfield</w:t>
                  </w:r>
                </w:p>
              </w:tc>
              <w:tc>
                <w:tcPr>
                  <w:tcW w:w="114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29E83EEA" w14:textId="77777777" w:rsidR="00651A26" w:rsidRPr="00651A26" w:rsidRDefault="00651A26" w:rsidP="006159D0">
                  <w:pPr>
                    <w:pStyle w:val="CellBody"/>
                    <w:jc w:val="center"/>
                  </w:pPr>
                  <w:r w:rsidRPr="00651A26">
                    <w:rPr>
                      <w:w w:val="100"/>
                    </w:rPr>
                    <w:t>Not applicable</w:t>
                  </w:r>
                </w:p>
              </w:tc>
              <w:tc>
                <w:tcPr>
                  <w:tcW w:w="114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4DC26C47" w14:textId="77777777" w:rsidR="00651A26" w:rsidRPr="00651A26" w:rsidRDefault="00651A26" w:rsidP="006159D0">
                  <w:pPr>
                    <w:pStyle w:val="CellBody"/>
                    <w:jc w:val="center"/>
                  </w:pPr>
                  <w:r w:rsidRPr="00651A26">
                    <w:rPr>
                      <w:w w:val="100"/>
                    </w:rPr>
                    <w:t>Not applicable</w:t>
                  </w:r>
                </w:p>
              </w:tc>
              <w:tc>
                <w:tcPr>
                  <w:tcW w:w="1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36C0AE65" w14:textId="77777777" w:rsidR="00651A26" w:rsidRPr="00651A26" w:rsidRDefault="00651A26" w:rsidP="006159D0">
                  <w:pPr>
                    <w:pStyle w:val="CellBody"/>
                    <w:jc w:val="center"/>
                  </w:pPr>
                  <w:r w:rsidRPr="00651A26">
                    <w:rPr>
                      <w:w w:val="100"/>
                    </w:rPr>
                    <w:t>Not applicable</w:t>
                  </w:r>
                </w:p>
              </w:tc>
              <w:tc>
                <w:tcPr>
                  <w:tcW w:w="1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18EF20ED" w14:textId="77777777" w:rsidR="00651A26" w:rsidRPr="00651A26" w:rsidRDefault="00651A26" w:rsidP="006159D0">
                  <w:pPr>
                    <w:pStyle w:val="CellBody"/>
                    <w:jc w:val="center"/>
                  </w:pPr>
                  <w:r w:rsidRPr="00651A26">
                    <w:rPr>
                      <w:w w:val="100"/>
                    </w:rPr>
                    <w:t>Applicable</w:t>
                  </w:r>
                </w:p>
              </w:tc>
              <w:tc>
                <w:tcPr>
                  <w:tcW w:w="11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28CEDB79" w14:textId="77777777" w:rsidR="00651A26" w:rsidRPr="00651A26" w:rsidRDefault="00651A26" w:rsidP="006159D0">
                  <w:pPr>
                    <w:pStyle w:val="CellBody"/>
                    <w:jc w:val="center"/>
                    <w:rPr>
                      <w:strike/>
                      <w:u w:val="thick"/>
                    </w:rPr>
                  </w:pPr>
                  <w:r w:rsidRPr="00651A26">
                    <w:rPr>
                      <w:w w:val="100"/>
                      <w:u w:val="thick"/>
                    </w:rPr>
                    <w:t>Not applicable</w:t>
                  </w:r>
                </w:p>
              </w:tc>
            </w:tr>
            <w:tr w:rsidR="00651A26" w:rsidRPr="00651A26" w14:paraId="66F43F8B" w14:textId="77777777" w:rsidTr="006159D0">
              <w:trPr>
                <w:trHeight w:val="520"/>
                <w:jc w:val="center"/>
              </w:trPr>
              <w:tc>
                <w:tcPr>
                  <w:tcW w:w="9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315DD89C" w14:textId="77777777" w:rsidR="00651A26" w:rsidRPr="00651A26" w:rsidRDefault="00651A26" w:rsidP="006159D0">
                  <w:pPr>
                    <w:pStyle w:val="CellBody"/>
                  </w:pPr>
                  <w:r w:rsidRPr="00651A26">
                    <w:rPr>
                      <w:w w:val="100"/>
                    </w:rPr>
                    <w:t>2044</w:t>
                  </w:r>
                </w:p>
              </w:tc>
              <w:tc>
                <w:tcPr>
                  <w:tcW w:w="19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84B9403" w14:textId="77777777" w:rsidR="00651A26" w:rsidRPr="00651A26" w:rsidRDefault="00651A26" w:rsidP="006159D0">
                  <w:pPr>
                    <w:pStyle w:val="CellBody"/>
                  </w:pPr>
                  <w:r w:rsidRPr="00651A26">
                    <w:rPr>
                      <w:w w:val="100"/>
                    </w:rPr>
                    <w:t>STA Info field contains a partial TSF subfield</w:t>
                  </w:r>
                </w:p>
              </w:tc>
              <w:tc>
                <w:tcPr>
                  <w:tcW w:w="114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067A31E7" w14:textId="77777777" w:rsidR="00651A26" w:rsidRPr="00651A26" w:rsidRDefault="00651A26" w:rsidP="006159D0">
                  <w:pPr>
                    <w:pStyle w:val="CellBody"/>
                    <w:jc w:val="center"/>
                  </w:pPr>
                  <w:r w:rsidRPr="00651A26">
                    <w:rPr>
                      <w:w w:val="100"/>
                    </w:rPr>
                    <w:t>Not applicable</w:t>
                  </w:r>
                </w:p>
              </w:tc>
              <w:tc>
                <w:tcPr>
                  <w:tcW w:w="114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18D9134F" w14:textId="77777777" w:rsidR="00651A26" w:rsidRPr="00651A26" w:rsidRDefault="00651A26" w:rsidP="006159D0">
                  <w:pPr>
                    <w:pStyle w:val="CellBody"/>
                    <w:jc w:val="center"/>
                  </w:pPr>
                  <w:r w:rsidRPr="00651A26">
                    <w:rPr>
                      <w:w w:val="100"/>
                    </w:rPr>
                    <w:t>Not applicable</w:t>
                  </w:r>
                </w:p>
              </w:tc>
              <w:tc>
                <w:tcPr>
                  <w:tcW w:w="1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5AC66D81" w14:textId="77777777" w:rsidR="00651A26" w:rsidRPr="00651A26" w:rsidRDefault="00651A26" w:rsidP="006159D0">
                  <w:pPr>
                    <w:pStyle w:val="CellBody"/>
                    <w:jc w:val="center"/>
                  </w:pPr>
                  <w:r w:rsidRPr="00651A26">
                    <w:rPr>
                      <w:w w:val="100"/>
                    </w:rPr>
                    <w:t>Not applicable</w:t>
                  </w:r>
                </w:p>
              </w:tc>
              <w:tc>
                <w:tcPr>
                  <w:tcW w:w="1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0963C35C" w14:textId="77777777" w:rsidR="00651A26" w:rsidRPr="00651A26" w:rsidRDefault="00651A26" w:rsidP="006159D0">
                  <w:pPr>
                    <w:pStyle w:val="CellBody"/>
                    <w:jc w:val="center"/>
                  </w:pPr>
                  <w:r w:rsidRPr="00651A26">
                    <w:rPr>
                      <w:w w:val="100"/>
                    </w:rPr>
                    <w:t>Applicable</w:t>
                  </w:r>
                </w:p>
              </w:tc>
              <w:tc>
                <w:tcPr>
                  <w:tcW w:w="11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534A5D90" w14:textId="77777777" w:rsidR="00651A26" w:rsidRPr="00651A26" w:rsidRDefault="00651A26" w:rsidP="006159D0">
                  <w:pPr>
                    <w:pStyle w:val="CellBody"/>
                    <w:jc w:val="center"/>
                    <w:rPr>
                      <w:strike/>
                      <w:u w:val="thick"/>
                    </w:rPr>
                  </w:pPr>
                  <w:r w:rsidRPr="00651A26">
                    <w:rPr>
                      <w:w w:val="100"/>
                      <w:u w:val="thick"/>
                    </w:rPr>
                    <w:t>Applicable</w:t>
                  </w:r>
                </w:p>
              </w:tc>
            </w:tr>
            <w:tr w:rsidR="00651A26" w:rsidRPr="00651A26" w14:paraId="15CB8060" w14:textId="77777777" w:rsidTr="006159D0">
              <w:trPr>
                <w:trHeight w:val="3920"/>
                <w:jc w:val="center"/>
              </w:trPr>
              <w:tc>
                <w:tcPr>
                  <w:tcW w:w="9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336965B" w14:textId="77777777" w:rsidR="00651A26" w:rsidRPr="00651A26" w:rsidRDefault="00651A26" w:rsidP="006159D0">
                  <w:pPr>
                    <w:pStyle w:val="CellBody"/>
                  </w:pPr>
                  <w:r w:rsidRPr="00651A26">
                    <w:rPr>
                      <w:w w:val="100"/>
                    </w:rPr>
                    <w:t>2045</w:t>
                  </w:r>
                </w:p>
              </w:tc>
              <w:tc>
                <w:tcPr>
                  <w:tcW w:w="19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032F940" w14:textId="77777777" w:rsidR="00651A26" w:rsidRPr="00651A26" w:rsidRDefault="00651A26" w:rsidP="006159D0">
                  <w:pPr>
                    <w:pStyle w:val="CellBody"/>
                    <w:rPr>
                      <w:strike/>
                      <w:w w:val="100"/>
                    </w:rPr>
                  </w:pPr>
                  <w:r w:rsidRPr="00651A26">
                    <w:rPr>
                      <w:strike/>
                      <w:w w:val="100"/>
                    </w:rPr>
                    <w:t>STA Info field contains ranging the I2R NDP Tx Power and R2I NDP Target RSSI subfields if the NDP Announcement frame is a Ranging variant.</w:t>
                  </w:r>
                </w:p>
                <w:p w14:paraId="5E90DE12" w14:textId="77777777" w:rsidR="00651A26" w:rsidRPr="00651A26" w:rsidRDefault="00651A26" w:rsidP="006159D0">
                  <w:pPr>
                    <w:pStyle w:val="CellBody"/>
                    <w:rPr>
                      <w:strike/>
                      <w:u w:val="thick"/>
                    </w:rPr>
                  </w:pPr>
                  <w:r w:rsidRPr="00651A26">
                    <w:rPr>
                      <w:w w:val="100"/>
                      <w:u w:val="thick"/>
                    </w:rPr>
                    <w:t>For Ranging NDP Announcement frame, it contains I2R NDP TX Power and R2I RSSI target. For Sensing NDP Announcement frame, it contains the SI2SR TX power and the Measurement Session ID, and it may contain the SR2SI NDP Target RSSI.</w:t>
                  </w:r>
                </w:p>
              </w:tc>
              <w:tc>
                <w:tcPr>
                  <w:tcW w:w="114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76A43FDD" w14:textId="77777777" w:rsidR="00651A26" w:rsidRPr="00651A26" w:rsidRDefault="00651A26" w:rsidP="006159D0">
                  <w:pPr>
                    <w:pStyle w:val="CellBody"/>
                    <w:jc w:val="center"/>
                  </w:pPr>
                  <w:r w:rsidRPr="00651A26">
                    <w:rPr>
                      <w:w w:val="100"/>
                    </w:rPr>
                    <w:t>Not applicable</w:t>
                  </w:r>
                </w:p>
              </w:tc>
              <w:tc>
                <w:tcPr>
                  <w:tcW w:w="114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1632EDA2" w14:textId="77777777" w:rsidR="00651A26" w:rsidRPr="00651A26" w:rsidRDefault="00651A26" w:rsidP="006159D0">
                  <w:pPr>
                    <w:pStyle w:val="CellBody"/>
                    <w:jc w:val="center"/>
                  </w:pPr>
                  <w:r w:rsidRPr="00651A26">
                    <w:rPr>
                      <w:w w:val="100"/>
                    </w:rPr>
                    <w:t>Not applicable</w:t>
                  </w:r>
                </w:p>
              </w:tc>
              <w:tc>
                <w:tcPr>
                  <w:tcW w:w="1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3AD32C81" w14:textId="77777777" w:rsidR="00651A26" w:rsidRPr="00651A26" w:rsidRDefault="00651A26" w:rsidP="006159D0">
                  <w:pPr>
                    <w:pStyle w:val="CellBody"/>
                    <w:jc w:val="center"/>
                  </w:pPr>
                  <w:r w:rsidRPr="00651A26">
                    <w:rPr>
                      <w:w w:val="100"/>
                    </w:rPr>
                    <w:t>Not applicable</w:t>
                  </w:r>
                </w:p>
              </w:tc>
              <w:tc>
                <w:tcPr>
                  <w:tcW w:w="1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525F23BC" w14:textId="77777777" w:rsidR="00651A26" w:rsidRPr="00651A26" w:rsidRDefault="00651A26" w:rsidP="006159D0">
                  <w:pPr>
                    <w:pStyle w:val="CellBody"/>
                    <w:jc w:val="center"/>
                  </w:pPr>
                  <w:r w:rsidRPr="00651A26">
                    <w:rPr>
                      <w:w w:val="100"/>
                    </w:rPr>
                    <w:t>Applicable</w:t>
                  </w:r>
                </w:p>
              </w:tc>
              <w:tc>
                <w:tcPr>
                  <w:tcW w:w="11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26EAB917" w14:textId="77777777" w:rsidR="00651A26" w:rsidRPr="00651A26" w:rsidRDefault="00651A26" w:rsidP="006159D0">
                  <w:pPr>
                    <w:pStyle w:val="CellBody"/>
                    <w:jc w:val="center"/>
                    <w:rPr>
                      <w:strike/>
                      <w:u w:val="thick"/>
                    </w:rPr>
                  </w:pPr>
                  <w:r w:rsidRPr="00651A26">
                    <w:rPr>
                      <w:w w:val="100"/>
                      <w:u w:val="thick"/>
                    </w:rPr>
                    <w:t>Applicable</w:t>
                  </w:r>
                </w:p>
              </w:tc>
            </w:tr>
            <w:tr w:rsidR="00651A26" w:rsidRPr="00651A26" w14:paraId="72CAA575" w14:textId="77777777" w:rsidTr="006159D0">
              <w:trPr>
                <w:trHeight w:val="320"/>
                <w:jc w:val="center"/>
              </w:trPr>
              <w:tc>
                <w:tcPr>
                  <w:tcW w:w="9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3B088E42" w14:textId="77777777" w:rsidR="00651A26" w:rsidRPr="00651A26" w:rsidRDefault="00651A26" w:rsidP="006159D0">
                  <w:pPr>
                    <w:pStyle w:val="CellBody"/>
                  </w:pPr>
                  <w:r w:rsidRPr="00651A26">
                    <w:rPr>
                      <w:w w:val="100"/>
                    </w:rPr>
                    <w:t>2046</w:t>
                  </w:r>
                </w:p>
              </w:tc>
              <w:tc>
                <w:tcPr>
                  <w:tcW w:w="19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465A55" w14:textId="77777777" w:rsidR="00651A26" w:rsidRPr="00651A26" w:rsidRDefault="00651A26" w:rsidP="006159D0">
                  <w:pPr>
                    <w:pStyle w:val="CellBody"/>
                  </w:pPr>
                  <w:r w:rsidRPr="00651A26">
                    <w:rPr>
                      <w:w w:val="100"/>
                    </w:rPr>
                    <w:t>N/A</w:t>
                  </w:r>
                </w:p>
              </w:tc>
              <w:tc>
                <w:tcPr>
                  <w:tcW w:w="5660" w:type="dxa"/>
                  <w:gridSpan w:val="5"/>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70045F58" w14:textId="77777777" w:rsidR="00651A26" w:rsidRPr="00651A26" w:rsidRDefault="00651A26" w:rsidP="006159D0">
                  <w:pPr>
                    <w:pStyle w:val="CellBody"/>
                    <w:jc w:val="center"/>
                  </w:pPr>
                  <w:r w:rsidRPr="00651A26">
                    <w:rPr>
                      <w:w w:val="100"/>
                    </w:rPr>
                    <w:t>Not applicable</w:t>
                  </w:r>
                </w:p>
              </w:tc>
            </w:tr>
            <w:tr w:rsidR="00651A26" w:rsidRPr="00651A26" w14:paraId="55AB0E3F" w14:textId="77777777" w:rsidTr="006159D0">
              <w:trPr>
                <w:trHeight w:val="720"/>
                <w:jc w:val="center"/>
              </w:trPr>
              <w:tc>
                <w:tcPr>
                  <w:tcW w:w="96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vAlign w:val="center"/>
                </w:tcPr>
                <w:p w14:paraId="633A6852" w14:textId="77777777" w:rsidR="00651A26" w:rsidRPr="00651A26" w:rsidRDefault="00651A26" w:rsidP="006159D0">
                  <w:pPr>
                    <w:pStyle w:val="CellBody"/>
                  </w:pPr>
                  <w:r w:rsidRPr="00651A26">
                    <w:rPr>
                      <w:w w:val="100"/>
                    </w:rPr>
                    <w:t>2047</w:t>
                  </w:r>
                </w:p>
              </w:tc>
              <w:tc>
                <w:tcPr>
                  <w:tcW w:w="19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C10481" w14:textId="77777777" w:rsidR="00651A26" w:rsidRPr="00651A26" w:rsidRDefault="00651A26" w:rsidP="006159D0">
                  <w:pPr>
                    <w:pStyle w:val="CellBody"/>
                  </w:pPr>
                  <w:r w:rsidRPr="00651A26">
                    <w:rPr>
                      <w:w w:val="100"/>
                    </w:rPr>
                    <w:t>STA Info field contains a Disallowed Subchannel Bitmap subfield</w:t>
                  </w:r>
                </w:p>
              </w:tc>
              <w:tc>
                <w:tcPr>
                  <w:tcW w:w="114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51D6A639" w14:textId="77777777" w:rsidR="00651A26" w:rsidRPr="00651A26" w:rsidRDefault="00651A26" w:rsidP="006159D0">
                  <w:pPr>
                    <w:pStyle w:val="CellBody"/>
                    <w:jc w:val="center"/>
                  </w:pPr>
                  <w:r w:rsidRPr="00651A26">
                    <w:rPr>
                      <w:w w:val="100"/>
                    </w:rPr>
                    <w:t>Not applicable</w:t>
                  </w:r>
                </w:p>
              </w:tc>
              <w:tc>
                <w:tcPr>
                  <w:tcW w:w="114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32B3BEFC" w14:textId="77777777" w:rsidR="00651A26" w:rsidRPr="00651A26" w:rsidRDefault="00651A26" w:rsidP="006159D0">
                  <w:pPr>
                    <w:pStyle w:val="CellBody"/>
                    <w:jc w:val="center"/>
                  </w:pPr>
                  <w:r w:rsidRPr="00651A26">
                    <w:rPr>
                      <w:w w:val="100"/>
                    </w:rPr>
                    <w:t>Applicable</w:t>
                  </w:r>
                </w:p>
              </w:tc>
              <w:tc>
                <w:tcPr>
                  <w:tcW w:w="1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34B2A110" w14:textId="77777777" w:rsidR="00651A26" w:rsidRPr="00651A26" w:rsidRDefault="00651A26" w:rsidP="006159D0">
                  <w:pPr>
                    <w:pStyle w:val="CellBody"/>
                    <w:jc w:val="center"/>
                  </w:pPr>
                  <w:r w:rsidRPr="00651A26">
                    <w:rPr>
                      <w:w w:val="100"/>
                    </w:rPr>
                    <w:t>Not applicable</w:t>
                  </w:r>
                </w:p>
              </w:tc>
              <w:tc>
                <w:tcPr>
                  <w:tcW w:w="1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43D9C2A5" w14:textId="77777777" w:rsidR="00651A26" w:rsidRPr="00651A26" w:rsidRDefault="00651A26" w:rsidP="006159D0">
                  <w:pPr>
                    <w:pStyle w:val="CellBody"/>
                    <w:jc w:val="center"/>
                  </w:pPr>
                  <w:r w:rsidRPr="00651A26">
                    <w:rPr>
                      <w:w w:val="100"/>
                    </w:rPr>
                    <w:t>Not applicable</w:t>
                  </w:r>
                </w:p>
              </w:tc>
              <w:tc>
                <w:tcPr>
                  <w:tcW w:w="114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vAlign w:val="center"/>
                </w:tcPr>
                <w:p w14:paraId="140D19FF" w14:textId="77777777" w:rsidR="00651A26" w:rsidRPr="00651A26" w:rsidRDefault="00651A26" w:rsidP="006159D0">
                  <w:pPr>
                    <w:pStyle w:val="CellBody"/>
                    <w:jc w:val="center"/>
                  </w:pPr>
                  <w:r w:rsidRPr="00651A26">
                    <w:rPr>
                      <w:w w:val="100"/>
                      <w:u w:val="thick"/>
                    </w:rPr>
                    <w:t>Not applicable</w:t>
                  </w:r>
                </w:p>
              </w:tc>
            </w:tr>
            <w:tr w:rsidR="00651A26" w:rsidRPr="00651A26" w14:paraId="42A1D18F" w14:textId="77777777" w:rsidTr="006159D0">
              <w:trPr>
                <w:trHeight w:val="320"/>
                <w:jc w:val="center"/>
              </w:trPr>
              <w:tc>
                <w:tcPr>
                  <w:tcW w:w="8580" w:type="dxa"/>
                  <w:gridSpan w:val="7"/>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1E4E7316" w14:textId="77777777" w:rsidR="00651A26" w:rsidRPr="00651A26" w:rsidRDefault="00651A26" w:rsidP="006159D0">
                  <w:pPr>
                    <w:pStyle w:val="CellBody"/>
                  </w:pPr>
                  <w:r w:rsidRPr="00651A26">
                    <w:rPr>
                      <w:w w:val="100"/>
                    </w:rPr>
                    <w:t>NOTE—Not applicable means that the particular AID11 value is not used for that variant and is reserved.</w:t>
                  </w:r>
                </w:p>
              </w:tc>
            </w:tr>
            <w:bookmarkEnd w:id="0"/>
          </w:tbl>
          <w:p w14:paraId="54F12820" w14:textId="77777777" w:rsidR="00651A26" w:rsidRPr="00651A26" w:rsidRDefault="00651A26" w:rsidP="006159D0">
            <w:pPr>
              <w:pStyle w:val="TableTitle"/>
              <w:ind w:right="800"/>
              <w:jc w:val="left"/>
              <w:rPr>
                <w:rFonts w:ascii="Times New Roman" w:hAnsi="Times New Roman" w:cs="Times New Roman"/>
                <w:kern w:val="2"/>
              </w:rPr>
            </w:pPr>
          </w:p>
        </w:tc>
      </w:tr>
    </w:tbl>
    <w:p w14:paraId="236A39F5" w14:textId="77777777" w:rsidR="00651A26" w:rsidRDefault="00651A26" w:rsidP="00651A26">
      <w:pPr>
        <w:autoSpaceDE w:val="0"/>
        <w:autoSpaceDN w:val="0"/>
        <w:adjustRightInd w:val="0"/>
        <w:rPr>
          <w:strike/>
          <w:color w:val="000000"/>
          <w:sz w:val="20"/>
        </w:rPr>
      </w:pPr>
    </w:p>
    <w:p w14:paraId="218A0C93" w14:textId="77777777" w:rsidR="00D92B0C" w:rsidRDefault="00D92B0C" w:rsidP="00651A26">
      <w:pPr>
        <w:autoSpaceDE w:val="0"/>
        <w:autoSpaceDN w:val="0"/>
        <w:adjustRightInd w:val="0"/>
        <w:rPr>
          <w:strike/>
          <w:color w:val="000000"/>
          <w:sz w:val="20"/>
        </w:rPr>
      </w:pPr>
    </w:p>
    <w:p w14:paraId="79B5B080" w14:textId="59F7CD05" w:rsidR="00D92B0C" w:rsidRPr="00651A26" w:rsidRDefault="00D92B0C" w:rsidP="00D92B0C">
      <w:pPr>
        <w:autoSpaceDE w:val="0"/>
        <w:autoSpaceDN w:val="0"/>
        <w:adjustRightInd w:val="0"/>
        <w:rPr>
          <w:rFonts w:eastAsia="Arial,Bold"/>
          <w:b/>
          <w:bCs/>
          <w:color w:val="FF0000"/>
          <w:sz w:val="24"/>
          <w:szCs w:val="24"/>
        </w:rPr>
      </w:pPr>
      <w:r w:rsidRPr="00651A26">
        <w:rPr>
          <w:rFonts w:eastAsia="Arial,Bold"/>
          <w:b/>
          <w:bCs/>
          <w:color w:val="FF0000"/>
          <w:sz w:val="24"/>
          <w:szCs w:val="24"/>
        </w:rPr>
        <w:t>Resolution for CID 3</w:t>
      </w:r>
      <w:r w:rsidR="00724356">
        <w:rPr>
          <w:rFonts w:eastAsia="Arial,Bold"/>
          <w:b/>
          <w:bCs/>
          <w:color w:val="FF0000"/>
          <w:sz w:val="24"/>
          <w:szCs w:val="24"/>
        </w:rPr>
        <w:t xml:space="preserve">414 and </w:t>
      </w:r>
      <w:r w:rsidR="00A96C8C">
        <w:rPr>
          <w:rFonts w:eastAsia="Arial,Bold"/>
          <w:b/>
          <w:bCs/>
          <w:color w:val="FF0000"/>
          <w:sz w:val="24"/>
          <w:szCs w:val="24"/>
        </w:rPr>
        <w:t xml:space="preserve">CID </w:t>
      </w:r>
      <w:r w:rsidR="00724356">
        <w:rPr>
          <w:rFonts w:eastAsia="Arial,Bold"/>
          <w:b/>
          <w:bCs/>
          <w:color w:val="FF0000"/>
          <w:sz w:val="24"/>
          <w:szCs w:val="24"/>
        </w:rPr>
        <w:t>34</w:t>
      </w:r>
      <w:r w:rsidR="00A96C8C">
        <w:rPr>
          <w:rFonts w:eastAsia="Arial,Bold"/>
          <w:b/>
          <w:bCs/>
          <w:color w:val="FF0000"/>
          <w:sz w:val="24"/>
          <w:szCs w:val="24"/>
        </w:rPr>
        <w:t>69</w:t>
      </w:r>
    </w:p>
    <w:p w14:paraId="572DF218" w14:textId="77777777" w:rsidR="00DD3BB7" w:rsidRDefault="00DD3BB7" w:rsidP="00D92B0C">
      <w:pPr>
        <w:autoSpaceDE w:val="0"/>
        <w:autoSpaceDN w:val="0"/>
        <w:adjustRightInd w:val="0"/>
        <w:rPr>
          <w:color w:val="FF0000"/>
        </w:rPr>
      </w:pPr>
    </w:p>
    <w:p w14:paraId="4D5A5068" w14:textId="3D7F594E" w:rsidR="00DD3BB7" w:rsidRPr="00651A26" w:rsidRDefault="00DD3BB7" w:rsidP="00D92B0C">
      <w:pPr>
        <w:autoSpaceDE w:val="0"/>
        <w:autoSpaceDN w:val="0"/>
        <w:adjustRightInd w:val="0"/>
        <w:rPr>
          <w:color w:val="FF0000"/>
        </w:rPr>
      </w:pPr>
      <w:r>
        <w:rPr>
          <w:color w:val="FF0000"/>
        </w:rPr>
        <w:t xml:space="preserve">Discussion: </w:t>
      </w:r>
    </w:p>
    <w:p w14:paraId="3F7A3BFA" w14:textId="191C7F11" w:rsidR="001237EE" w:rsidRDefault="009A6F58" w:rsidP="001237EE">
      <w:pPr>
        <w:rPr>
          <w:sz w:val="20"/>
        </w:rPr>
      </w:pPr>
      <w:r>
        <w:rPr>
          <w:sz w:val="20"/>
        </w:rPr>
        <w:t xml:space="preserve">The commenter is suggesting to not include polling or reporting phase with </w:t>
      </w:r>
      <w:r w:rsidR="00D21365">
        <w:rPr>
          <w:sz w:val="20"/>
        </w:rPr>
        <w:t>NDPA sounding phase alone however, w</w:t>
      </w:r>
      <w:r w:rsidR="001237EE" w:rsidRPr="00C05E02">
        <w:rPr>
          <w:sz w:val="20"/>
        </w:rPr>
        <w:t xml:space="preserve">ithout polling phase or reporting phase the AP cannot ensure that the non-AP STA as a responder is participating in the TB sensing measurement exchange in the availability window as there is a </w:t>
      </w:r>
      <w:r w:rsidR="00CB3287">
        <w:rPr>
          <w:sz w:val="20"/>
        </w:rPr>
        <w:t xml:space="preserve">sensing </w:t>
      </w:r>
      <w:r w:rsidR="001237EE">
        <w:rPr>
          <w:sz w:val="20"/>
        </w:rPr>
        <w:t>m</w:t>
      </w:r>
      <w:r w:rsidR="001237EE" w:rsidRPr="00C05E02">
        <w:rPr>
          <w:sz w:val="20"/>
        </w:rPr>
        <w:t xml:space="preserve">easurement </w:t>
      </w:r>
      <w:r w:rsidR="001237EE">
        <w:rPr>
          <w:sz w:val="20"/>
        </w:rPr>
        <w:t>s</w:t>
      </w:r>
      <w:r w:rsidR="001237EE" w:rsidRPr="00C05E02">
        <w:rPr>
          <w:sz w:val="20"/>
        </w:rPr>
        <w:t xml:space="preserve">ession </w:t>
      </w:r>
      <w:r w:rsidR="001237EE">
        <w:rPr>
          <w:sz w:val="20"/>
        </w:rPr>
        <w:t>e</w:t>
      </w:r>
      <w:r w:rsidR="001237EE" w:rsidRPr="00C05E02">
        <w:rPr>
          <w:sz w:val="20"/>
        </w:rPr>
        <w:t xml:space="preserve">xpiry </w:t>
      </w:r>
      <w:r w:rsidR="00A92D62">
        <w:rPr>
          <w:sz w:val="20"/>
        </w:rPr>
        <w:t xml:space="preserve">timer </w:t>
      </w:r>
      <w:r w:rsidR="001237EE" w:rsidRPr="00C05E02">
        <w:rPr>
          <w:sz w:val="20"/>
        </w:rPr>
        <w:t xml:space="preserve">that would need to be reset upon completion of the measurement exchange between </w:t>
      </w:r>
      <w:r w:rsidR="00D21365">
        <w:rPr>
          <w:sz w:val="20"/>
        </w:rPr>
        <w:t>p</w:t>
      </w:r>
      <w:r w:rsidR="001237EE" w:rsidRPr="00C05E02">
        <w:rPr>
          <w:sz w:val="20"/>
        </w:rPr>
        <w:t>eers.</w:t>
      </w:r>
    </w:p>
    <w:p w14:paraId="4F5BB279" w14:textId="77777777" w:rsidR="001237EE" w:rsidRDefault="001237EE" w:rsidP="001237EE">
      <w:pPr>
        <w:rPr>
          <w:sz w:val="20"/>
        </w:rPr>
      </w:pPr>
    </w:p>
    <w:p w14:paraId="1CACB389" w14:textId="40ABAC43" w:rsidR="001237EE" w:rsidRDefault="001237EE" w:rsidP="001237EE">
      <w:pPr>
        <w:autoSpaceDE w:val="0"/>
        <w:autoSpaceDN w:val="0"/>
        <w:adjustRightInd w:val="0"/>
        <w:rPr>
          <w:color w:val="FF0000"/>
        </w:rPr>
      </w:pPr>
      <w:proofErr w:type="spellStart"/>
      <w:r w:rsidRPr="00651A26">
        <w:rPr>
          <w:color w:val="FF0000"/>
        </w:rPr>
        <w:t>TGbf</w:t>
      </w:r>
      <w:proofErr w:type="spellEnd"/>
      <w:r w:rsidRPr="00651A26">
        <w:rPr>
          <w:color w:val="FF0000"/>
        </w:rPr>
        <w:t xml:space="preserve"> editor: Change the text in P</w:t>
      </w:r>
      <w:r>
        <w:rPr>
          <w:color w:val="FF0000"/>
        </w:rPr>
        <w:t>143</w:t>
      </w:r>
      <w:r w:rsidRPr="00651A26">
        <w:rPr>
          <w:color w:val="FF0000"/>
        </w:rPr>
        <w:t xml:space="preserve"> L</w:t>
      </w:r>
      <w:r>
        <w:rPr>
          <w:color w:val="FF0000"/>
        </w:rPr>
        <w:t>51-52</w:t>
      </w:r>
      <w:r w:rsidRPr="00651A26">
        <w:rPr>
          <w:color w:val="FF0000"/>
        </w:rPr>
        <w:t xml:space="preserve"> as follows</w:t>
      </w:r>
      <w:r w:rsidR="009B5127">
        <w:rPr>
          <w:color w:val="FF0000"/>
        </w:rPr>
        <w:t xml:space="preserve"> and</w:t>
      </w:r>
      <w:r w:rsidR="000F258E">
        <w:rPr>
          <w:color w:val="FF0000"/>
        </w:rPr>
        <w:t xml:space="preserve"> also</w:t>
      </w:r>
      <w:r w:rsidR="009B5127">
        <w:rPr>
          <w:color w:val="FF0000"/>
        </w:rPr>
        <w:t xml:space="preserve"> add the NOTE</w:t>
      </w:r>
      <w:r w:rsidR="000F258E">
        <w:rPr>
          <w:color w:val="FF0000"/>
        </w:rPr>
        <w:t xml:space="preserve"> below</w:t>
      </w:r>
      <w:r w:rsidR="00612E03">
        <w:rPr>
          <w:color w:val="FF0000"/>
        </w:rPr>
        <w:t>:</w:t>
      </w:r>
    </w:p>
    <w:p w14:paraId="5D0C00CF" w14:textId="77777777" w:rsidR="001237EE" w:rsidRDefault="001237EE" w:rsidP="001237EE">
      <w:pPr>
        <w:rPr>
          <w:sz w:val="20"/>
        </w:rPr>
      </w:pPr>
    </w:p>
    <w:p w14:paraId="63273124" w14:textId="5A25D024" w:rsidR="009B5127" w:rsidRDefault="009B5127" w:rsidP="009B5127">
      <w:pPr>
        <w:autoSpaceDE w:val="0"/>
        <w:autoSpaceDN w:val="0"/>
        <w:adjustRightInd w:val="0"/>
        <w:rPr>
          <w:rStyle w:val="fontstyle01"/>
          <w:strike/>
        </w:rPr>
      </w:pPr>
      <w:r>
        <w:rPr>
          <w:rStyle w:val="fontstyle01"/>
        </w:rPr>
        <w:t>A TB sensing measurement exchange shall not consist of</w:t>
      </w:r>
      <w:r w:rsidR="007D2FBA" w:rsidRPr="007D2FBA">
        <w:rPr>
          <w:rStyle w:val="fontstyle01"/>
          <w:color w:val="FF0000"/>
        </w:rPr>
        <w:t>:</w:t>
      </w:r>
      <w:r>
        <w:rPr>
          <w:rStyle w:val="fontstyle01"/>
        </w:rPr>
        <w:t xml:space="preserve"> </w:t>
      </w:r>
      <w:r w:rsidRPr="007D2FBA">
        <w:rPr>
          <w:rStyle w:val="fontstyle01"/>
          <w:strike/>
        </w:rPr>
        <w:t>a reporting phase alone nor of an NDPA sounding phase alone</w:t>
      </w:r>
      <w:r w:rsidR="006200DF" w:rsidRPr="007D2FBA">
        <w:rPr>
          <w:rStyle w:val="fontstyle01"/>
          <w:strike/>
        </w:rPr>
        <w:t xml:space="preserve">, </w:t>
      </w:r>
      <w:r w:rsidRPr="007D2FBA">
        <w:rPr>
          <w:rStyle w:val="fontstyle01"/>
          <w:strike/>
        </w:rPr>
        <w:t>and also shall not solely consist of a polling phase and a reporting phase.</w:t>
      </w:r>
    </w:p>
    <w:p w14:paraId="5300D9BC" w14:textId="77777777" w:rsidR="007D2FBA" w:rsidRDefault="007D2FBA" w:rsidP="009B5127">
      <w:pPr>
        <w:autoSpaceDE w:val="0"/>
        <w:autoSpaceDN w:val="0"/>
        <w:adjustRightInd w:val="0"/>
        <w:rPr>
          <w:rStyle w:val="fontstyle01"/>
          <w:strike/>
        </w:rPr>
      </w:pPr>
    </w:p>
    <w:p w14:paraId="59EA7743" w14:textId="5923103A" w:rsidR="00C12588" w:rsidRDefault="00C12588" w:rsidP="00C12588">
      <w:pPr>
        <w:pStyle w:val="ListParagraph"/>
        <w:numPr>
          <w:ilvl w:val="0"/>
          <w:numId w:val="2"/>
        </w:numPr>
        <w:rPr>
          <w:rFonts w:eastAsia="Times New Roman"/>
          <w:color w:val="FF0000"/>
          <w:sz w:val="22"/>
          <w:szCs w:val="22"/>
        </w:rPr>
      </w:pPr>
      <w:r w:rsidRPr="000F258E">
        <w:rPr>
          <w:rFonts w:eastAsia="Times New Roman"/>
          <w:color w:val="FF0000"/>
          <w:sz w:val="22"/>
          <w:szCs w:val="22"/>
        </w:rPr>
        <w:t xml:space="preserve">a </w:t>
      </w:r>
      <w:r>
        <w:rPr>
          <w:rFonts w:eastAsia="Times New Roman"/>
          <w:color w:val="FF0000"/>
          <w:sz w:val="22"/>
          <w:szCs w:val="22"/>
        </w:rPr>
        <w:t>report phase alone</w:t>
      </w:r>
      <w:r w:rsidR="00017B52">
        <w:rPr>
          <w:rFonts w:eastAsia="Times New Roman"/>
          <w:color w:val="FF0000"/>
          <w:sz w:val="22"/>
          <w:szCs w:val="22"/>
        </w:rPr>
        <w:t>,</w:t>
      </w:r>
    </w:p>
    <w:p w14:paraId="2EC74114" w14:textId="313258D0" w:rsidR="00CE31DB" w:rsidRDefault="00C12588" w:rsidP="00C12588">
      <w:pPr>
        <w:pStyle w:val="ListParagraph"/>
        <w:numPr>
          <w:ilvl w:val="0"/>
          <w:numId w:val="2"/>
        </w:numPr>
        <w:rPr>
          <w:rFonts w:eastAsia="Times New Roman"/>
          <w:color w:val="FF0000"/>
          <w:sz w:val="22"/>
          <w:szCs w:val="22"/>
        </w:rPr>
      </w:pPr>
      <w:r>
        <w:rPr>
          <w:rFonts w:eastAsia="Times New Roman"/>
          <w:color w:val="FF0000"/>
          <w:sz w:val="22"/>
          <w:szCs w:val="22"/>
        </w:rPr>
        <w:t xml:space="preserve">an NDPA </w:t>
      </w:r>
      <w:r w:rsidR="00CE31DB">
        <w:rPr>
          <w:rFonts w:eastAsia="Times New Roman"/>
          <w:color w:val="FF0000"/>
          <w:sz w:val="22"/>
          <w:szCs w:val="22"/>
        </w:rPr>
        <w:t xml:space="preserve">sounding </w:t>
      </w:r>
      <w:r>
        <w:rPr>
          <w:rFonts w:eastAsia="Times New Roman"/>
          <w:color w:val="FF0000"/>
          <w:sz w:val="22"/>
          <w:szCs w:val="22"/>
        </w:rPr>
        <w:t>phase</w:t>
      </w:r>
      <w:r w:rsidR="00CE31DB">
        <w:rPr>
          <w:rFonts w:eastAsia="Times New Roman"/>
          <w:color w:val="FF0000"/>
          <w:sz w:val="22"/>
          <w:szCs w:val="22"/>
        </w:rPr>
        <w:t xml:space="preserve"> alone</w:t>
      </w:r>
      <w:r w:rsidR="00017B52">
        <w:rPr>
          <w:rFonts w:eastAsia="Times New Roman"/>
          <w:color w:val="FF0000"/>
          <w:sz w:val="22"/>
          <w:szCs w:val="22"/>
        </w:rPr>
        <w:t>,</w:t>
      </w:r>
    </w:p>
    <w:p w14:paraId="4BC90ED6" w14:textId="7385F1EF" w:rsidR="00615CF1" w:rsidRDefault="00CE31DB" w:rsidP="00C12588">
      <w:pPr>
        <w:pStyle w:val="ListParagraph"/>
        <w:numPr>
          <w:ilvl w:val="0"/>
          <w:numId w:val="2"/>
        </w:numPr>
        <w:rPr>
          <w:rFonts w:eastAsia="Times New Roman"/>
          <w:color w:val="FF0000"/>
          <w:sz w:val="22"/>
          <w:szCs w:val="22"/>
        </w:rPr>
      </w:pPr>
      <w:r>
        <w:rPr>
          <w:rFonts w:eastAsia="Times New Roman"/>
          <w:color w:val="FF0000"/>
          <w:sz w:val="22"/>
          <w:szCs w:val="22"/>
        </w:rPr>
        <w:t xml:space="preserve">a TF sounding phase of the SR2SR variant </w:t>
      </w:r>
      <w:r w:rsidR="00615CF1">
        <w:rPr>
          <w:rFonts w:eastAsia="Times New Roman"/>
          <w:color w:val="FF0000"/>
          <w:sz w:val="22"/>
          <w:szCs w:val="22"/>
        </w:rPr>
        <w:t>alone in which the sensing responder is a sensing receiver</w:t>
      </w:r>
      <w:r w:rsidR="00017B52">
        <w:rPr>
          <w:rFonts w:eastAsia="Times New Roman"/>
          <w:color w:val="FF0000"/>
          <w:sz w:val="22"/>
          <w:szCs w:val="22"/>
        </w:rPr>
        <w:t>,</w:t>
      </w:r>
    </w:p>
    <w:p w14:paraId="40CDEBFA" w14:textId="7496038E" w:rsidR="00C12588" w:rsidRPr="000F258E" w:rsidRDefault="00570260" w:rsidP="00C12588">
      <w:pPr>
        <w:pStyle w:val="ListParagraph"/>
        <w:numPr>
          <w:ilvl w:val="0"/>
          <w:numId w:val="2"/>
        </w:numPr>
        <w:rPr>
          <w:rFonts w:eastAsia="Times New Roman"/>
          <w:color w:val="FF0000"/>
          <w:sz w:val="22"/>
          <w:szCs w:val="22"/>
        </w:rPr>
      </w:pPr>
      <w:r>
        <w:rPr>
          <w:rFonts w:eastAsia="Times New Roman"/>
          <w:color w:val="FF0000"/>
          <w:sz w:val="22"/>
          <w:szCs w:val="22"/>
        </w:rPr>
        <w:t xml:space="preserve">a polling phase </w:t>
      </w:r>
      <w:r w:rsidR="00581411">
        <w:rPr>
          <w:rFonts w:eastAsia="Times New Roman"/>
          <w:color w:val="FF0000"/>
          <w:sz w:val="22"/>
          <w:szCs w:val="22"/>
        </w:rPr>
        <w:t>and a reporting phase</w:t>
      </w:r>
      <w:r w:rsidR="00C12588" w:rsidRPr="000F258E">
        <w:rPr>
          <w:rFonts w:eastAsia="Times New Roman"/>
          <w:color w:val="FF0000"/>
          <w:sz w:val="22"/>
          <w:szCs w:val="22"/>
        </w:rPr>
        <w:t xml:space="preserve"> </w:t>
      </w:r>
    </w:p>
    <w:p w14:paraId="4803472A" w14:textId="77777777" w:rsidR="00C12588" w:rsidRDefault="00C12588" w:rsidP="009B5127">
      <w:pPr>
        <w:autoSpaceDE w:val="0"/>
        <w:autoSpaceDN w:val="0"/>
        <w:adjustRightInd w:val="0"/>
        <w:rPr>
          <w:rStyle w:val="fontstyle01"/>
          <w:strike/>
        </w:rPr>
      </w:pPr>
    </w:p>
    <w:p w14:paraId="41720E42" w14:textId="77777777" w:rsidR="007D2FBA" w:rsidRDefault="007D2FBA" w:rsidP="009B5127">
      <w:pPr>
        <w:autoSpaceDE w:val="0"/>
        <w:autoSpaceDN w:val="0"/>
        <w:adjustRightInd w:val="0"/>
        <w:rPr>
          <w:strike/>
          <w:color w:val="000000"/>
          <w:sz w:val="20"/>
        </w:rPr>
      </w:pPr>
    </w:p>
    <w:p w14:paraId="3CA48015" w14:textId="77777777" w:rsidR="009B5127" w:rsidRDefault="009B5127" w:rsidP="001237EE">
      <w:pPr>
        <w:rPr>
          <w:sz w:val="20"/>
        </w:rPr>
      </w:pPr>
    </w:p>
    <w:p w14:paraId="6D1F1472" w14:textId="77777777" w:rsidR="009B5127" w:rsidRDefault="009B5127" w:rsidP="001237EE">
      <w:pPr>
        <w:rPr>
          <w:sz w:val="20"/>
        </w:rPr>
      </w:pPr>
    </w:p>
    <w:p w14:paraId="3087DE37" w14:textId="21C241FF" w:rsidR="001237EE" w:rsidRPr="000F258E" w:rsidRDefault="001237EE" w:rsidP="001237EE">
      <w:pPr>
        <w:rPr>
          <w:color w:val="FF0000"/>
          <w:szCs w:val="22"/>
          <w:lang w:val="en-US"/>
        </w:rPr>
      </w:pPr>
      <w:r w:rsidRPr="000F258E">
        <w:rPr>
          <w:color w:val="FF0000"/>
          <w:szCs w:val="22"/>
        </w:rPr>
        <w:t xml:space="preserve">NOTE – To allow for an AP to determine whether a non-AP STA is present in a sensing availability window and manage the </w:t>
      </w:r>
      <w:r w:rsidR="0060240B">
        <w:rPr>
          <w:color w:val="FF0000"/>
          <w:szCs w:val="22"/>
        </w:rPr>
        <w:t xml:space="preserve">sensing measurement session </w:t>
      </w:r>
      <w:r w:rsidR="00E041F3">
        <w:rPr>
          <w:color w:val="FF0000"/>
          <w:szCs w:val="22"/>
        </w:rPr>
        <w:t xml:space="preserve">expiry </w:t>
      </w:r>
      <w:r w:rsidR="0060240B">
        <w:rPr>
          <w:color w:val="FF0000"/>
          <w:szCs w:val="22"/>
        </w:rPr>
        <w:t>timer</w:t>
      </w:r>
      <w:r w:rsidRPr="000F258E">
        <w:rPr>
          <w:color w:val="FF0000"/>
          <w:szCs w:val="22"/>
        </w:rPr>
        <w:t xml:space="preserve"> appropriately, TB sensing measurement exchange(s) that consist(s) of</w:t>
      </w:r>
    </w:p>
    <w:p w14:paraId="6764B5BA" w14:textId="46C15298" w:rsidR="001237EE" w:rsidRPr="000F258E" w:rsidRDefault="001237EE" w:rsidP="001237EE">
      <w:pPr>
        <w:pStyle w:val="ListParagraph"/>
        <w:numPr>
          <w:ilvl w:val="0"/>
          <w:numId w:val="2"/>
        </w:numPr>
        <w:rPr>
          <w:rFonts w:eastAsia="Times New Roman"/>
          <w:color w:val="FF0000"/>
          <w:sz w:val="22"/>
          <w:szCs w:val="22"/>
        </w:rPr>
      </w:pPr>
      <w:r w:rsidRPr="000F258E">
        <w:rPr>
          <w:rFonts w:eastAsia="Times New Roman"/>
          <w:color w:val="FF0000"/>
          <w:sz w:val="22"/>
          <w:szCs w:val="22"/>
        </w:rPr>
        <w:t>an NDPA sounding phase alone</w:t>
      </w:r>
      <w:r w:rsidR="00EC1AD3">
        <w:rPr>
          <w:rFonts w:eastAsia="Times New Roman"/>
          <w:color w:val="FF0000"/>
          <w:sz w:val="22"/>
          <w:szCs w:val="22"/>
        </w:rPr>
        <w:t>,</w:t>
      </w:r>
      <w:r w:rsidRPr="000F258E">
        <w:rPr>
          <w:rFonts w:eastAsia="Times New Roman"/>
          <w:color w:val="FF0000"/>
          <w:sz w:val="22"/>
          <w:szCs w:val="22"/>
        </w:rPr>
        <w:t xml:space="preserve"> or </w:t>
      </w:r>
    </w:p>
    <w:p w14:paraId="1D9C80EE" w14:textId="77777777" w:rsidR="001237EE" w:rsidRPr="000F258E" w:rsidRDefault="001237EE" w:rsidP="001237EE">
      <w:pPr>
        <w:pStyle w:val="ListParagraph"/>
        <w:numPr>
          <w:ilvl w:val="0"/>
          <w:numId w:val="2"/>
        </w:numPr>
        <w:rPr>
          <w:rFonts w:eastAsia="Times New Roman"/>
          <w:color w:val="FF0000"/>
          <w:sz w:val="22"/>
          <w:szCs w:val="22"/>
        </w:rPr>
      </w:pPr>
      <w:r w:rsidRPr="000F258E">
        <w:rPr>
          <w:rFonts w:eastAsia="Times New Roman"/>
          <w:color w:val="FF0000"/>
          <w:sz w:val="22"/>
          <w:szCs w:val="22"/>
        </w:rPr>
        <w:t>a TF sounding phase of the SR2SR variant alone in which the sensing responder is a sensing receiver</w:t>
      </w:r>
    </w:p>
    <w:p w14:paraId="180AF491" w14:textId="77777777" w:rsidR="001237EE" w:rsidRPr="000F258E" w:rsidRDefault="001237EE" w:rsidP="001237EE">
      <w:pPr>
        <w:rPr>
          <w:rFonts w:eastAsiaTheme="minorHAnsi"/>
          <w:color w:val="FF0000"/>
          <w:szCs w:val="22"/>
        </w:rPr>
      </w:pPr>
      <w:r w:rsidRPr="000F258E">
        <w:rPr>
          <w:color w:val="FF0000"/>
          <w:szCs w:val="22"/>
        </w:rPr>
        <w:t>include(s) either a polling phase, a reporting phase, or both a polling phase and a reporting phase.</w:t>
      </w:r>
    </w:p>
    <w:p w14:paraId="53D839B3" w14:textId="77777777" w:rsidR="00D92B0C" w:rsidRDefault="00D92B0C" w:rsidP="00651A26">
      <w:pPr>
        <w:autoSpaceDE w:val="0"/>
        <w:autoSpaceDN w:val="0"/>
        <w:adjustRightInd w:val="0"/>
        <w:rPr>
          <w:strike/>
          <w:color w:val="000000"/>
          <w:sz w:val="20"/>
        </w:rPr>
      </w:pPr>
    </w:p>
    <w:p w14:paraId="6809A943" w14:textId="77777777" w:rsidR="001237EE" w:rsidRDefault="001237EE" w:rsidP="00651A26">
      <w:pPr>
        <w:autoSpaceDE w:val="0"/>
        <w:autoSpaceDN w:val="0"/>
        <w:adjustRightInd w:val="0"/>
        <w:rPr>
          <w:strike/>
          <w:color w:val="000000"/>
          <w:sz w:val="20"/>
        </w:rPr>
      </w:pPr>
    </w:p>
    <w:p w14:paraId="467C577D" w14:textId="77777777" w:rsidR="001237EE" w:rsidRDefault="001237EE" w:rsidP="00651A26">
      <w:pPr>
        <w:autoSpaceDE w:val="0"/>
        <w:autoSpaceDN w:val="0"/>
        <w:adjustRightInd w:val="0"/>
        <w:rPr>
          <w:strike/>
          <w:color w:val="000000"/>
          <w:sz w:val="20"/>
        </w:rPr>
      </w:pPr>
    </w:p>
    <w:p w14:paraId="303013F4" w14:textId="77777777" w:rsidR="001237EE" w:rsidRDefault="001237EE" w:rsidP="00651A26">
      <w:pPr>
        <w:autoSpaceDE w:val="0"/>
        <w:autoSpaceDN w:val="0"/>
        <w:adjustRightInd w:val="0"/>
        <w:rPr>
          <w:strike/>
          <w:color w:val="000000"/>
          <w:sz w:val="20"/>
        </w:rPr>
      </w:pPr>
    </w:p>
    <w:p w14:paraId="4AF706AD" w14:textId="77777777" w:rsidR="00FC41DE" w:rsidRDefault="00FC41DE" w:rsidP="00651A26">
      <w:pPr>
        <w:autoSpaceDE w:val="0"/>
        <w:autoSpaceDN w:val="0"/>
        <w:adjustRightInd w:val="0"/>
        <w:rPr>
          <w:strike/>
          <w:color w:val="000000"/>
          <w:sz w:val="20"/>
        </w:rPr>
      </w:pPr>
    </w:p>
    <w:p w14:paraId="71055E75" w14:textId="77777777" w:rsidR="00FC41DE" w:rsidRDefault="00FC41DE" w:rsidP="00651A26">
      <w:pPr>
        <w:autoSpaceDE w:val="0"/>
        <w:autoSpaceDN w:val="0"/>
        <w:adjustRightInd w:val="0"/>
        <w:rPr>
          <w:strike/>
          <w:color w:val="000000"/>
          <w:sz w:val="20"/>
        </w:rPr>
      </w:pPr>
    </w:p>
    <w:p w14:paraId="5D6EAB7D" w14:textId="77777777" w:rsidR="00D92B0C" w:rsidRPr="00651A26" w:rsidRDefault="00D92B0C" w:rsidP="00651A26">
      <w:pPr>
        <w:autoSpaceDE w:val="0"/>
        <w:autoSpaceDN w:val="0"/>
        <w:adjustRightInd w:val="0"/>
        <w:rPr>
          <w:strike/>
          <w:color w:val="000000"/>
          <w:sz w:val="20"/>
        </w:rPr>
      </w:pPr>
    </w:p>
    <w:p w14:paraId="3ECFB4CD" w14:textId="77777777" w:rsidR="00651A26" w:rsidRDefault="00651A26">
      <w:pPr>
        <w:rPr>
          <w:b/>
          <w:sz w:val="24"/>
        </w:rPr>
      </w:pPr>
    </w:p>
    <w:p w14:paraId="3E5CC19E" w14:textId="5CFC1398" w:rsidR="00CA09B2" w:rsidRDefault="00CA09B2">
      <w:pPr>
        <w:rPr>
          <w:b/>
          <w:sz w:val="24"/>
        </w:rPr>
      </w:pPr>
      <w:r>
        <w:rPr>
          <w:b/>
          <w:sz w:val="24"/>
        </w:rPr>
        <w:t>References:</w:t>
      </w:r>
      <w:r w:rsidR="00D332F9">
        <w:rPr>
          <w:b/>
          <w:sz w:val="24"/>
        </w:rPr>
        <w:t xml:space="preserve"> </w:t>
      </w:r>
      <w:r w:rsidR="00281750">
        <w:rPr>
          <w:b/>
          <w:sz w:val="24"/>
        </w:rPr>
        <w:t>IEEE P802.11bf D2.0</w:t>
      </w:r>
    </w:p>
    <w:p w14:paraId="077C9ACD"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1C020" w14:textId="77777777" w:rsidR="00E2339C" w:rsidRDefault="00E2339C">
      <w:r>
        <w:separator/>
      </w:r>
    </w:p>
  </w:endnote>
  <w:endnote w:type="continuationSeparator" w:id="0">
    <w:p w14:paraId="6883A273" w14:textId="77777777" w:rsidR="00E2339C" w:rsidRDefault="00E2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Arial,Bold">
    <w:altName w:val="SimSu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904D" w14:textId="7C0FEF9E" w:rsidR="0029020B" w:rsidRDefault="00000000">
    <w:pPr>
      <w:pStyle w:val="Footer"/>
      <w:tabs>
        <w:tab w:val="clear" w:pos="6480"/>
        <w:tab w:val="center" w:pos="4680"/>
        <w:tab w:val="right" w:pos="9360"/>
      </w:tabs>
    </w:pPr>
    <w:fldSimple w:instr=" SUBJECT  \* MERGEFORMAT ">
      <w:r w:rsidR="009A3DD4">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A3DD4">
        <w:t>Ali Raissinia, Qualcomm Inc.</w:t>
      </w:r>
    </w:fldSimple>
  </w:p>
  <w:p w14:paraId="08A59FE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62325" w14:textId="77777777" w:rsidR="00E2339C" w:rsidRDefault="00E2339C">
      <w:r>
        <w:separator/>
      </w:r>
    </w:p>
  </w:footnote>
  <w:footnote w:type="continuationSeparator" w:id="0">
    <w:p w14:paraId="6C5821F3" w14:textId="77777777" w:rsidR="00E2339C" w:rsidRDefault="00E23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C441" w14:textId="70D9DF14" w:rsidR="0029020B" w:rsidRDefault="00000000">
    <w:pPr>
      <w:pStyle w:val="Header"/>
      <w:tabs>
        <w:tab w:val="clear" w:pos="6480"/>
        <w:tab w:val="center" w:pos="4680"/>
        <w:tab w:val="right" w:pos="9360"/>
      </w:tabs>
    </w:pPr>
    <w:fldSimple w:instr=" KEYWORDS  \* MERGEFORMAT ">
      <w:r w:rsidR="009A3DD4">
        <w:t>September 2023</w:t>
      </w:r>
    </w:fldSimple>
    <w:r w:rsidR="0029020B">
      <w:tab/>
    </w:r>
    <w:r w:rsidR="0029020B">
      <w:tab/>
    </w:r>
    <w:fldSimple w:instr=" TITLE  \* MERGEFORMAT ">
      <w:r w:rsidR="009A3DD4">
        <w:t>doc.: IEEE 802.11-23/1456r</w:t>
      </w:r>
      <w:r w:rsidR="006F5258">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96A68A6"/>
    <w:lvl w:ilvl="0">
      <w:numFmt w:val="bullet"/>
      <w:lvlText w:val="*"/>
      <w:lvlJc w:val="left"/>
    </w:lvl>
  </w:abstractNum>
  <w:abstractNum w:abstractNumId="1" w15:restartNumberingAfterBreak="0">
    <w:nsid w:val="281905F9"/>
    <w:multiLevelType w:val="hybridMultilevel"/>
    <w:tmpl w:val="D7CAE08C"/>
    <w:lvl w:ilvl="0" w:tplc="B004220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96625018">
    <w:abstractNumId w:val="0"/>
    <w:lvlOverride w:ilvl="0">
      <w:lvl w:ilvl="0">
        <w:start w:val="1"/>
        <w:numFmt w:val="bullet"/>
        <w:lvlText w:val="Table 9-42a—"/>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306857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D4"/>
    <w:rsid w:val="00012B2A"/>
    <w:rsid w:val="00017B52"/>
    <w:rsid w:val="000A189A"/>
    <w:rsid w:val="000C01D1"/>
    <w:rsid w:val="000F258E"/>
    <w:rsid w:val="000F47F0"/>
    <w:rsid w:val="001237EE"/>
    <w:rsid w:val="00140067"/>
    <w:rsid w:val="00161C0B"/>
    <w:rsid w:val="0016740E"/>
    <w:rsid w:val="0017371C"/>
    <w:rsid w:val="001B23D4"/>
    <w:rsid w:val="001C0274"/>
    <w:rsid w:val="001D63F7"/>
    <w:rsid w:val="001D723B"/>
    <w:rsid w:val="001E69EE"/>
    <w:rsid w:val="00203167"/>
    <w:rsid w:val="0023078D"/>
    <w:rsid w:val="002521C9"/>
    <w:rsid w:val="00271464"/>
    <w:rsid w:val="00281750"/>
    <w:rsid w:val="0029020B"/>
    <w:rsid w:val="002B6EE0"/>
    <w:rsid w:val="002C6B64"/>
    <w:rsid w:val="002D164A"/>
    <w:rsid w:val="002D44BE"/>
    <w:rsid w:val="002E1681"/>
    <w:rsid w:val="00304D7A"/>
    <w:rsid w:val="00325B7F"/>
    <w:rsid w:val="00344548"/>
    <w:rsid w:val="003E48B5"/>
    <w:rsid w:val="00401C03"/>
    <w:rsid w:val="00413013"/>
    <w:rsid w:val="00436007"/>
    <w:rsid w:val="00442037"/>
    <w:rsid w:val="004517AE"/>
    <w:rsid w:val="004722D4"/>
    <w:rsid w:val="00493582"/>
    <w:rsid w:val="0049439A"/>
    <w:rsid w:val="004B064B"/>
    <w:rsid w:val="004D4430"/>
    <w:rsid w:val="004F25BB"/>
    <w:rsid w:val="004F7652"/>
    <w:rsid w:val="004F7DF7"/>
    <w:rsid w:val="00531EB5"/>
    <w:rsid w:val="00543F6F"/>
    <w:rsid w:val="005566A3"/>
    <w:rsid w:val="00565DBF"/>
    <w:rsid w:val="00570260"/>
    <w:rsid w:val="00581411"/>
    <w:rsid w:val="005B5C57"/>
    <w:rsid w:val="00600B54"/>
    <w:rsid w:val="0060240B"/>
    <w:rsid w:val="00602528"/>
    <w:rsid w:val="00612E03"/>
    <w:rsid w:val="00615CF1"/>
    <w:rsid w:val="006200DF"/>
    <w:rsid w:val="0062440B"/>
    <w:rsid w:val="006329CC"/>
    <w:rsid w:val="00651A26"/>
    <w:rsid w:val="00652AAF"/>
    <w:rsid w:val="00652D48"/>
    <w:rsid w:val="00674392"/>
    <w:rsid w:val="006B7052"/>
    <w:rsid w:val="006C0727"/>
    <w:rsid w:val="006C43EB"/>
    <w:rsid w:val="006E145F"/>
    <w:rsid w:val="006F5258"/>
    <w:rsid w:val="00712B18"/>
    <w:rsid w:val="00724356"/>
    <w:rsid w:val="007360A0"/>
    <w:rsid w:val="00770572"/>
    <w:rsid w:val="00793E40"/>
    <w:rsid w:val="007D19F5"/>
    <w:rsid w:val="007D2FBA"/>
    <w:rsid w:val="008110A2"/>
    <w:rsid w:val="0081559F"/>
    <w:rsid w:val="008161B1"/>
    <w:rsid w:val="00825D24"/>
    <w:rsid w:val="00846099"/>
    <w:rsid w:val="00880125"/>
    <w:rsid w:val="00882B2D"/>
    <w:rsid w:val="0088534F"/>
    <w:rsid w:val="008C1E61"/>
    <w:rsid w:val="008E16C2"/>
    <w:rsid w:val="00912BDB"/>
    <w:rsid w:val="0091663E"/>
    <w:rsid w:val="009209BE"/>
    <w:rsid w:val="00995B6E"/>
    <w:rsid w:val="009A3DD4"/>
    <w:rsid w:val="009A6F58"/>
    <w:rsid w:val="009B31B8"/>
    <w:rsid w:val="009B5127"/>
    <w:rsid w:val="009C148A"/>
    <w:rsid w:val="009C4096"/>
    <w:rsid w:val="009F2FBC"/>
    <w:rsid w:val="00A2021B"/>
    <w:rsid w:val="00A25B22"/>
    <w:rsid w:val="00A92D62"/>
    <w:rsid w:val="00A96C8C"/>
    <w:rsid w:val="00AA427C"/>
    <w:rsid w:val="00AE60C6"/>
    <w:rsid w:val="00B14E32"/>
    <w:rsid w:val="00B85D9B"/>
    <w:rsid w:val="00BE68C2"/>
    <w:rsid w:val="00C036D7"/>
    <w:rsid w:val="00C12588"/>
    <w:rsid w:val="00C41D17"/>
    <w:rsid w:val="00CA09B2"/>
    <w:rsid w:val="00CB0DD7"/>
    <w:rsid w:val="00CB3287"/>
    <w:rsid w:val="00CB4215"/>
    <w:rsid w:val="00CE31DB"/>
    <w:rsid w:val="00CF7C8E"/>
    <w:rsid w:val="00D041A7"/>
    <w:rsid w:val="00D21365"/>
    <w:rsid w:val="00D332F9"/>
    <w:rsid w:val="00D402C6"/>
    <w:rsid w:val="00D4507E"/>
    <w:rsid w:val="00D92B0C"/>
    <w:rsid w:val="00D96927"/>
    <w:rsid w:val="00DB37AE"/>
    <w:rsid w:val="00DC5A7B"/>
    <w:rsid w:val="00DD3BB7"/>
    <w:rsid w:val="00E041F3"/>
    <w:rsid w:val="00E2339C"/>
    <w:rsid w:val="00EA3543"/>
    <w:rsid w:val="00EC1AD3"/>
    <w:rsid w:val="00EF1182"/>
    <w:rsid w:val="00EF73A6"/>
    <w:rsid w:val="00F12451"/>
    <w:rsid w:val="00F130C5"/>
    <w:rsid w:val="00F830F2"/>
    <w:rsid w:val="00FA64EB"/>
    <w:rsid w:val="00FB2665"/>
    <w:rsid w:val="00FC41DE"/>
    <w:rsid w:val="00FD2B5D"/>
    <w:rsid w:val="00FE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DE44C"/>
  <w15:docId w15:val="{EF9911FC-DEB9-43E3-80E1-71382842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CellBody">
    <w:name w:val="CellBody"/>
    <w:uiPriority w:val="99"/>
    <w:rsid w:val="00651A26"/>
    <w:pPr>
      <w:widowControl w:val="0"/>
      <w:autoSpaceDE w:val="0"/>
      <w:autoSpaceDN w:val="0"/>
      <w:adjustRightInd w:val="0"/>
      <w:spacing w:line="200" w:lineRule="atLeast"/>
    </w:pPr>
    <w:rPr>
      <w:rFonts w:eastAsiaTheme="minorEastAsia"/>
      <w:color w:val="000000"/>
      <w:w w:val="1"/>
      <w:sz w:val="18"/>
      <w:szCs w:val="18"/>
      <w14:ligatures w14:val="standardContextual"/>
    </w:rPr>
  </w:style>
  <w:style w:type="paragraph" w:customStyle="1" w:styleId="CellHeading">
    <w:name w:val="CellHeading"/>
    <w:uiPriority w:val="99"/>
    <w:rsid w:val="00651A26"/>
    <w:pPr>
      <w:widowControl w:val="0"/>
      <w:suppressAutoHyphens/>
      <w:autoSpaceDE w:val="0"/>
      <w:autoSpaceDN w:val="0"/>
      <w:adjustRightInd w:val="0"/>
      <w:spacing w:line="200" w:lineRule="atLeast"/>
      <w:jc w:val="center"/>
    </w:pPr>
    <w:rPr>
      <w:rFonts w:eastAsiaTheme="minorEastAsia"/>
      <w:b/>
      <w:bCs/>
      <w:color w:val="000000"/>
      <w:w w:val="1"/>
      <w:sz w:val="18"/>
      <w:szCs w:val="18"/>
      <w14:ligatures w14:val="standardContextual"/>
    </w:rPr>
  </w:style>
  <w:style w:type="paragraph" w:customStyle="1" w:styleId="TableTitle">
    <w:name w:val="TableTitle"/>
    <w:next w:val="Normal"/>
    <w:uiPriority w:val="99"/>
    <w:rsid w:val="00651A26"/>
    <w:pPr>
      <w:widowControl w:val="0"/>
      <w:autoSpaceDE w:val="0"/>
      <w:autoSpaceDN w:val="0"/>
      <w:adjustRightInd w:val="0"/>
      <w:spacing w:line="240" w:lineRule="atLeast"/>
      <w:jc w:val="center"/>
    </w:pPr>
    <w:rPr>
      <w:rFonts w:ascii="Arial" w:eastAsiaTheme="minorEastAsia" w:hAnsi="Arial" w:cs="Arial"/>
      <w:b/>
      <w:bCs/>
      <w:color w:val="000000"/>
      <w:w w:val="1"/>
      <w14:ligatures w14:val="standardContextual"/>
    </w:rPr>
  </w:style>
  <w:style w:type="paragraph" w:customStyle="1" w:styleId="A1FigTitle">
    <w:name w:val="A1FigTitle"/>
    <w:next w:val="Normal"/>
    <w:rsid w:val="00651A26"/>
    <w:pPr>
      <w:widowControl w:val="0"/>
      <w:autoSpaceDE w:val="0"/>
      <w:autoSpaceDN w:val="0"/>
      <w:adjustRightInd w:val="0"/>
      <w:spacing w:before="240" w:line="240" w:lineRule="atLeast"/>
      <w:jc w:val="center"/>
    </w:pPr>
    <w:rPr>
      <w:rFonts w:ascii="Arial" w:eastAsiaTheme="minorEastAsia" w:hAnsi="Arial" w:cs="Arial"/>
      <w:b/>
      <w:bCs/>
      <w:color w:val="000000"/>
      <w:w w:val="0"/>
      <w14:ligatures w14:val="standardContextual"/>
    </w:rPr>
  </w:style>
  <w:style w:type="character" w:styleId="UnresolvedMention">
    <w:name w:val="Unresolved Mention"/>
    <w:basedOn w:val="DefaultParagraphFont"/>
    <w:uiPriority w:val="99"/>
    <w:semiHidden/>
    <w:unhideWhenUsed/>
    <w:rsid w:val="006B7052"/>
    <w:rPr>
      <w:color w:val="605E5C"/>
      <w:shd w:val="clear" w:color="auto" w:fill="E1DFDD"/>
    </w:rPr>
  </w:style>
  <w:style w:type="paragraph" w:styleId="ListParagraph">
    <w:name w:val="List Paragraph"/>
    <w:basedOn w:val="Normal"/>
    <w:uiPriority w:val="34"/>
    <w:qFormat/>
    <w:rsid w:val="00600B54"/>
    <w:pPr>
      <w:ind w:left="720"/>
    </w:pPr>
    <w:rPr>
      <w:rFonts w:ascii="Calibri" w:eastAsiaTheme="minorHAnsi" w:hAnsi="Calibri" w:cs="Calibri"/>
      <w:sz w:val="20"/>
      <w:lang w:val="en-US"/>
    </w:rPr>
  </w:style>
  <w:style w:type="character" w:customStyle="1" w:styleId="fontstyle01">
    <w:name w:val="fontstyle01"/>
    <w:basedOn w:val="DefaultParagraphFont"/>
    <w:rsid w:val="00DD3BB7"/>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80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3-1456-02-00bf-LB276-Comment-Resolutions-for-Sensing-NDPA-Frame-Forma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11/dcn/21/11-23-1456-02-00bf-LB276-Comment-Resolutions-for-Sensing-NDPA-Frame-Format" TargetMode="External"/><Relationship Id="rId12" Type="http://schemas.openxmlformats.org/officeDocument/2006/relationships/hyperlink" Target="https://mentor.ieee.org/802.11/dcn/21/11-23-1456-02-00bf-LB276-Comment-Resolutions-for-Sensing-NDPA-Frame-Form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3-1456-02-00bf-LB276-Comment-Resolutions-for-Sensing-NDPA-Frame-Form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ntor.ieee.org/802.11/dcn/21/11-23-1456-02-00bf-LB276-Comment-Resolutions-for-Sensing-NDPA-Frame-Format" TargetMode="External"/><Relationship Id="rId4" Type="http://schemas.openxmlformats.org/officeDocument/2006/relationships/webSettings" Target="webSettings.xml"/><Relationship Id="rId9" Type="http://schemas.openxmlformats.org/officeDocument/2006/relationships/hyperlink" Target="https://mentor.ieee.org/802.11/dcn/21/11-23-1456-02-00bf-LB276-Comment-Resolutions-for-Sensing-NDPA-Frame-Forma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1550</TotalTime>
  <Pages>10</Pages>
  <Words>2272</Words>
  <Characters>12955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802.11-23/1456r2</vt:lpstr>
    </vt:vector>
  </TitlesOfParts>
  <Company>Qualcomm Inc.</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802.11-23/1456r2</dc:title>
  <dc:subject>Submission</dc:subject>
  <dc:creator>Ali Raissinia</dc:creator>
  <cp:keywords>September 2023</cp:keywords>
  <dc:description>Ali Raissinia, Qualcomm Inc.</dc:description>
  <cp:lastModifiedBy>Ali Raissinia</cp:lastModifiedBy>
  <cp:revision>119</cp:revision>
  <dcterms:created xsi:type="dcterms:W3CDTF">2023-09-01T18:15:00Z</dcterms:created>
  <dcterms:modified xsi:type="dcterms:W3CDTF">2023-09-11T12:53:00Z</dcterms:modified>
</cp:coreProperties>
</file>