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5CF997F" w:rsidR="00CA09B2" w:rsidRDefault="00680B36" w:rsidP="00AF6BE8">
            <w:pPr>
              <w:pStyle w:val="T2"/>
            </w:pPr>
            <w:r>
              <w:t>CID Resolutions IRM</w:t>
            </w:r>
            <w:r w:rsidR="009F0855">
              <w:t xml:space="preserve"> - </w:t>
            </w:r>
            <w:r w:rsidR="005C052D">
              <w:t>2</w:t>
            </w:r>
            <w:r w:rsidR="009472C5">
              <w:t xml:space="preserve"> </w:t>
            </w:r>
          </w:p>
        </w:tc>
      </w:tr>
      <w:tr w:rsidR="00CA09B2" w14:paraId="02966D81" w14:textId="77777777">
        <w:trPr>
          <w:trHeight w:val="359"/>
          <w:jc w:val="center"/>
        </w:trPr>
        <w:tc>
          <w:tcPr>
            <w:tcW w:w="9576" w:type="dxa"/>
            <w:gridSpan w:val="5"/>
            <w:vAlign w:val="center"/>
          </w:tcPr>
          <w:p w14:paraId="286D4255" w14:textId="1E18D5F7"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3A4B36">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5C052D">
                              <w:rPr>
                                <w:b w:val="0"/>
                                <w:bCs/>
                                <w:sz w:val="22"/>
                                <w:szCs w:val="16"/>
                              </w:rPr>
                              <w:t>107, 129, 192, 195, 200, 201, 203, 260, 266</w:t>
                            </w:r>
                            <w:r>
                              <w:t xml:space="preserve">  </w:t>
                            </w:r>
                          </w:p>
                          <w:p w14:paraId="23767EC0" w14:textId="77777777" w:rsidR="005A2C56" w:rsidRDefault="005A2C56" w:rsidP="005C052D">
                            <w:pPr>
                              <w:pStyle w:val="T1"/>
                              <w:ind w:firstLine="720"/>
                              <w:jc w:val="left"/>
                            </w:pPr>
                          </w:p>
                          <w:p w14:paraId="2A64B142" w14:textId="7AAF768D" w:rsidR="005A2C56" w:rsidRPr="005A2C56" w:rsidRDefault="005A2C56" w:rsidP="005C052D">
                            <w:pPr>
                              <w:pStyle w:val="T1"/>
                              <w:ind w:firstLine="720"/>
                              <w:jc w:val="left"/>
                              <w:rPr>
                                <w:b w:val="0"/>
                                <w:bCs/>
                                <w:sz w:val="22"/>
                                <w:szCs w:val="18"/>
                              </w:rPr>
                            </w:pPr>
                            <w:r w:rsidRPr="005A2C56">
                              <w:rPr>
                                <w:b w:val="0"/>
                                <w:bCs/>
                                <w:sz w:val="24"/>
                                <w:szCs w:val="18"/>
                              </w:rPr>
                              <w:t>Rev 1</w:t>
                            </w:r>
                            <w:r>
                              <w:rPr>
                                <w:b w:val="0"/>
                                <w:bCs/>
                                <w:sz w:val="24"/>
                                <w:szCs w:val="18"/>
                              </w:rPr>
                              <w:t xml:space="preserve"> Remove 236, 237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5C052D">
                        <w:rPr>
                          <w:b w:val="0"/>
                          <w:bCs/>
                          <w:sz w:val="22"/>
                          <w:szCs w:val="16"/>
                        </w:rPr>
                        <w:t>107, 129, 192, 195, 200, 201, 203, 260, 266</w:t>
                      </w:r>
                      <w:r>
                        <w:t xml:space="preserve">  </w:t>
                      </w:r>
                    </w:p>
                    <w:p w14:paraId="23767EC0" w14:textId="77777777" w:rsidR="005A2C56" w:rsidRDefault="005A2C56" w:rsidP="005C052D">
                      <w:pPr>
                        <w:pStyle w:val="T1"/>
                        <w:ind w:firstLine="720"/>
                        <w:jc w:val="left"/>
                      </w:pPr>
                    </w:p>
                    <w:p w14:paraId="2A64B142" w14:textId="7AAF768D" w:rsidR="005A2C56" w:rsidRPr="005A2C56" w:rsidRDefault="005A2C56" w:rsidP="005C052D">
                      <w:pPr>
                        <w:pStyle w:val="T1"/>
                        <w:ind w:firstLine="720"/>
                        <w:jc w:val="left"/>
                        <w:rPr>
                          <w:b w:val="0"/>
                          <w:bCs/>
                          <w:sz w:val="22"/>
                          <w:szCs w:val="18"/>
                        </w:rPr>
                      </w:pPr>
                      <w:r w:rsidRPr="005A2C56">
                        <w:rPr>
                          <w:b w:val="0"/>
                          <w:bCs/>
                          <w:sz w:val="24"/>
                          <w:szCs w:val="18"/>
                        </w:rPr>
                        <w:t>Rev 1</w:t>
                      </w:r>
                      <w:r>
                        <w:rPr>
                          <w:b w:val="0"/>
                          <w:bCs/>
                          <w:sz w:val="24"/>
                          <w:szCs w:val="18"/>
                        </w:rPr>
                        <w:t xml:space="preserve"> Remove 236, 237 </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AC6D8E" w14:paraId="3E8DA4F5" w14:textId="309939A9" w:rsidTr="00F56C31">
        <w:tc>
          <w:tcPr>
            <w:tcW w:w="620" w:type="dxa"/>
            <w:vAlign w:val="bottom"/>
          </w:tcPr>
          <w:p w14:paraId="2C26781D" w14:textId="09561AA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107</w:t>
            </w:r>
          </w:p>
        </w:tc>
        <w:tc>
          <w:tcPr>
            <w:tcW w:w="1158" w:type="dxa"/>
            <w:vAlign w:val="bottom"/>
          </w:tcPr>
          <w:p w14:paraId="5ADAC8B9" w14:textId="258C52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6535965" w14:textId="0930EFA8"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39</w:t>
            </w:r>
          </w:p>
        </w:tc>
        <w:tc>
          <w:tcPr>
            <w:tcW w:w="2557" w:type="dxa"/>
            <w:vAlign w:val="bottom"/>
          </w:tcPr>
          <w:p w14:paraId="169938A8" w14:textId="3F439C6F"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sentences in this paragraph look to be out of order in terms of the negotiation. I would assume that the AP would </w:t>
            </w:r>
            <w:proofErr w:type="gramStart"/>
            <w:r>
              <w:rPr>
                <w:rFonts w:ascii="Calibri" w:hAnsi="Calibri" w:cs="Calibri"/>
                <w:sz w:val="22"/>
                <w:szCs w:val="22"/>
              </w:rPr>
              <w:t>advertised</w:t>
            </w:r>
            <w:proofErr w:type="gramEnd"/>
            <w:r>
              <w:rPr>
                <w:rFonts w:ascii="Calibri" w:hAnsi="Calibri" w:cs="Calibri"/>
                <w:sz w:val="22"/>
                <w:szCs w:val="22"/>
              </w:rPr>
              <w:t xml:space="preserve"> Device ID/IRM in the RSNXE. The STA would discover the capability, and then include the elements in the (re-)association </w:t>
            </w:r>
            <w:proofErr w:type="spellStart"/>
            <w:r>
              <w:rPr>
                <w:rFonts w:ascii="Calibri" w:hAnsi="Calibri" w:cs="Calibri"/>
                <w:sz w:val="22"/>
                <w:szCs w:val="22"/>
              </w:rPr>
              <w:t>reque</w:t>
            </w:r>
            <w:proofErr w:type="spellEnd"/>
          </w:p>
        </w:tc>
        <w:tc>
          <w:tcPr>
            <w:tcW w:w="2223" w:type="dxa"/>
            <w:vAlign w:val="bottom"/>
          </w:tcPr>
          <w:p w14:paraId="0F1F4B05" w14:textId="1FD52B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the cited paragraph with the following:</w:t>
            </w:r>
            <w:r>
              <w:rPr>
                <w:rFonts w:ascii="Calibri" w:hAnsi="Calibri" w:cs="Calibri"/>
                <w:sz w:val="22"/>
                <w:szCs w:val="22"/>
              </w:rPr>
              <w:b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p>
        </w:tc>
        <w:tc>
          <w:tcPr>
            <w:tcW w:w="2902" w:type="dxa"/>
            <w:vAlign w:val="bottom"/>
          </w:tcPr>
          <w:p w14:paraId="0145DE91" w14:textId="3B0EA668" w:rsidR="00AC6D8E" w:rsidRDefault="000966FB"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end o</w:t>
            </w:r>
            <w:r w:rsidR="00774922">
              <w:rPr>
                <w:rFonts w:eastAsia="Times New Roman"/>
                <w:sz w:val="22"/>
              </w:rPr>
              <w:t>f</w:t>
            </w:r>
            <w:r>
              <w:rPr>
                <w:rFonts w:eastAsia="Times New Roman"/>
                <w:sz w:val="22"/>
              </w:rPr>
              <w:t xml:space="preserve"> this document.</w:t>
            </w:r>
          </w:p>
        </w:tc>
      </w:tr>
      <w:tr w:rsidR="00AC6D8E" w14:paraId="3912A5F3" w14:textId="70780FCE" w:rsidTr="0068400C">
        <w:tc>
          <w:tcPr>
            <w:tcW w:w="620" w:type="dxa"/>
          </w:tcPr>
          <w:p w14:paraId="5AFE0FF0" w14:textId="159D3E7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129</w:t>
            </w:r>
          </w:p>
        </w:tc>
        <w:tc>
          <w:tcPr>
            <w:tcW w:w="1158" w:type="dxa"/>
            <w:vAlign w:val="bottom"/>
          </w:tcPr>
          <w:p w14:paraId="5FB64839" w14:textId="566DA14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33DC23C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2557" w:type="dxa"/>
            <w:vAlign w:val="bottom"/>
          </w:tcPr>
          <w:p w14:paraId="0FC94B40" w14:textId="3279BCE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ANQP information is exchanged using elements and not frames. I think reference to GAS would be better than ANQP. There's also a missing article.</w:t>
            </w:r>
          </w:p>
        </w:tc>
        <w:tc>
          <w:tcPr>
            <w:tcW w:w="2223" w:type="dxa"/>
            <w:vAlign w:val="bottom"/>
          </w:tcPr>
          <w:p w14:paraId="3858932B" w14:textId="6E0B383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"e.g., ANQP frame" to "e.g., a GAS frame"</w:t>
            </w:r>
          </w:p>
        </w:tc>
        <w:tc>
          <w:tcPr>
            <w:tcW w:w="2902" w:type="dxa"/>
            <w:vAlign w:val="bottom"/>
          </w:tcPr>
          <w:p w14:paraId="49033557" w14:textId="3C12C56A"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AC6D8E" w14:paraId="52B165DD" w14:textId="1B223861" w:rsidTr="004756A2">
        <w:tc>
          <w:tcPr>
            <w:tcW w:w="620" w:type="dxa"/>
          </w:tcPr>
          <w:p w14:paraId="1B752024" w14:textId="721704A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192</w:t>
            </w:r>
          </w:p>
        </w:tc>
        <w:tc>
          <w:tcPr>
            <w:tcW w:w="1158" w:type="dxa"/>
            <w:vAlign w:val="bottom"/>
          </w:tcPr>
          <w:p w14:paraId="775EB5C7" w14:textId="01F7E3C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770960C" w14:textId="2099295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0538FC7E" w14:textId="63B9330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during</w:t>
            </w:r>
            <w:proofErr w:type="gramEnd"/>
            <w:r>
              <w:rPr>
                <w:rFonts w:ascii="Calibri" w:hAnsi="Calibri" w:cs="Calibri"/>
                <w:sz w:val="22"/>
                <w:szCs w:val="22"/>
              </w:rPr>
              <w:t xml:space="preserve"> the RSN association" -- RSN is implicit.  Also "during" is not clear</w:t>
            </w:r>
          </w:p>
        </w:tc>
        <w:tc>
          <w:tcPr>
            <w:tcW w:w="2223" w:type="dxa"/>
            <w:vAlign w:val="bottom"/>
          </w:tcPr>
          <w:p w14:paraId="763B0EBD" w14:textId="0D62DF1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"at association"</w:t>
            </w:r>
          </w:p>
        </w:tc>
        <w:tc>
          <w:tcPr>
            <w:tcW w:w="2902" w:type="dxa"/>
            <w:vAlign w:val="bottom"/>
          </w:tcPr>
          <w:p w14:paraId="0AD998B0" w14:textId="3293020D"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AC6D8E" w14:paraId="7A4B2DCA" w14:textId="77777777" w:rsidTr="00850BF1">
        <w:tc>
          <w:tcPr>
            <w:tcW w:w="620" w:type="dxa"/>
          </w:tcPr>
          <w:p w14:paraId="71A47832" w14:textId="71FCCCF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195</w:t>
            </w:r>
          </w:p>
        </w:tc>
        <w:tc>
          <w:tcPr>
            <w:tcW w:w="1158" w:type="dxa"/>
            <w:vAlign w:val="bottom"/>
          </w:tcPr>
          <w:p w14:paraId="4DA415FE" w14:textId="3F6B090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AEC869E" w14:textId="7782127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4EF530F7" w14:textId="6A6EED2D"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w:t>
            </w:r>
            <w:proofErr w:type="gramEnd"/>
            <w:r>
              <w:rPr>
                <w:rFonts w:ascii="Calibri" w:hAnsi="Calibri" w:cs="Calibri"/>
                <w:sz w:val="22"/>
                <w:szCs w:val="22"/>
              </w:rPr>
              <w:t xml:space="preserve"> identifier for use with that AP/ESS" -- well, which is it -- does it have </w:t>
            </w:r>
            <w:r>
              <w:rPr>
                <w:rFonts w:ascii="Calibri" w:hAnsi="Calibri" w:cs="Calibri"/>
                <w:sz w:val="22"/>
                <w:szCs w:val="22"/>
              </w:rPr>
              <w:lastRenderedPageBreak/>
              <w:t>ESS scope or just AP scope?</w:t>
            </w:r>
          </w:p>
        </w:tc>
        <w:tc>
          <w:tcPr>
            <w:tcW w:w="2223" w:type="dxa"/>
            <w:vAlign w:val="bottom"/>
          </w:tcPr>
          <w:p w14:paraId="2F645E34" w14:textId="249C5B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902" w:type="dxa"/>
            <w:vAlign w:val="bottom"/>
          </w:tcPr>
          <w:p w14:paraId="0A86E6AC" w14:textId="77777777" w:rsidR="00AC6D8E" w:rsidRPr="00774922" w:rsidRDefault="00825E09" w:rsidP="00AC6D8E">
            <w:pPr>
              <w:rPr>
                <w:rFonts w:ascii="Calibri" w:hAnsi="Calibri" w:cs="Calibri"/>
                <w:color w:val="000000"/>
                <w:sz w:val="24"/>
                <w:szCs w:val="24"/>
              </w:rPr>
            </w:pPr>
            <w:r w:rsidRPr="00774922">
              <w:rPr>
                <w:rFonts w:ascii="Calibri" w:hAnsi="Calibri" w:cs="Calibri"/>
                <w:color w:val="000000"/>
                <w:sz w:val="24"/>
                <w:szCs w:val="24"/>
              </w:rPr>
              <w:t>REVISE</w:t>
            </w:r>
          </w:p>
          <w:p w14:paraId="6B34A5F3" w14:textId="77777777" w:rsidR="00825E09" w:rsidRDefault="00825E09" w:rsidP="00AC6D8E">
            <w:pPr>
              <w:rPr>
                <w:rFonts w:ascii="Calibri" w:hAnsi="Calibri" w:cs="Calibri"/>
                <w:color w:val="000000"/>
                <w:szCs w:val="22"/>
              </w:rPr>
            </w:pPr>
            <w:proofErr w:type="spellStart"/>
            <w:r>
              <w:rPr>
                <w:rFonts w:ascii="Calibri" w:hAnsi="Calibri" w:cs="Calibri"/>
                <w:color w:val="000000"/>
                <w:szCs w:val="22"/>
              </w:rPr>
              <w:t>Incorporat</w:t>
            </w:r>
            <w:proofErr w:type="spellEnd"/>
            <w:r>
              <w:rPr>
                <w:rFonts w:ascii="Calibri" w:hAnsi="Calibri" w:cs="Calibri"/>
                <w:color w:val="000000"/>
                <w:szCs w:val="22"/>
              </w:rPr>
              <w:t xml:space="preserve"> the text for CID 195 in this document.</w:t>
            </w:r>
          </w:p>
          <w:p w14:paraId="090AB194" w14:textId="02AABD81" w:rsidR="00825E09" w:rsidRDefault="00825E09" w:rsidP="00AC6D8E">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end of document)</w:t>
            </w:r>
          </w:p>
        </w:tc>
      </w:tr>
      <w:tr w:rsidR="00AC6D8E" w14:paraId="7B8CBAB3" w14:textId="77777777" w:rsidTr="00377F48">
        <w:tc>
          <w:tcPr>
            <w:tcW w:w="620" w:type="dxa"/>
          </w:tcPr>
          <w:p w14:paraId="47AA7DBA" w14:textId="3EF0E9F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200</w:t>
            </w:r>
          </w:p>
        </w:tc>
        <w:tc>
          <w:tcPr>
            <w:tcW w:w="1158" w:type="dxa"/>
            <w:vAlign w:val="bottom"/>
          </w:tcPr>
          <w:p w14:paraId="72A61C43" w14:textId="3071A015"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1A25270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68762B47" w14:textId="0CA77543"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direct</w:t>
            </w:r>
            <w:proofErr w:type="gramEnd"/>
            <w:r>
              <w:rPr>
                <w:rFonts w:ascii="Calibri" w:hAnsi="Calibri" w:cs="Calibri"/>
                <w:sz w:val="22"/>
                <w:szCs w:val="22"/>
              </w:rPr>
              <w:t xml:space="preserve"> or broadcast probing" -- these terms are not defined</w:t>
            </w:r>
          </w:p>
        </w:tc>
        <w:tc>
          <w:tcPr>
            <w:tcW w:w="2223" w:type="dxa"/>
            <w:vAlign w:val="bottom"/>
          </w:tcPr>
          <w:p w14:paraId="18673F07" w14:textId="2D22379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"active scanning"</w:t>
            </w:r>
          </w:p>
        </w:tc>
        <w:tc>
          <w:tcPr>
            <w:tcW w:w="2902" w:type="dxa"/>
          </w:tcPr>
          <w:p w14:paraId="163AED45" w14:textId="7F46E12E" w:rsidR="00825E09" w:rsidRDefault="00825E09" w:rsidP="00825E09">
            <w:pPr>
              <w:rPr>
                <w:rFonts w:eastAsia="TimesNewRoman"/>
                <w:szCs w:val="22"/>
                <w:lang w:val="en-US" w:eastAsia="ja-JP"/>
              </w:rPr>
            </w:pPr>
            <w:r>
              <w:rPr>
                <w:color w:val="000000"/>
                <w:sz w:val="24"/>
                <w:szCs w:val="24"/>
              </w:rPr>
              <w:t>ACCEPT</w:t>
            </w:r>
          </w:p>
          <w:p w14:paraId="154E6531" w14:textId="5FCA754F" w:rsidR="00825E09" w:rsidRPr="00825E09" w:rsidRDefault="00825E09" w:rsidP="00AC6D8E">
            <w:pPr>
              <w:rPr>
                <w:color w:val="000000"/>
                <w:szCs w:val="22"/>
              </w:rPr>
            </w:pPr>
          </w:p>
        </w:tc>
      </w:tr>
      <w:tr w:rsidR="00AC6D8E" w14:paraId="0EEBB2F7" w14:textId="58C35B4C" w:rsidTr="00377F48">
        <w:tc>
          <w:tcPr>
            <w:tcW w:w="620" w:type="dxa"/>
          </w:tcPr>
          <w:p w14:paraId="7A9DBD34" w14:textId="259926A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201</w:t>
            </w:r>
          </w:p>
        </w:tc>
        <w:tc>
          <w:tcPr>
            <w:tcW w:w="1158" w:type="dxa"/>
            <w:vAlign w:val="bottom"/>
          </w:tcPr>
          <w:p w14:paraId="10705FA4" w14:textId="706DD20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312FB20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2557" w:type="dxa"/>
            <w:vAlign w:val="bottom"/>
          </w:tcPr>
          <w:p w14:paraId="40AC3F4F" w14:textId="0BF5F0F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within</w:t>
            </w:r>
            <w:proofErr w:type="gramEnd"/>
            <w:r>
              <w:rPr>
                <w:rFonts w:ascii="Calibri" w:hAnsi="Calibri" w:cs="Calibri"/>
                <w:sz w:val="22"/>
                <w:szCs w:val="22"/>
              </w:rPr>
              <w:t xml:space="preserve"> range of the WM" -- the WM covers the entire universe so is necessarily within range</w:t>
            </w:r>
          </w:p>
        </w:tc>
        <w:tc>
          <w:tcPr>
            <w:tcW w:w="2223" w:type="dxa"/>
            <w:vAlign w:val="bottom"/>
          </w:tcPr>
          <w:p w14:paraId="2B058C7F" w14:textId="546C3CA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"within the BSA" or "within range of the AP"</w:t>
            </w:r>
          </w:p>
        </w:tc>
        <w:tc>
          <w:tcPr>
            <w:tcW w:w="2902" w:type="dxa"/>
          </w:tcPr>
          <w:p w14:paraId="5707F602" w14:textId="77777777" w:rsidR="00AC6D8E" w:rsidRDefault="00AC6D8E" w:rsidP="00AC6D8E">
            <w:pPr>
              <w:rPr>
                <w:rFonts w:ascii="Calibri" w:hAnsi="Calibri" w:cs="Calibri"/>
                <w:color w:val="000000"/>
                <w:szCs w:val="22"/>
              </w:rPr>
            </w:pPr>
          </w:p>
          <w:p w14:paraId="01D30F51" w14:textId="77777777" w:rsidR="00AC6D8E" w:rsidRDefault="00825E09" w:rsidP="00AC6D8E">
            <w:pPr>
              <w:rPr>
                <w:rFonts w:eastAsia="Times New Roman"/>
              </w:rPr>
            </w:pPr>
            <w:r>
              <w:rPr>
                <w:rFonts w:eastAsia="Times New Roman"/>
              </w:rPr>
              <w:t>REVISE</w:t>
            </w:r>
          </w:p>
          <w:p w14:paraId="4C470D0A" w14:textId="77777777" w:rsidR="00825E09" w:rsidRDefault="00231A79" w:rsidP="00AC6D8E">
            <w:pPr>
              <w:rPr>
                <w:rFonts w:eastAsia="Times New Roman"/>
              </w:rPr>
            </w:pPr>
            <w:r>
              <w:rPr>
                <w:rFonts w:eastAsia="Times New Roman"/>
              </w:rPr>
              <w:t xml:space="preserve">Change to </w:t>
            </w:r>
          </w:p>
          <w:p w14:paraId="599257C3" w14:textId="1BC81F50" w:rsidR="00231A79" w:rsidRDefault="00231A79" w:rsidP="00AC6D8E">
            <w:pPr>
              <w:rPr>
                <w:rFonts w:eastAsia="Times New Roman"/>
              </w:rPr>
            </w:pPr>
            <w:r>
              <w:rPr>
                <w:rFonts w:ascii="Calibri" w:hAnsi="Calibri" w:cs="Calibri"/>
                <w:color w:val="000000"/>
                <w:szCs w:val="22"/>
              </w:rPr>
              <w:t>"</w:t>
            </w:r>
            <w:proofErr w:type="gramStart"/>
            <w:r>
              <w:rPr>
                <w:rFonts w:ascii="Calibri" w:hAnsi="Calibri" w:cs="Calibri"/>
                <w:color w:val="000000"/>
                <w:szCs w:val="22"/>
              </w:rPr>
              <w:t>within</w:t>
            </w:r>
            <w:proofErr w:type="gramEnd"/>
            <w:r>
              <w:rPr>
                <w:rFonts w:ascii="Calibri" w:hAnsi="Calibri" w:cs="Calibri"/>
                <w:color w:val="000000"/>
                <w:szCs w:val="22"/>
              </w:rPr>
              <w:t xml:space="preserve"> range of the AP"</w:t>
            </w:r>
          </w:p>
        </w:tc>
      </w:tr>
      <w:tr w:rsidR="00AC6D8E" w14:paraId="6A07D93B" w14:textId="77777777" w:rsidTr="00377F48">
        <w:tc>
          <w:tcPr>
            <w:tcW w:w="620" w:type="dxa"/>
          </w:tcPr>
          <w:p w14:paraId="45A8235A" w14:textId="3114F2E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203</w:t>
            </w:r>
          </w:p>
        </w:tc>
        <w:tc>
          <w:tcPr>
            <w:tcW w:w="1158" w:type="dxa"/>
            <w:vAlign w:val="bottom"/>
          </w:tcPr>
          <w:p w14:paraId="5E6109F0" w14:textId="3DBAAC1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4BC718A6" w14:textId="14E70904"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2557" w:type="dxa"/>
            <w:vAlign w:val="bottom"/>
          </w:tcPr>
          <w:p w14:paraId="300977B1" w14:textId="199D518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"State 1 and State 2" -- presumably this is referring to the auth/</w:t>
            </w:r>
            <w:proofErr w:type="spellStart"/>
            <w:r>
              <w:rPr>
                <w:rFonts w:ascii="Calibri" w:hAnsi="Calibri" w:cs="Calibri"/>
                <w:sz w:val="22"/>
                <w:szCs w:val="22"/>
              </w:rPr>
              <w:t>assoc</w:t>
            </w:r>
            <w:proofErr w:type="spellEnd"/>
            <w:r>
              <w:rPr>
                <w:rFonts w:ascii="Calibri" w:hAnsi="Calibri" w:cs="Calibri"/>
                <w:sz w:val="22"/>
                <w:szCs w:val="22"/>
              </w:rPr>
              <w:t>/security state, but this is not clear</w:t>
            </w:r>
          </w:p>
        </w:tc>
        <w:tc>
          <w:tcPr>
            <w:tcW w:w="2223" w:type="dxa"/>
            <w:vAlign w:val="bottom"/>
          </w:tcPr>
          <w:p w14:paraId="76417D8A" w14:textId="209387F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w:t>
            </w:r>
            <w:proofErr w:type="spellStart"/>
            <w:r>
              <w:rPr>
                <w:rFonts w:ascii="Calibri" w:hAnsi="Calibri" w:cs="Calibri"/>
                <w:sz w:val="22"/>
                <w:szCs w:val="22"/>
              </w:rPr>
              <w:t>xref</w:t>
            </w:r>
            <w:proofErr w:type="spellEnd"/>
            <w:r>
              <w:rPr>
                <w:rFonts w:ascii="Calibri" w:hAnsi="Calibri" w:cs="Calibri"/>
                <w:sz w:val="22"/>
                <w:szCs w:val="22"/>
              </w:rPr>
              <w:t xml:space="preserve"> to 11.3</w:t>
            </w:r>
          </w:p>
        </w:tc>
        <w:tc>
          <w:tcPr>
            <w:tcW w:w="2902" w:type="dxa"/>
          </w:tcPr>
          <w:p w14:paraId="362D632C" w14:textId="77777777" w:rsidR="00AC6D8E" w:rsidRDefault="000966FB" w:rsidP="00AC6D8E">
            <w:pPr>
              <w:rPr>
                <w:rFonts w:ascii="Calibri" w:hAnsi="Calibri" w:cs="Calibri"/>
                <w:color w:val="000000"/>
                <w:szCs w:val="22"/>
              </w:rPr>
            </w:pPr>
            <w:r>
              <w:rPr>
                <w:rFonts w:ascii="Calibri" w:hAnsi="Calibri" w:cs="Calibri"/>
                <w:color w:val="000000"/>
                <w:szCs w:val="22"/>
              </w:rPr>
              <w:t>REVISE</w:t>
            </w:r>
          </w:p>
          <w:p w14:paraId="20BD1860" w14:textId="77777777" w:rsidR="000966FB" w:rsidRDefault="000966FB" w:rsidP="00AC6D8E">
            <w:pPr>
              <w:rPr>
                <w:rFonts w:ascii="Calibri" w:hAnsi="Calibri" w:cs="Calibri"/>
                <w:color w:val="000000"/>
                <w:szCs w:val="22"/>
              </w:rPr>
            </w:pPr>
            <w:r>
              <w:rPr>
                <w:rFonts w:ascii="Calibri" w:hAnsi="Calibri" w:cs="Calibri"/>
                <w:color w:val="000000"/>
                <w:szCs w:val="22"/>
              </w:rPr>
              <w:t xml:space="preserve">After “In State 1 and State 2” Add </w:t>
            </w:r>
            <w:proofErr w:type="gramStart"/>
            <w:r>
              <w:rPr>
                <w:rFonts w:ascii="Calibri" w:hAnsi="Calibri" w:cs="Calibri"/>
                <w:color w:val="000000"/>
                <w:szCs w:val="22"/>
              </w:rPr>
              <w:t>“ (</w:t>
            </w:r>
            <w:proofErr w:type="gramEnd"/>
            <w:r>
              <w:rPr>
                <w:rFonts w:ascii="Calibri" w:hAnsi="Calibri" w:cs="Calibri"/>
                <w:color w:val="000000"/>
                <w:szCs w:val="22"/>
              </w:rPr>
              <w:t>see 11.3.1 State Variables)”</w:t>
            </w:r>
          </w:p>
          <w:p w14:paraId="33B7FE16" w14:textId="77777777" w:rsidR="000966FB" w:rsidRDefault="000966FB" w:rsidP="00AC6D8E">
            <w:pPr>
              <w:rPr>
                <w:rFonts w:ascii="Calibri" w:hAnsi="Calibri" w:cs="Calibri"/>
                <w:color w:val="000000"/>
                <w:szCs w:val="22"/>
              </w:rPr>
            </w:pPr>
          </w:p>
          <w:p w14:paraId="1BE98E61" w14:textId="3AF3C064" w:rsidR="000966FB" w:rsidRDefault="000966FB" w:rsidP="00AC6D8E">
            <w:pPr>
              <w:rPr>
                <w:rFonts w:ascii="Calibri" w:hAnsi="Calibri" w:cs="Calibri"/>
                <w:color w:val="000000"/>
                <w:szCs w:val="22"/>
              </w:rPr>
            </w:pPr>
            <w:r>
              <w:rPr>
                <w:rFonts w:ascii="Calibri" w:hAnsi="Calibri" w:cs="Calibri"/>
                <w:color w:val="000000"/>
                <w:szCs w:val="22"/>
              </w:rPr>
              <w:t xml:space="preserve">Note: CID 28 changed the text of this Note, but this </w:t>
            </w:r>
            <w:r w:rsidR="00774922">
              <w:rPr>
                <w:rFonts w:ascii="Calibri" w:hAnsi="Calibri" w:cs="Calibri"/>
                <w:color w:val="000000"/>
                <w:szCs w:val="22"/>
              </w:rPr>
              <w:t xml:space="preserve">intro </w:t>
            </w:r>
            <w:r>
              <w:rPr>
                <w:rFonts w:ascii="Calibri" w:hAnsi="Calibri" w:cs="Calibri"/>
                <w:color w:val="000000"/>
                <w:szCs w:val="22"/>
              </w:rPr>
              <w:t>is untouched.</w:t>
            </w:r>
          </w:p>
        </w:tc>
      </w:tr>
      <w:tr w:rsidR="00AC6D8E" w14:paraId="2096BB9F" w14:textId="77777777" w:rsidTr="00377F48">
        <w:tc>
          <w:tcPr>
            <w:tcW w:w="620" w:type="dxa"/>
          </w:tcPr>
          <w:p w14:paraId="12C67BB6" w14:textId="0BABB8B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260</w:t>
            </w:r>
          </w:p>
        </w:tc>
        <w:tc>
          <w:tcPr>
            <w:tcW w:w="1158" w:type="dxa"/>
            <w:vAlign w:val="bottom"/>
          </w:tcPr>
          <w:p w14:paraId="6384AF69" w14:textId="34C7DC07"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44A351E" w14:textId="1E60C0D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22</w:t>
            </w:r>
          </w:p>
        </w:tc>
        <w:tc>
          <w:tcPr>
            <w:tcW w:w="2557" w:type="dxa"/>
            <w:vAlign w:val="bottom"/>
          </w:tcPr>
          <w:p w14:paraId="5DE4C844" w14:textId="36CC54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"returning non-AP STA" is not defined or explained.</w:t>
            </w:r>
          </w:p>
        </w:tc>
        <w:tc>
          <w:tcPr>
            <w:tcW w:w="2223" w:type="dxa"/>
            <w:vAlign w:val="bottom"/>
          </w:tcPr>
          <w:p w14:paraId="2CE3C906" w14:textId="06E5F8F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"returning".</w:t>
            </w:r>
          </w:p>
        </w:tc>
        <w:tc>
          <w:tcPr>
            <w:tcW w:w="2902" w:type="dxa"/>
          </w:tcPr>
          <w:p w14:paraId="241B4D26" w14:textId="457F0655" w:rsidR="00AC6D8E" w:rsidRPr="00774922" w:rsidRDefault="00774922" w:rsidP="00AC6D8E">
            <w:pPr>
              <w:rPr>
                <w:rFonts w:ascii="Calibri" w:hAnsi="Calibri" w:cs="Calibri"/>
                <w:color w:val="000000"/>
                <w:sz w:val="24"/>
                <w:szCs w:val="24"/>
              </w:rPr>
            </w:pPr>
            <w:r w:rsidRPr="00774922">
              <w:rPr>
                <w:rFonts w:ascii="Calibri" w:hAnsi="Calibri" w:cs="Calibri"/>
                <w:color w:val="000000"/>
                <w:sz w:val="24"/>
                <w:szCs w:val="24"/>
              </w:rPr>
              <w:t>ACCEPT</w:t>
            </w:r>
          </w:p>
          <w:p w14:paraId="313E9B58" w14:textId="635775DE" w:rsidR="00C749BA" w:rsidRPr="00C749BA" w:rsidRDefault="00C749BA" w:rsidP="00C749BA">
            <w:pPr>
              <w:autoSpaceDE w:val="0"/>
              <w:autoSpaceDN w:val="0"/>
              <w:adjustRightInd w:val="0"/>
              <w:rPr>
                <w:rFonts w:eastAsia="TimesNewRoman"/>
                <w:szCs w:val="22"/>
                <w:lang w:val="en-US" w:eastAsia="ja-JP"/>
              </w:rPr>
            </w:pPr>
            <w:r>
              <w:rPr>
                <w:rFonts w:eastAsia="TimesNewRoman"/>
                <w:szCs w:val="22"/>
                <w:lang w:val="en-US" w:eastAsia="ja-JP"/>
              </w:rPr>
              <w:t>“</w:t>
            </w:r>
            <w:r w:rsidRPr="00C749BA">
              <w:rPr>
                <w:rFonts w:eastAsia="TimesNewRoman"/>
                <w:szCs w:val="22"/>
                <w:lang w:val="en-US" w:eastAsia="ja-JP"/>
              </w:rPr>
              <w:t xml:space="preserve">A non-AP STA should generate the IRM MAC addresses on a random basis such that a </w:t>
            </w:r>
            <w:proofErr w:type="gramStart"/>
            <w:r w:rsidRPr="00774922">
              <w:rPr>
                <w:rFonts w:eastAsia="TimesNewRoman"/>
                <w:strike/>
                <w:color w:val="FF0000"/>
                <w:szCs w:val="22"/>
                <w:lang w:val="en-US" w:eastAsia="ja-JP"/>
              </w:rPr>
              <w:t>returning</w:t>
            </w:r>
            <w:proofErr w:type="gramEnd"/>
          </w:p>
          <w:p w14:paraId="78B6863B" w14:textId="1B21DD6E" w:rsidR="00C749BA" w:rsidRDefault="00C749BA" w:rsidP="00C749BA">
            <w:pPr>
              <w:rPr>
                <w:rFonts w:eastAsia="TimesNewRoman"/>
                <w:szCs w:val="22"/>
                <w:lang w:val="en-US" w:eastAsia="ja-JP"/>
              </w:rPr>
            </w:pPr>
            <w:r w:rsidRPr="00C749BA">
              <w:rPr>
                <w:rFonts w:eastAsia="TimesNewRoman"/>
                <w:szCs w:val="22"/>
                <w:lang w:val="en-US" w:eastAsia="ja-JP"/>
              </w:rPr>
              <w:t>non-AP STA cannot be identified by a third party from the TA it is using</w:t>
            </w:r>
            <w:r>
              <w:rPr>
                <w:rFonts w:eastAsia="TimesNewRoman"/>
                <w:szCs w:val="22"/>
                <w:lang w:val="en-US" w:eastAsia="ja-JP"/>
              </w:rPr>
              <w:t>.”</w:t>
            </w:r>
          </w:p>
          <w:p w14:paraId="466B61E0" w14:textId="77777777" w:rsidR="00AC6D8E" w:rsidRDefault="00AC6D8E" w:rsidP="00774922">
            <w:pPr>
              <w:rPr>
                <w:rFonts w:ascii="Calibri" w:hAnsi="Calibri" w:cs="Calibri"/>
                <w:color w:val="000000"/>
                <w:szCs w:val="22"/>
              </w:rPr>
            </w:pPr>
          </w:p>
        </w:tc>
      </w:tr>
      <w:tr w:rsidR="00AC6D8E" w14:paraId="13E2153E" w14:textId="3A8EE077" w:rsidTr="00377F48">
        <w:tc>
          <w:tcPr>
            <w:tcW w:w="620" w:type="dxa"/>
          </w:tcPr>
          <w:p w14:paraId="346ACB78" w14:textId="53DD88C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266</w:t>
            </w:r>
          </w:p>
        </w:tc>
        <w:tc>
          <w:tcPr>
            <w:tcW w:w="1158" w:type="dxa"/>
            <w:vAlign w:val="bottom"/>
          </w:tcPr>
          <w:p w14:paraId="000C80A8" w14:textId="3BFD218A" w:rsidR="00AC6D8E" w:rsidRPr="00C749BA" w:rsidRDefault="00AC6D8E" w:rsidP="00AC6D8E">
            <w:pPr>
              <w:pStyle w:val="Bulleted"/>
              <w:tabs>
                <w:tab w:val="clear" w:pos="360"/>
                <w:tab w:val="left" w:pos="1540"/>
                <w:tab w:val="left" w:pos="2160"/>
              </w:tabs>
              <w:suppressAutoHyphens/>
              <w:spacing w:line="240" w:lineRule="auto"/>
              <w:ind w:left="0" w:firstLine="0"/>
              <w:rPr>
                <w:rFonts w:eastAsia="Times New Roman"/>
                <w:strike/>
                <w:sz w:val="22"/>
              </w:rPr>
            </w:pPr>
            <w:r w:rsidRPr="00C749BA">
              <w:rPr>
                <w:rFonts w:ascii="Calibri" w:hAnsi="Calibri" w:cs="Calibri"/>
                <w:strike/>
                <w:color w:val="FF0000"/>
                <w:sz w:val="22"/>
                <w:szCs w:val="22"/>
              </w:rPr>
              <w:t>42</w:t>
            </w:r>
            <w:r w:rsidR="00C749BA" w:rsidRPr="00C749BA">
              <w:rPr>
                <w:rFonts w:ascii="Calibri" w:hAnsi="Calibri" w:cs="Calibri"/>
                <w:color w:val="FF0000"/>
                <w:sz w:val="22"/>
                <w:szCs w:val="22"/>
              </w:rPr>
              <w:t>33</w:t>
            </w:r>
          </w:p>
        </w:tc>
        <w:tc>
          <w:tcPr>
            <w:tcW w:w="620" w:type="dxa"/>
            <w:vAlign w:val="bottom"/>
          </w:tcPr>
          <w:p w14:paraId="7AB05A23" w14:textId="6540F1B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5A7ED7E4" w14:textId="2F9395C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Note 3 </w:t>
            </w:r>
            <w:proofErr w:type="gramStart"/>
            <w:r>
              <w:rPr>
                <w:rFonts w:ascii="Calibri" w:hAnsi="Calibri" w:cs="Calibri"/>
                <w:sz w:val="22"/>
                <w:szCs w:val="22"/>
              </w:rPr>
              <w:t>call</w:t>
            </w:r>
            <w:proofErr w:type="gramEnd"/>
            <w:r>
              <w:rPr>
                <w:rFonts w:ascii="Calibri" w:hAnsi="Calibri" w:cs="Calibri"/>
                <w:sz w:val="22"/>
                <w:szCs w:val="22"/>
              </w:rPr>
              <w:t xml:space="preserve"> out "to ensure good STA privacy".  Not sure what "good STA privacy" implies.  Should consider changing "good" to "optimal"</w:t>
            </w:r>
          </w:p>
        </w:tc>
        <w:tc>
          <w:tcPr>
            <w:tcW w:w="2223" w:type="dxa"/>
            <w:vAlign w:val="bottom"/>
          </w:tcPr>
          <w:p w14:paraId="4F2D31F3" w14:textId="70200BB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As commented</w:t>
            </w:r>
          </w:p>
        </w:tc>
        <w:tc>
          <w:tcPr>
            <w:tcW w:w="2902" w:type="dxa"/>
          </w:tcPr>
          <w:p w14:paraId="122B1CAE"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34BEA044" w14:textId="0DF7149D"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REVISE</w:t>
            </w:r>
          </w:p>
          <w:p w14:paraId="3EC82D3F" w14:textId="4F6BB0EF"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Delete “good”</w:t>
            </w:r>
          </w:p>
          <w:p w14:paraId="610BE33F"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51795F90" w14:textId="01EC87C7" w:rsidR="00AC6D8E" w:rsidRDefault="00C749B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CID 28 changed text:</w:t>
            </w:r>
          </w:p>
          <w:p w14:paraId="6854271B" w14:textId="137FD6D4" w:rsidR="00C749BA" w:rsidRDefault="00C749BA" w:rsidP="00AC6D8E">
            <w:pPr>
              <w:pStyle w:val="Bulleted"/>
              <w:tabs>
                <w:tab w:val="clear" w:pos="360"/>
                <w:tab w:val="left" w:pos="1540"/>
                <w:tab w:val="left" w:pos="2160"/>
              </w:tabs>
              <w:suppressAutoHyphens/>
              <w:spacing w:line="240" w:lineRule="auto"/>
              <w:ind w:left="0" w:firstLine="0"/>
              <w:rPr>
                <w:rFonts w:eastAsia="TimesNewRoman"/>
                <w:color w:val="auto"/>
                <w:lang w:eastAsia="ja-JP"/>
              </w:rPr>
            </w:pPr>
            <w:r>
              <w:rPr>
                <w:rFonts w:eastAsia="TimesNewRoman"/>
                <w:lang w:eastAsia="ja-JP"/>
              </w:rPr>
              <w:t xml:space="preserve">“In State 1 and State 2, the IRM MAC address is recommended to be used only in authentication and (re)association frames, </w:t>
            </w:r>
            <w:r w:rsidRPr="00C749BA">
              <w:rPr>
                <w:rFonts w:eastAsia="TimesNewRoman"/>
                <w:color w:val="auto"/>
                <w:lang w:eastAsia="ja-JP"/>
              </w:rPr>
              <w:t>respectively</w:t>
            </w:r>
            <w:r>
              <w:rPr>
                <w:rFonts w:eastAsia="TimesNewRoman"/>
                <w:lang w:eastAsia="ja-JP"/>
              </w:rPr>
              <w:t xml:space="preserve">. </w:t>
            </w:r>
            <w:r w:rsidRPr="00C749BA">
              <w:rPr>
                <w:rFonts w:eastAsia="TimesNewRoman"/>
                <w:b/>
                <w:bCs/>
                <w:color w:val="auto"/>
                <w:lang w:eastAsia="ja-JP"/>
              </w:rPr>
              <w:t xml:space="preserve">To </w:t>
            </w:r>
            <w:r w:rsidRPr="00774922">
              <w:rPr>
                <w:rFonts w:eastAsia="TimesNewRoman"/>
                <w:b/>
                <w:bCs/>
                <w:strike/>
                <w:color w:val="FF0000"/>
                <w:lang w:eastAsia="ja-JP"/>
              </w:rPr>
              <w:t>ensure</w:t>
            </w:r>
            <w:r w:rsidRPr="00C749BA">
              <w:rPr>
                <w:rFonts w:eastAsia="TimesNewRoman"/>
                <w:b/>
                <w:bCs/>
                <w:color w:val="auto"/>
                <w:lang w:eastAsia="ja-JP"/>
              </w:rPr>
              <w:t xml:space="preserve"> </w:t>
            </w:r>
            <w:r w:rsidR="00774922" w:rsidRPr="00774922">
              <w:rPr>
                <w:rFonts w:eastAsia="TimesNewRoman"/>
                <w:b/>
                <w:bCs/>
                <w:color w:val="FF0000"/>
                <w:lang w:eastAsia="ja-JP"/>
              </w:rPr>
              <w:t>provide</w:t>
            </w:r>
            <w:r w:rsidR="00774922">
              <w:rPr>
                <w:rFonts w:eastAsia="TimesNewRoman"/>
                <w:b/>
                <w:bCs/>
                <w:color w:val="auto"/>
                <w:lang w:eastAsia="ja-JP"/>
              </w:rPr>
              <w:t xml:space="preserve"> </w:t>
            </w:r>
            <w:r w:rsidRPr="00774922">
              <w:rPr>
                <w:rFonts w:eastAsia="TimesNewRoman"/>
                <w:b/>
                <w:bCs/>
                <w:strike/>
                <w:color w:val="FF0000"/>
                <w:lang w:eastAsia="ja-JP"/>
              </w:rPr>
              <w:t>good</w:t>
            </w:r>
            <w:r w:rsidRPr="00C749BA">
              <w:rPr>
                <w:rFonts w:eastAsia="TimesNewRoman"/>
                <w:b/>
                <w:bCs/>
                <w:color w:val="auto"/>
                <w:lang w:eastAsia="ja-JP"/>
              </w:rPr>
              <w:t xml:space="preserve"> STA privacy</w:t>
            </w:r>
            <w:r w:rsidRPr="00C749BA">
              <w:rPr>
                <w:rFonts w:eastAsia="TimesNewRoman"/>
                <w:color w:val="auto"/>
                <w:lang w:eastAsia="ja-JP"/>
              </w:rPr>
              <w:t xml:space="preserve">, </w:t>
            </w:r>
            <w:r>
              <w:rPr>
                <w:rFonts w:eastAsia="TimesNewRoman"/>
                <w:lang w:eastAsia="ja-JP"/>
              </w:rPr>
              <w:t xml:space="preserve">a non-AP STA is recommended to change its IRM MAC Address in each </w:t>
            </w:r>
            <w:r w:rsidRPr="00C749BA">
              <w:rPr>
                <w:rFonts w:eastAsia="TimesNewRoman"/>
                <w:color w:val="auto"/>
                <w:lang w:eastAsia="ja-JP"/>
              </w:rPr>
              <w:t>association or PASN preassociation.</w:t>
            </w:r>
            <w:r>
              <w:rPr>
                <w:rFonts w:eastAsia="TimesNewRoman"/>
                <w:color w:val="auto"/>
                <w:lang w:eastAsia="ja-JP"/>
              </w:rPr>
              <w:t>”</w:t>
            </w:r>
          </w:p>
          <w:p w14:paraId="1ABC2D16" w14:textId="77777777" w:rsidR="00C749BA" w:rsidRDefault="00C749BA" w:rsidP="00AC6D8E">
            <w:pPr>
              <w:pStyle w:val="Bulleted"/>
              <w:tabs>
                <w:tab w:val="clear" w:pos="360"/>
                <w:tab w:val="left" w:pos="1540"/>
                <w:tab w:val="left" w:pos="2160"/>
              </w:tabs>
              <w:suppressAutoHyphens/>
              <w:spacing w:line="240" w:lineRule="auto"/>
              <w:ind w:left="0" w:firstLine="0"/>
              <w:rPr>
                <w:rFonts w:eastAsia="TimesNewRoman"/>
              </w:rPr>
            </w:pPr>
          </w:p>
          <w:p w14:paraId="1646064F" w14:textId="7FA60170" w:rsidR="00C749BA" w:rsidRDefault="00C749BA" w:rsidP="00774922">
            <w:pPr>
              <w:pStyle w:val="Bulleted"/>
              <w:tabs>
                <w:tab w:val="clear" w:pos="360"/>
                <w:tab w:val="left" w:pos="1540"/>
                <w:tab w:val="left" w:pos="2160"/>
              </w:tabs>
              <w:suppressAutoHyphens/>
              <w:spacing w:line="240" w:lineRule="auto"/>
              <w:ind w:left="0" w:firstLine="0"/>
              <w:rPr>
                <w:rFonts w:eastAsia="Times New Roman"/>
                <w:sz w:val="22"/>
              </w:rPr>
            </w:pPr>
          </w:p>
        </w:tc>
      </w:tr>
    </w:tbl>
    <w:p w14:paraId="417D67F2" w14:textId="1D92D1C7" w:rsidR="00DD47CE"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p w14:paraId="24868C3F" w14:textId="77777777" w:rsidR="00DD47CE" w:rsidRDefault="00DD47CE">
      <w:pPr>
        <w:rPr>
          <w:rFonts w:eastAsia="TimesNewRoman"/>
          <w:sz w:val="40"/>
          <w:szCs w:val="40"/>
          <w:lang w:val="en-US" w:eastAsia="ja-JP"/>
        </w:rPr>
      </w:pPr>
      <w:r>
        <w:rPr>
          <w:rFonts w:eastAsia="TimesNewRoman"/>
          <w:sz w:val="40"/>
          <w:szCs w:val="40"/>
          <w:lang w:val="en-US" w:eastAsia="ja-JP"/>
        </w:rPr>
        <w:br w:type="page"/>
      </w:r>
    </w:p>
    <w:p w14:paraId="23DE2DE1" w14:textId="7EE672AB" w:rsidR="00D21E10" w:rsidRDefault="00DD47CE" w:rsidP="00C66198">
      <w:pPr>
        <w:autoSpaceDE w:val="0"/>
        <w:autoSpaceDN w:val="0"/>
        <w:adjustRightInd w:val="0"/>
        <w:rPr>
          <w:rFonts w:eastAsia="TimesNewRoman"/>
          <w:sz w:val="24"/>
          <w:szCs w:val="24"/>
          <w:lang w:val="en-US" w:eastAsia="ja-JP"/>
        </w:rPr>
      </w:pPr>
      <w:r w:rsidRPr="00DD47CE">
        <w:rPr>
          <w:rFonts w:eastAsia="TimesNewRoman"/>
          <w:sz w:val="24"/>
          <w:szCs w:val="24"/>
          <w:lang w:val="en-US" w:eastAsia="ja-JP"/>
        </w:rPr>
        <w:lastRenderedPageBreak/>
        <w:t>CID 107</w:t>
      </w:r>
    </w:p>
    <w:p w14:paraId="709B7622" w14:textId="77777777" w:rsidR="000966FB" w:rsidRDefault="000966FB" w:rsidP="00C66198">
      <w:pPr>
        <w:autoSpaceDE w:val="0"/>
        <w:autoSpaceDN w:val="0"/>
        <w:adjustRightInd w:val="0"/>
        <w:rPr>
          <w:rFonts w:eastAsia="TimesNewRoman"/>
          <w:sz w:val="24"/>
          <w:szCs w:val="24"/>
          <w:lang w:val="en-US" w:eastAsia="ja-JP"/>
        </w:rPr>
      </w:pPr>
    </w:p>
    <w:p w14:paraId="56C0C1F4" w14:textId="7A19C4FB" w:rsidR="000966FB" w:rsidRPr="00DD47CE" w:rsidRDefault="000966F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Propose REVISE</w:t>
      </w:r>
    </w:p>
    <w:p w14:paraId="19C2773B" w14:textId="2C988F57"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At 32.39, r</w:t>
      </w:r>
      <w:r w:rsidR="00DD47CE">
        <w:rPr>
          <w:rFonts w:ascii="Calibri" w:hAnsi="Calibri" w:cs="Calibri"/>
          <w:sz w:val="22"/>
          <w:szCs w:val="22"/>
        </w:rPr>
        <w:t xml:space="preserve">eplace the cited paragraph </w:t>
      </w:r>
      <w:r w:rsidR="00DD47CE">
        <w:rPr>
          <w:rFonts w:ascii="Calibri" w:hAnsi="Calibri" w:cs="Calibri"/>
          <w:sz w:val="22"/>
          <w:szCs w:val="22"/>
        </w:rPr>
        <w:br/>
      </w:r>
    </w:p>
    <w:p w14:paraId="744860F4" w14:textId="23CBE6C8" w:rsidR="00DD47CE" w:rsidRPr="00DD47CE" w:rsidRDefault="000966FB" w:rsidP="00DD47CE">
      <w:pPr>
        <w:autoSpaceDE w:val="0"/>
        <w:autoSpaceDN w:val="0"/>
        <w:adjustRightInd w:val="0"/>
        <w:rPr>
          <w:rFonts w:eastAsia="TimesNewRoman"/>
          <w:sz w:val="32"/>
          <w:szCs w:val="32"/>
          <w:lang w:val="en-US" w:eastAsia="ja-JP"/>
        </w:rPr>
      </w:pPr>
      <w:r>
        <w:rPr>
          <w:rFonts w:eastAsia="TimesNewRoman"/>
          <w:sz w:val="24"/>
          <w:szCs w:val="24"/>
          <w:lang w:val="en-US" w:eastAsia="ja-JP"/>
        </w:rPr>
        <w:t>“</w:t>
      </w:r>
      <w:r w:rsidR="00DD47CE" w:rsidRPr="00DD47CE">
        <w:rPr>
          <w:rFonts w:eastAsia="TimesNewRoman"/>
          <w:sz w:val="24"/>
          <w:szCs w:val="24"/>
          <w:lang w:val="en-US" w:eastAsia="ja-JP"/>
        </w:rPr>
        <w:t>A non-AP STA indicates activation of IRM for a particular ESS by setting the IRM Active field to 1 in the</w:t>
      </w:r>
      <w:r w:rsidR="00DD47CE">
        <w:rPr>
          <w:rFonts w:eastAsia="TimesNewRoman"/>
          <w:sz w:val="24"/>
          <w:szCs w:val="24"/>
          <w:lang w:val="en-US" w:eastAsia="ja-JP"/>
        </w:rPr>
        <w:t xml:space="preserve"> </w:t>
      </w:r>
      <w:r w:rsidR="00DD47CE" w:rsidRPr="00DD47CE">
        <w:rPr>
          <w:rFonts w:eastAsia="TimesNewRoman"/>
          <w:sz w:val="24"/>
          <w:szCs w:val="24"/>
          <w:lang w:val="en-US" w:eastAsia="ja-JP"/>
        </w:rPr>
        <w:t>Extended RSN Capabilities field (see 9.4.2.241 (RSNXE) in (Re)Association Request frames sent to any AP in</w:t>
      </w:r>
      <w:r w:rsidR="00DD47CE">
        <w:rPr>
          <w:rFonts w:eastAsia="TimesNewRoman"/>
          <w:sz w:val="24"/>
          <w:szCs w:val="24"/>
          <w:lang w:val="en-US" w:eastAsia="ja-JP"/>
        </w:rPr>
        <w:t xml:space="preserve"> </w:t>
      </w:r>
      <w:r w:rsidR="00DD47CE" w:rsidRPr="00DD47CE">
        <w:rPr>
          <w:rFonts w:eastAsia="TimesNewRoman"/>
          <w:sz w:val="24"/>
          <w:szCs w:val="24"/>
          <w:lang w:val="en-US" w:eastAsia="ja-JP"/>
        </w:rPr>
        <w:t>the ESS. An AP indicates activation of IRM by setting the IRM Active field to 1 in the Extended RSN</w:t>
      </w:r>
      <w:r w:rsidR="00DD47CE">
        <w:rPr>
          <w:rFonts w:eastAsia="TimesNewRoman"/>
          <w:sz w:val="24"/>
          <w:szCs w:val="24"/>
          <w:lang w:val="en-US" w:eastAsia="ja-JP"/>
        </w:rPr>
        <w:t xml:space="preserve"> </w:t>
      </w:r>
      <w:r w:rsidR="00DD47CE" w:rsidRPr="00DD47CE">
        <w:rPr>
          <w:rFonts w:eastAsia="TimesNewRoman"/>
          <w:sz w:val="24"/>
          <w:szCs w:val="24"/>
          <w:lang w:val="en-US" w:eastAsia="ja-JP"/>
        </w:rPr>
        <w:t>Capabilities field in Beacon, (Re)Association Response, and Probe Response frames. All APs in each ESS</w:t>
      </w:r>
      <w:r w:rsidR="00DD47CE">
        <w:rPr>
          <w:rFonts w:eastAsia="TimesNewRoman"/>
          <w:sz w:val="24"/>
          <w:szCs w:val="24"/>
          <w:lang w:val="en-US" w:eastAsia="ja-JP"/>
        </w:rPr>
        <w:t xml:space="preserve"> </w:t>
      </w:r>
      <w:r w:rsidR="00DD47CE" w:rsidRPr="00DD47CE">
        <w:rPr>
          <w:rFonts w:eastAsia="TimesNewRoman"/>
          <w:sz w:val="24"/>
          <w:szCs w:val="24"/>
          <w:lang w:val="en-US" w:eastAsia="ja-JP"/>
        </w:rPr>
        <w:t>shall set this field to the same value.</w:t>
      </w:r>
      <w:r>
        <w:rPr>
          <w:rFonts w:eastAsia="TimesNewRoman"/>
          <w:sz w:val="24"/>
          <w:szCs w:val="24"/>
          <w:lang w:val="en-US" w:eastAsia="ja-JP"/>
        </w:rPr>
        <w:t>”</w:t>
      </w:r>
    </w:p>
    <w:p w14:paraId="3CD7D87A" w14:textId="77777777"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246BBCF2" w14:textId="63A9820A"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with:</w:t>
      </w:r>
    </w:p>
    <w:p w14:paraId="50D51556" w14:textId="078A3E38" w:rsidR="00DD47CE" w:rsidRPr="00DD47CE" w:rsidRDefault="00DD47CE" w:rsidP="00DD47CE">
      <w:pPr>
        <w:pStyle w:val="Bulleted"/>
        <w:tabs>
          <w:tab w:val="clear" w:pos="360"/>
          <w:tab w:val="left" w:pos="1540"/>
          <w:tab w:val="left" w:pos="2160"/>
        </w:tabs>
        <w:suppressAutoHyphens/>
        <w:spacing w:line="240" w:lineRule="auto"/>
        <w:ind w:left="0" w:firstLine="0"/>
        <w:rPr>
          <w:rFonts w:eastAsia="Times New Roman"/>
          <w:szCs w:val="28"/>
        </w:rPr>
      </w:pPr>
      <w:r w:rsidRPr="00DD47CE">
        <w:rPr>
          <w:rFonts w:ascii="Calibri" w:hAnsi="Calibri" w:cs="Calibri"/>
        </w:rP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r w:rsidR="000966FB">
        <w:rPr>
          <w:rFonts w:ascii="Calibri" w:hAnsi="Calibri" w:cs="Calibri"/>
        </w:rPr>
        <w:t xml:space="preserve"> </w:t>
      </w:r>
      <w:r w:rsidR="000966FB" w:rsidRPr="000966FB">
        <w:rPr>
          <w:rFonts w:eastAsia="TimesNewRoman"/>
          <w:color w:val="FF0000"/>
          <w:lang w:eastAsia="ja-JP"/>
        </w:rPr>
        <w:t>All APs in each ESS shall set th</w:t>
      </w:r>
      <w:r w:rsidR="000966FB">
        <w:rPr>
          <w:rFonts w:eastAsia="TimesNewRoman"/>
          <w:color w:val="FF0000"/>
          <w:lang w:eastAsia="ja-JP"/>
        </w:rPr>
        <w:t>e</w:t>
      </w:r>
      <w:r w:rsidR="000966FB" w:rsidRPr="000966FB">
        <w:rPr>
          <w:rFonts w:eastAsia="TimesNewRoman"/>
          <w:color w:val="FF0000"/>
          <w:lang w:eastAsia="ja-JP"/>
        </w:rPr>
        <w:t>s</w:t>
      </w:r>
      <w:r w:rsidR="000966FB">
        <w:rPr>
          <w:rFonts w:eastAsia="TimesNewRoman"/>
          <w:color w:val="FF0000"/>
          <w:lang w:eastAsia="ja-JP"/>
        </w:rPr>
        <w:t>e</w:t>
      </w:r>
      <w:r w:rsidR="000966FB" w:rsidRPr="000966FB">
        <w:rPr>
          <w:rFonts w:eastAsia="TimesNewRoman"/>
          <w:color w:val="FF0000"/>
          <w:lang w:eastAsia="ja-JP"/>
        </w:rPr>
        <w:t xml:space="preserve"> field</w:t>
      </w:r>
      <w:r w:rsidR="000966FB">
        <w:rPr>
          <w:rFonts w:eastAsia="TimesNewRoman"/>
          <w:color w:val="FF0000"/>
          <w:lang w:eastAsia="ja-JP"/>
        </w:rPr>
        <w:t>s</w:t>
      </w:r>
      <w:r w:rsidR="000966FB" w:rsidRPr="000966FB">
        <w:rPr>
          <w:rFonts w:eastAsia="TimesNewRoman"/>
          <w:color w:val="FF0000"/>
          <w:lang w:eastAsia="ja-JP"/>
        </w:rPr>
        <w:t xml:space="preserve"> to the same value.</w:t>
      </w:r>
      <w:r w:rsidR="000966FB">
        <w:rPr>
          <w:rFonts w:ascii="Calibri" w:hAnsi="Calibri" w:cs="Calibri"/>
        </w:rPr>
        <w:t xml:space="preserve"> </w:t>
      </w:r>
      <w:r w:rsidRPr="00DD47CE">
        <w:rPr>
          <w:rFonts w:ascii="Calibri" w:hAnsi="Calibri" w:cs="Calibri"/>
        </w:rPr>
        <w:t>"</w:t>
      </w:r>
    </w:p>
    <w:p w14:paraId="05CD118F" w14:textId="77777777" w:rsidR="00DD47CE" w:rsidRDefault="00DD47CE" w:rsidP="00C66198">
      <w:pPr>
        <w:pBdr>
          <w:bottom w:val="single" w:sz="12" w:space="1" w:color="auto"/>
        </w:pBdr>
        <w:autoSpaceDE w:val="0"/>
        <w:autoSpaceDN w:val="0"/>
        <w:adjustRightInd w:val="0"/>
        <w:rPr>
          <w:rFonts w:eastAsia="TimesNewRoman"/>
          <w:sz w:val="28"/>
          <w:szCs w:val="28"/>
          <w:lang w:val="en-US" w:eastAsia="ja-JP"/>
        </w:rPr>
      </w:pPr>
    </w:p>
    <w:p w14:paraId="276EE7AD" w14:textId="77777777" w:rsidR="00231A79" w:rsidRDefault="00231A79" w:rsidP="00C66198">
      <w:pPr>
        <w:autoSpaceDE w:val="0"/>
        <w:autoSpaceDN w:val="0"/>
        <w:adjustRightInd w:val="0"/>
        <w:rPr>
          <w:rFonts w:eastAsia="TimesNewRoman"/>
          <w:sz w:val="28"/>
          <w:szCs w:val="28"/>
          <w:lang w:val="en-US" w:eastAsia="ja-JP"/>
        </w:rPr>
      </w:pPr>
    </w:p>
    <w:p w14:paraId="07097C65" w14:textId="743BD6B4" w:rsidR="00825E09" w:rsidRDefault="00825E09" w:rsidP="00C66198">
      <w:pPr>
        <w:autoSpaceDE w:val="0"/>
        <w:autoSpaceDN w:val="0"/>
        <w:adjustRightInd w:val="0"/>
        <w:rPr>
          <w:rFonts w:eastAsia="TimesNewRoman"/>
          <w:sz w:val="28"/>
          <w:szCs w:val="28"/>
          <w:lang w:val="en-US" w:eastAsia="ja-JP"/>
        </w:rPr>
      </w:pPr>
      <w:r>
        <w:rPr>
          <w:rFonts w:eastAsia="TimesNewRoman"/>
          <w:sz w:val="28"/>
          <w:szCs w:val="28"/>
          <w:lang w:val="en-US" w:eastAsia="ja-JP"/>
        </w:rPr>
        <w:t>CID 195</w:t>
      </w:r>
    </w:p>
    <w:p w14:paraId="2E6BE6FA" w14:textId="7889118B" w:rsidR="00825E09" w:rsidRPr="00DD47CE" w:rsidRDefault="00825E09" w:rsidP="00C66198">
      <w:pPr>
        <w:autoSpaceDE w:val="0"/>
        <w:autoSpaceDN w:val="0"/>
        <w:adjustRightInd w:val="0"/>
        <w:rPr>
          <w:rFonts w:eastAsia="TimesNewRoman"/>
          <w:sz w:val="28"/>
          <w:szCs w:val="28"/>
          <w:lang w:val="en-US" w:eastAsia="ja-JP"/>
        </w:rPr>
      </w:pPr>
      <w:r>
        <w:rPr>
          <w:rFonts w:ascii="Calibri" w:hAnsi="Calibri" w:cs="Calibri"/>
          <w:color w:val="000000"/>
          <w:szCs w:val="22"/>
        </w:rPr>
        <w:t>“</w:t>
      </w:r>
      <w:proofErr w:type="gramStart"/>
      <w:r>
        <w:rPr>
          <w:rFonts w:ascii="Calibri" w:hAnsi="Calibri" w:cs="Calibri"/>
          <w:color w:val="000000"/>
          <w:szCs w:val="22"/>
        </w:rPr>
        <w:t>well</w:t>
      </w:r>
      <w:proofErr w:type="gramEnd"/>
      <w:r>
        <w:rPr>
          <w:rFonts w:ascii="Calibri" w:hAnsi="Calibri" w:cs="Calibri"/>
          <w:color w:val="000000"/>
          <w:szCs w:val="22"/>
        </w:rPr>
        <w:t>, which is it -- does it have ESS scope or just AP scope?”</w:t>
      </w:r>
    </w:p>
    <w:p w14:paraId="0C6DCBFF" w14:textId="77777777" w:rsidR="000966FB" w:rsidRDefault="000966FB">
      <w:pPr>
        <w:autoSpaceDE w:val="0"/>
        <w:autoSpaceDN w:val="0"/>
        <w:adjustRightInd w:val="0"/>
        <w:rPr>
          <w:rFonts w:eastAsia="TimesNewRoman"/>
          <w:b/>
          <w:bCs/>
          <w:sz w:val="24"/>
          <w:szCs w:val="24"/>
          <w:lang w:val="en-US" w:eastAsia="ja-JP"/>
        </w:rPr>
      </w:pPr>
    </w:p>
    <w:p w14:paraId="0F30C2AD" w14:textId="2C31C560" w:rsidR="00DD47CE"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REVISE</w:t>
      </w:r>
    </w:p>
    <w:p w14:paraId="2581CF2A" w14:textId="0E679069"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 xml:space="preserve">Replace </w:t>
      </w:r>
    </w:p>
    <w:p w14:paraId="0CF506FC" w14:textId="6F1F99C1"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AP/ESS</w:t>
      </w:r>
      <w:r>
        <w:rPr>
          <w:rFonts w:eastAsia="TimesNewRoman"/>
          <w:sz w:val="24"/>
          <w:szCs w:val="24"/>
          <w:lang w:val="en-US" w:eastAsia="ja-JP"/>
        </w:rPr>
        <w:t xml:space="preserve"> </w:t>
      </w:r>
      <w:r w:rsidRPr="00825E09">
        <w:rPr>
          <w:rFonts w:eastAsia="TimesNewRoman"/>
          <w:sz w:val="24"/>
          <w:szCs w:val="24"/>
          <w:lang w:val="en-US" w:eastAsia="ja-JP"/>
        </w:rPr>
        <w:t>and the AP/ESS should store that IRM MAC address as an identifier for that non-AP STA</w:t>
      </w:r>
      <w:r>
        <w:rPr>
          <w:rFonts w:eastAsia="TimesNewRoman"/>
          <w:sz w:val="24"/>
          <w:szCs w:val="24"/>
          <w:lang w:val="en-US" w:eastAsia="ja-JP"/>
        </w:rPr>
        <w:t>.</w:t>
      </w:r>
    </w:p>
    <w:p w14:paraId="65005709" w14:textId="77777777" w:rsidR="00825E09" w:rsidRDefault="00825E09">
      <w:pPr>
        <w:autoSpaceDE w:val="0"/>
        <w:autoSpaceDN w:val="0"/>
        <w:adjustRightInd w:val="0"/>
        <w:rPr>
          <w:rFonts w:eastAsia="TimesNewRoman"/>
          <w:sz w:val="40"/>
          <w:szCs w:val="40"/>
          <w:lang w:val="en-US" w:eastAsia="ja-JP"/>
        </w:rPr>
      </w:pPr>
    </w:p>
    <w:p w14:paraId="7F238CA2" w14:textId="6CFD324D"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With</w:t>
      </w:r>
    </w:p>
    <w:p w14:paraId="228F1E88" w14:textId="67347BF0"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w:t>
      </w:r>
      <w:r w:rsidRPr="00825E09">
        <w:rPr>
          <w:rFonts w:eastAsia="TimesNewRoman"/>
          <w:strike/>
          <w:color w:val="FF0000"/>
          <w:sz w:val="24"/>
          <w:szCs w:val="24"/>
          <w:lang w:val="en-US" w:eastAsia="ja-JP"/>
        </w:rPr>
        <w:t>/ESS</w:t>
      </w:r>
      <w:r w:rsidRPr="00825E09">
        <w:rPr>
          <w:rFonts w:eastAsia="TimesNewRoman"/>
          <w:color w:val="FF0000"/>
          <w:sz w:val="24"/>
          <w:szCs w:val="24"/>
          <w:lang w:val="en-US" w:eastAsia="ja-JP"/>
        </w:rPr>
        <w:t xml:space="preserve"> and, if that AP is part of an ESS, as an identifier for all APs in that ESS </w:t>
      </w:r>
      <w:r w:rsidRPr="00825E09">
        <w:rPr>
          <w:rFonts w:eastAsia="TimesNewRoman"/>
          <w:sz w:val="24"/>
          <w:szCs w:val="24"/>
          <w:lang w:val="en-US" w:eastAsia="ja-JP"/>
        </w:rPr>
        <w:t>and the AP</w:t>
      </w:r>
      <w:r w:rsidRPr="00825E09">
        <w:rPr>
          <w:rFonts w:eastAsia="TimesNewRoman"/>
          <w:color w:val="FF0000"/>
          <w:sz w:val="24"/>
          <w:szCs w:val="24"/>
          <w:lang w:val="en-US" w:eastAsia="ja-JP"/>
        </w:rPr>
        <w:t xml:space="preserve">(s) </w:t>
      </w:r>
      <w:r w:rsidRPr="00825E09">
        <w:rPr>
          <w:rFonts w:eastAsia="TimesNewRoman"/>
          <w:sz w:val="24"/>
          <w:szCs w:val="24"/>
          <w:lang w:val="en-US" w:eastAsia="ja-JP"/>
        </w:rPr>
        <w:t>should store that IRM MAC address as an identifier for that non-AP STA</w:t>
      </w:r>
      <w:r>
        <w:rPr>
          <w:rFonts w:eastAsia="TimesNewRoman"/>
          <w:sz w:val="24"/>
          <w:szCs w:val="24"/>
          <w:lang w:val="en-US" w:eastAsia="ja-JP"/>
        </w:rPr>
        <w:t>.</w:t>
      </w:r>
    </w:p>
    <w:p w14:paraId="39879C97" w14:textId="522169D3" w:rsidR="00825E09" w:rsidRDefault="00231A79">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__________________________________________________</w:t>
      </w:r>
    </w:p>
    <w:p w14:paraId="241288B7" w14:textId="77777777" w:rsidR="00231A79" w:rsidRDefault="00231A79">
      <w:pPr>
        <w:autoSpaceDE w:val="0"/>
        <w:autoSpaceDN w:val="0"/>
        <w:adjustRightInd w:val="0"/>
        <w:rPr>
          <w:rFonts w:eastAsia="TimesNewRoman"/>
          <w:sz w:val="40"/>
          <w:szCs w:val="40"/>
          <w:lang w:val="en-US" w:eastAsia="ja-JP"/>
        </w:rPr>
      </w:pPr>
    </w:p>
    <w:p w14:paraId="6B8677CC" w14:textId="6DB59CF6" w:rsidR="00231A79" w:rsidRPr="00231A79" w:rsidRDefault="00231A79">
      <w:pPr>
        <w:autoSpaceDE w:val="0"/>
        <w:autoSpaceDN w:val="0"/>
        <w:adjustRightInd w:val="0"/>
        <w:rPr>
          <w:rFonts w:eastAsia="TimesNewRoman"/>
          <w:b/>
          <w:bCs/>
          <w:sz w:val="24"/>
          <w:szCs w:val="24"/>
          <w:lang w:val="en-US" w:eastAsia="ja-JP"/>
        </w:rPr>
      </w:pPr>
      <w:r w:rsidRPr="00231A79">
        <w:rPr>
          <w:rFonts w:eastAsia="TimesNewRoman"/>
          <w:b/>
          <w:bCs/>
          <w:sz w:val="24"/>
          <w:szCs w:val="24"/>
          <w:lang w:val="en-US" w:eastAsia="ja-JP"/>
        </w:rPr>
        <w:t>CID 236</w:t>
      </w:r>
    </w:p>
    <w:p w14:paraId="63083882" w14:textId="12788904" w:rsidR="000966FB" w:rsidRDefault="000966FB" w:rsidP="00231A79">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p w14:paraId="2252EFA1" w14:textId="487F9F1F" w:rsidR="00231A79" w:rsidRDefault="00231A79" w:rsidP="00231A79">
      <w:pPr>
        <w:autoSpaceDE w:val="0"/>
        <w:autoSpaceDN w:val="0"/>
        <w:adjustRightInd w:val="0"/>
        <w:rPr>
          <w:rFonts w:eastAsia="TimesNewRoman"/>
          <w:sz w:val="24"/>
          <w:szCs w:val="24"/>
          <w:lang w:val="en-US" w:eastAsia="ja-JP"/>
        </w:rPr>
      </w:pPr>
      <w:r>
        <w:rPr>
          <w:rFonts w:eastAsia="TimesNewRoman"/>
          <w:sz w:val="24"/>
          <w:szCs w:val="24"/>
          <w:lang w:val="en-US" w:eastAsia="ja-JP"/>
        </w:rPr>
        <w:t>Original</w:t>
      </w:r>
    </w:p>
    <w:p w14:paraId="7A7629F6" w14:textId="4CC7A6B3" w:rsidR="00231A79" w:rsidRDefault="00231A79" w:rsidP="00231A79">
      <w:pPr>
        <w:autoSpaceDE w:val="0"/>
        <w:autoSpaceDN w:val="0"/>
        <w:adjustRightInd w:val="0"/>
        <w:rPr>
          <w:rFonts w:eastAsia="TimesNewRoman"/>
          <w:sz w:val="24"/>
          <w:szCs w:val="24"/>
          <w:lang w:val="en-US" w:eastAsia="ja-JP"/>
        </w:rPr>
      </w:pPr>
      <w:r w:rsidRPr="00231A79">
        <w:rPr>
          <w:rFonts w:eastAsia="TimesNewRoman"/>
          <w:sz w:val="24"/>
          <w:szCs w:val="24"/>
          <w:lang w:val="en-US" w:eastAsia="ja-JP"/>
        </w:rPr>
        <w:t>A non-AP STA that is associating with any AP in an ESS or that is using PASN with any AP in an ESS, when</w:t>
      </w:r>
      <w:r>
        <w:rPr>
          <w:rFonts w:eastAsia="TimesNewRoman"/>
          <w:sz w:val="24"/>
          <w:szCs w:val="24"/>
          <w:lang w:val="en-US" w:eastAsia="ja-JP"/>
        </w:rPr>
        <w:t xml:space="preserve"> </w:t>
      </w:r>
      <w:r w:rsidRPr="00231A79">
        <w:rPr>
          <w:rFonts w:eastAsia="TimesNewRoman"/>
          <w:sz w:val="24"/>
          <w:szCs w:val="24"/>
          <w:lang w:val="en-US" w:eastAsia="ja-JP"/>
        </w:rPr>
        <w:t>Device ID is active for both the non-AP STA and the AP and the non-AP STA has not previously associated or</w:t>
      </w:r>
      <w:r>
        <w:rPr>
          <w:rFonts w:eastAsia="TimesNewRoman"/>
          <w:sz w:val="24"/>
          <w:szCs w:val="24"/>
          <w:lang w:val="en-US" w:eastAsia="ja-JP"/>
        </w:rPr>
        <w:t xml:space="preserve"> </w:t>
      </w:r>
      <w:r w:rsidRPr="00231A79">
        <w:rPr>
          <w:rFonts w:eastAsia="TimesNewRoman"/>
          <w:sz w:val="24"/>
          <w:szCs w:val="24"/>
          <w:lang w:val="en-US" w:eastAsia="ja-JP"/>
        </w:rPr>
        <w:t xml:space="preserve">using PASN with any AP in the ESS, shall not send a device ID in the non-AP STA Identity </w:t>
      </w:r>
      <w:proofErr w:type="gramStart"/>
      <w:r w:rsidRPr="00231A79">
        <w:rPr>
          <w:rFonts w:eastAsia="TimesNewRoman"/>
          <w:sz w:val="24"/>
          <w:szCs w:val="24"/>
          <w:lang w:val="en-US" w:eastAsia="ja-JP"/>
        </w:rPr>
        <w:t>frame</w:t>
      </w:r>
      <w:proofErr w:type="gramEnd"/>
    </w:p>
    <w:p w14:paraId="33E3CB36" w14:textId="77777777" w:rsidR="00231A79" w:rsidRDefault="00231A79" w:rsidP="00231A79">
      <w:pPr>
        <w:autoSpaceDE w:val="0"/>
        <w:autoSpaceDN w:val="0"/>
        <w:adjustRightInd w:val="0"/>
        <w:rPr>
          <w:rFonts w:eastAsia="TimesNewRoman"/>
          <w:sz w:val="24"/>
          <w:szCs w:val="24"/>
          <w:lang w:val="en-US" w:eastAsia="ja-JP"/>
        </w:rPr>
      </w:pPr>
    </w:p>
    <w:p w14:paraId="489660EE" w14:textId="771A7356" w:rsidR="00231A79" w:rsidRDefault="00231A79" w:rsidP="00231A79">
      <w:pPr>
        <w:autoSpaceDE w:val="0"/>
        <w:autoSpaceDN w:val="0"/>
        <w:adjustRightInd w:val="0"/>
        <w:rPr>
          <w:rFonts w:eastAsia="TimesNewRoman"/>
          <w:sz w:val="24"/>
          <w:szCs w:val="24"/>
          <w:lang w:val="en-US" w:eastAsia="ja-JP"/>
        </w:rPr>
      </w:pPr>
      <w:r>
        <w:rPr>
          <w:rFonts w:eastAsia="TimesNewRoman"/>
          <w:sz w:val="24"/>
          <w:szCs w:val="24"/>
          <w:lang w:val="en-US" w:eastAsia="ja-JP"/>
        </w:rPr>
        <w:t>Proposed</w:t>
      </w:r>
    </w:p>
    <w:p w14:paraId="69A7334D" w14:textId="76F1999B" w:rsidR="00231A79" w:rsidRPr="00231A79" w:rsidRDefault="00231A79" w:rsidP="00231A79">
      <w:pPr>
        <w:autoSpaceDE w:val="0"/>
        <w:autoSpaceDN w:val="0"/>
        <w:adjustRightInd w:val="0"/>
        <w:rPr>
          <w:rFonts w:eastAsia="TimesNewRoman"/>
          <w:sz w:val="52"/>
          <w:szCs w:val="52"/>
          <w:lang w:val="en-US" w:eastAsia="ja-JP"/>
        </w:rPr>
      </w:pPr>
      <w:r w:rsidRPr="00231A79">
        <w:rPr>
          <w:color w:val="000000"/>
          <w:sz w:val="24"/>
          <w:szCs w:val="24"/>
        </w:rPr>
        <w:t xml:space="preserve">A non-AP STA that is associating with any AP in an ESS or that is using PASN with any AP in an ESS, when Device ID is active for both the non-AP STA and the AP and the non-AP STA has not previously </w:t>
      </w:r>
      <w:r w:rsidRPr="00231A79">
        <w:rPr>
          <w:color w:val="000000"/>
          <w:sz w:val="24"/>
          <w:szCs w:val="24"/>
        </w:rPr>
        <w:lastRenderedPageBreak/>
        <w:t xml:space="preserve">associated </w:t>
      </w:r>
      <w:r w:rsidRPr="00231A79">
        <w:rPr>
          <w:sz w:val="24"/>
          <w:szCs w:val="24"/>
        </w:rPr>
        <w:t>or</w:t>
      </w:r>
      <w:r w:rsidRPr="00231A79">
        <w:rPr>
          <w:color w:val="FF0000"/>
          <w:sz w:val="24"/>
          <w:szCs w:val="24"/>
        </w:rPr>
        <w:t xml:space="preserve"> </w:t>
      </w:r>
      <w:r w:rsidRPr="00231A79">
        <w:rPr>
          <w:strike/>
          <w:color w:val="FF0000"/>
          <w:sz w:val="24"/>
          <w:szCs w:val="24"/>
        </w:rPr>
        <w:t>using</w:t>
      </w:r>
      <w:r>
        <w:rPr>
          <w:color w:val="FF0000"/>
          <w:sz w:val="24"/>
          <w:szCs w:val="24"/>
        </w:rPr>
        <w:t xml:space="preserve"> </w:t>
      </w:r>
      <w:r w:rsidRPr="00231A79">
        <w:rPr>
          <w:color w:val="FF0000"/>
          <w:sz w:val="24"/>
          <w:szCs w:val="24"/>
        </w:rPr>
        <w:t xml:space="preserve">used </w:t>
      </w:r>
      <w:r w:rsidRPr="00231A79">
        <w:rPr>
          <w:color w:val="000000" w:themeColor="text1"/>
          <w:sz w:val="24"/>
          <w:szCs w:val="24"/>
        </w:rPr>
        <w:t>PASN</w:t>
      </w:r>
      <w:r w:rsidRPr="00231A79">
        <w:rPr>
          <w:color w:val="FF0000"/>
          <w:sz w:val="24"/>
          <w:szCs w:val="24"/>
        </w:rPr>
        <w:t xml:space="preserve"> </w:t>
      </w:r>
      <w:r w:rsidRPr="00231A79">
        <w:rPr>
          <w:color w:val="000000"/>
          <w:sz w:val="24"/>
          <w:szCs w:val="24"/>
        </w:rPr>
        <w:t>with any AP in the ESS, shall not send a device ID in the non-AP STA Identity frame."</w:t>
      </w:r>
    </w:p>
    <w:sectPr w:rsidR="00231A79" w:rsidRPr="00231A79"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7E41" w14:textId="77777777" w:rsidR="007E73CB" w:rsidRDefault="007E73CB">
      <w:r>
        <w:separator/>
      </w:r>
    </w:p>
  </w:endnote>
  <w:endnote w:type="continuationSeparator" w:id="0">
    <w:p w14:paraId="420339DB" w14:textId="77777777" w:rsidR="007E73CB" w:rsidRDefault="007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AC2C" w14:textId="77777777" w:rsidR="007E73CB" w:rsidRDefault="007E73CB">
      <w:r>
        <w:separator/>
      </w:r>
    </w:p>
  </w:footnote>
  <w:footnote w:type="continuationSeparator" w:id="0">
    <w:p w14:paraId="25E85770" w14:textId="77777777" w:rsidR="007E73CB" w:rsidRDefault="007E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30F852C5" w:rsidR="00E42D33" w:rsidRDefault="003A4B36" w:rsidP="00E06DE9">
    <w:pPr>
      <w:pStyle w:val="Header"/>
      <w:tabs>
        <w:tab w:val="clear" w:pos="6480"/>
        <w:tab w:val="center" w:pos="4680"/>
        <w:tab w:val="right" w:pos="9360"/>
      </w:tabs>
    </w:pPr>
    <w:r>
      <w:t xml:space="preserve">August </w:t>
    </w:r>
    <w:r w:rsidR="001305FE">
      <w:t>2023</w:t>
    </w:r>
    <w:r w:rsidR="00E42D33">
      <w:tab/>
    </w:r>
    <w:r w:rsidR="00E42D33">
      <w:tab/>
      <w:t xml:space="preserve">   </w:t>
    </w:r>
    <w:fldSimple w:instr=" TITLE  \* MERGEFORMAT ">
      <w:r w:rsidR="00E42D33">
        <w:t>doc.: IEEE 802.11-2</w:t>
      </w:r>
      <w:r w:rsidR="001305FE">
        <w:t>3</w:t>
      </w:r>
      <w:r w:rsidR="00E42D33">
        <w:t>/</w:t>
      </w:r>
    </w:fldSimple>
    <w:r w:rsidR="00316A39">
      <w:t>1373r</w:t>
    </w:r>
    <w:r w:rsidR="005A2C5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5</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2023-08-22T20:04:00Z</dcterms:created>
  <dcterms:modified xsi:type="dcterms:W3CDTF">2023-08-22T20:04:00Z</dcterms:modified>
</cp:coreProperties>
</file>