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annex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2023-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7</w:t>
            </w:r>
            <w:r>
              <w:rPr>
                <w:b w:val="0"/>
                <w:sz w:val="22"/>
                <w:szCs w:val="22"/>
                <w:lang w:eastAsia="ko-KR"/>
              </w:rPr>
              <w:t>-1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/>
    <w:p/>
    <w:p>
      <w:pPr>
        <w:autoSpaceDE w:val="0"/>
        <w:autoSpaceDN w:val="0"/>
        <w:adjustRightInd w:val="0"/>
        <w:ind w:firstLine="0"/>
        <w:jc w:val="left"/>
        <w:rPr>
          <w:rFonts w:hint="default" w:ascii="Arial,Bold" w:eastAsia="Arial,Bold" w:cs="Arial,Bold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ascii="Arial,Bold" w:eastAsia="Arial,Bold" w:cs="Arial,Bold"/>
          <w:b/>
          <w:bCs/>
          <w:kern w:val="0"/>
          <w:sz w:val="18"/>
          <w:szCs w:val="18"/>
          <w:lang w:val="en-US" w:eastAsia="zh-CN"/>
        </w:rPr>
        <w:t>110,152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10709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838"/>
        <w:gridCol w:w="2080"/>
        <w:gridCol w:w="4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The PICS shows both Device ID &amp; IRM to be both CFCMA:O. My</w:t>
            </w:r>
          </w:p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interpretation is that both protocol capabilities are optional.</w:t>
            </w:r>
          </w:p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Perhaps this was not intentional.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7"/>
              </w:tabs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Clarify or fix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ejected--</w:t>
            </w:r>
          </w:p>
          <w:p>
            <w:pPr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Clarification: Both Device ID  and IRM are optional according to the group feedback.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Referring to PC34 in the Status for IUT configuration item is not appropriate.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Remove "PC34 AND" from the Status for CFCMA.</w:t>
            </w:r>
          </w:p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Add a new row for PC34 to the table under B.4.4.1 and add Status "CFCMA:M" in the added row.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Rejected--</w:t>
            </w:r>
            <w:bookmarkStart w:id="0" w:name="_GoBack"/>
            <w:bookmarkEnd w:id="0"/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 xml:space="preserve">PC34:O in the IUT configuration followings the writing style in 11az specification(in B.4.3 IUT configuration </w:t>
            </w:r>
            <w:r>
              <w:rPr>
                <w:rFonts w:hint="default" w:ascii="TimesNewRomanPSMT" w:hAnsi="TimesNewRomanPSMT" w:eastAsia="TimesNewRomanPSMT"/>
                <w:sz w:val="18"/>
                <w:szCs w:val="24"/>
              </w:rPr>
              <w:t>CFPASN Support for PASN 12.13 PC34:O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), no further change on this part.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"/>
          <w:szCs w:val="2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 xml:space="preserve">July 10, 2023                                                                                                                     doc.: IEEE 802.11-23/1250r0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C61583"/>
    <w:rsid w:val="00CA2FD1"/>
    <w:rsid w:val="00CC329D"/>
    <w:rsid w:val="00DC0E3D"/>
    <w:rsid w:val="00FC53A0"/>
    <w:rsid w:val="00FE729E"/>
    <w:rsid w:val="048A7963"/>
    <w:rsid w:val="0F8A3CB9"/>
    <w:rsid w:val="18A64C67"/>
    <w:rsid w:val="4B6B7048"/>
    <w:rsid w:val="59203F46"/>
    <w:rsid w:val="63C8296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</w:rPr>
  </w:style>
  <w:style w:type="paragraph" w:styleId="8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9">
    <w:name w:val="toc 3"/>
    <w:basedOn w:val="1"/>
    <w:next w:val="1"/>
    <w:unhideWhenUsed/>
    <w:uiPriority w:val="39"/>
    <w:pPr>
      <w:ind w:left="840" w:leftChars="4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5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annotation subject"/>
    <w:basedOn w:val="8"/>
    <w:next w:val="8"/>
    <w:link w:val="2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basedOn w:val="19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19"/>
    <w:semiHidden/>
    <w:unhideWhenUsed/>
    <w:qFormat/>
    <w:uiPriority w:val="99"/>
    <w:rPr>
      <w:sz w:val="16"/>
      <w:szCs w:val="16"/>
    </w:rPr>
  </w:style>
  <w:style w:type="character" w:customStyle="1" w:styleId="25">
    <w:name w:val="Balloon Text Char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19"/>
    <w:link w:val="11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19"/>
    <w:link w:val="8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6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19"/>
    <w:link w:val="12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19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5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19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19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5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46</TotalTime>
  <ScaleCrop>false</ScaleCrop>
  <LinksUpToDate>false</LinksUpToDate>
  <CharactersWithSpaces>6445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2023-07-11T09:22:51Z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2052-11.8.2.12018</vt:lpwstr>
  </property>
  <property fmtid="{D5CDD505-2E9C-101B-9397-08002B2CF9AE}" pid="3" name="ICV">
    <vt:lpwstr>40F1485995C14D3B9A18B44AD4614090</vt:lpwstr>
  </property>
</Properties>
</file>