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51FFA758"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733005">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0A6B8834"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,64,65,66,67,68,69,81,</w:t>
                            </w:r>
                            <w:r w:rsidR="008D20D6" w:rsidRPr="008D20D6">
                              <w:rPr>
                                <w:b w:val="0"/>
                                <w:sz w:val="24"/>
                                <w:highlight w:val="green"/>
                              </w:rPr>
                              <w:t>102</w:t>
                            </w:r>
                          </w:p>
                          <w:p w14:paraId="720747DD" w14:textId="20DF1250" w:rsidR="001B0D37" w:rsidRDefault="001B0D37" w:rsidP="00480D8B">
                            <w:pPr>
                              <w:pStyle w:val="T1"/>
                              <w:spacing w:after="120"/>
                              <w:jc w:val="left"/>
                              <w:rPr>
                                <w:b w:val="0"/>
                                <w:sz w:val="24"/>
                              </w:rPr>
                            </w:pPr>
                            <w:r w:rsidRPr="00585C01">
                              <w:rPr>
                                <w:b w:val="0"/>
                                <w:strike/>
                                <w:sz w:val="24"/>
                              </w:rPr>
                              <w:t>114</w:t>
                            </w:r>
                            <w:r>
                              <w:rPr>
                                <w:b w:val="0"/>
                                <w:sz w:val="24"/>
                              </w:rPr>
                              <w:t>,128,135,137,140,148,</w:t>
                            </w:r>
                            <w:r w:rsidRPr="008D20D6">
                              <w:rPr>
                                <w:b w:val="0"/>
                                <w:sz w:val="24"/>
                                <w:highlight w:val="green"/>
                              </w:rPr>
                              <w:t>149</w:t>
                            </w:r>
                            <w:r w:rsidR="00B53335">
                              <w:rPr>
                                <w:b w:val="0"/>
                                <w:sz w:val="24"/>
                              </w:rPr>
                              <w:t>,</w:t>
                            </w:r>
                            <w:r w:rsidR="008D20D6">
                              <w:rPr>
                                <w:b w:val="0"/>
                                <w:sz w:val="24"/>
                              </w:rPr>
                              <w:t>155,</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r>
                              <w:rPr>
                                <w:b w:val="0"/>
                                <w:sz w:val="24"/>
                              </w:rPr>
                              <w:t>REV 6</w:t>
                            </w:r>
                            <w:r w:rsidR="003B27FF">
                              <w:rPr>
                                <w:b w:val="0"/>
                                <w:sz w:val="24"/>
                              </w:rPr>
                              <w:t>,</w:t>
                            </w:r>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r>
                              <w:rPr>
                                <w:b w:val="0"/>
                                <w:sz w:val="24"/>
                              </w:rPr>
                              <w:t>REV 7</w:t>
                            </w:r>
                            <w:r w:rsidR="003B27FF">
                              <w:rPr>
                                <w:b w:val="0"/>
                                <w:sz w:val="24"/>
                              </w:rPr>
                              <w:t>,</w:t>
                            </w:r>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r>
                              <w:rPr>
                                <w:b w:val="0"/>
                                <w:sz w:val="24"/>
                              </w:rPr>
                              <w:t>REV 8</w:t>
                            </w:r>
                            <w:r w:rsidR="003B27FF">
                              <w:rPr>
                                <w:b w:val="0"/>
                                <w:sz w:val="24"/>
                              </w:rPr>
                              <w:t>,</w:t>
                            </w:r>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telecon</w:t>
                            </w:r>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IRM”</w:t>
                            </w:r>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0A6B8834"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,64,65,66,67,68,69,81,</w:t>
                      </w:r>
                      <w:r w:rsidR="008D20D6" w:rsidRPr="008D20D6">
                        <w:rPr>
                          <w:b w:val="0"/>
                          <w:sz w:val="24"/>
                          <w:highlight w:val="green"/>
                        </w:rPr>
                        <w:t>102</w:t>
                      </w:r>
                    </w:p>
                    <w:p w14:paraId="720747DD" w14:textId="20DF1250" w:rsidR="001B0D37" w:rsidRDefault="001B0D37" w:rsidP="00480D8B">
                      <w:pPr>
                        <w:pStyle w:val="T1"/>
                        <w:spacing w:after="120"/>
                        <w:jc w:val="left"/>
                        <w:rPr>
                          <w:b w:val="0"/>
                          <w:sz w:val="24"/>
                        </w:rPr>
                      </w:pPr>
                      <w:r w:rsidRPr="00585C01">
                        <w:rPr>
                          <w:b w:val="0"/>
                          <w:strike/>
                          <w:sz w:val="24"/>
                        </w:rPr>
                        <w:t>114</w:t>
                      </w:r>
                      <w:r>
                        <w:rPr>
                          <w:b w:val="0"/>
                          <w:sz w:val="24"/>
                        </w:rPr>
                        <w:t>,128,135,137,140,148,</w:t>
                      </w:r>
                      <w:r w:rsidRPr="008D20D6">
                        <w:rPr>
                          <w:b w:val="0"/>
                          <w:sz w:val="24"/>
                          <w:highlight w:val="green"/>
                        </w:rPr>
                        <w:t>149</w:t>
                      </w:r>
                      <w:r w:rsidR="00B53335">
                        <w:rPr>
                          <w:b w:val="0"/>
                          <w:sz w:val="24"/>
                        </w:rPr>
                        <w:t>,</w:t>
                      </w:r>
                      <w:r w:rsidR="008D20D6">
                        <w:rPr>
                          <w:b w:val="0"/>
                          <w:sz w:val="24"/>
                        </w:rPr>
                        <w:t>155,</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r>
                        <w:rPr>
                          <w:b w:val="0"/>
                          <w:sz w:val="24"/>
                        </w:rPr>
                        <w:t>REV 6</w:t>
                      </w:r>
                      <w:r w:rsidR="003B27FF">
                        <w:rPr>
                          <w:b w:val="0"/>
                          <w:sz w:val="24"/>
                        </w:rPr>
                        <w:t>,</w:t>
                      </w:r>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r>
                        <w:rPr>
                          <w:b w:val="0"/>
                          <w:sz w:val="24"/>
                        </w:rPr>
                        <w:t>REV 7</w:t>
                      </w:r>
                      <w:r w:rsidR="003B27FF">
                        <w:rPr>
                          <w:b w:val="0"/>
                          <w:sz w:val="24"/>
                        </w:rPr>
                        <w:t>,</w:t>
                      </w:r>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r>
                        <w:rPr>
                          <w:b w:val="0"/>
                          <w:sz w:val="24"/>
                        </w:rPr>
                        <w:t>REV 8</w:t>
                      </w:r>
                      <w:r w:rsidR="003B27FF">
                        <w:rPr>
                          <w:b w:val="0"/>
                          <w:sz w:val="24"/>
                        </w:rPr>
                        <w:t>,</w:t>
                      </w:r>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telecon</w:t>
                      </w:r>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IRM”</w:t>
                      </w:r>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77F48">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Change" IRM element is set to 1" to  "IRM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3.0 ,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377F48">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Incorporate the changes marked as CIDs 2,3,4,5,149,197 in this document</w:t>
            </w:r>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377F48">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Incorporate the changes marked as CIDs 2,3,4,5,149,197 in this document</w:t>
            </w:r>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77F48">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77F48">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77F48">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w:t>
            </w:r>
            <w:r>
              <w:rPr>
                <w:rFonts w:ascii="Calibri" w:hAnsi="Calibri" w:cs="Calibri"/>
                <w:sz w:val="22"/>
                <w:szCs w:val="22"/>
              </w:rPr>
              <w:lastRenderedPageBreak/>
              <w:t>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Incorporate the changes marked as CIDs 2,3,4,5,149,197 in this document</w:t>
            </w:r>
          </w:p>
          <w:p w14:paraId="1C985413" w14:textId="1ADE1E8B" w:rsidR="00C23A84" w:rsidRDefault="00C23A84" w:rsidP="00680B36">
            <w:pPr>
              <w:rPr>
                <w:rFonts w:ascii="Calibri" w:hAnsi="Calibri" w:cs="Calibri"/>
                <w:color w:val="000000"/>
                <w:szCs w:val="22"/>
              </w:rPr>
            </w:pPr>
            <w:r>
              <w:rPr>
                <w:rFonts w:eastAsia="Times New Roman"/>
              </w:rPr>
              <w:lastRenderedPageBreak/>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77F48">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Suggest to modify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77F48">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Incorporate the changes marked as CIDs 6,37,207 in this document</w:t>
            </w:r>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77F48">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In order to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Incorporate the changes marked as CIDs 6,37,207 in this document</w:t>
            </w:r>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377F48">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77F48">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address",suppose</w:t>
            </w:r>
            <w:proofErr w:type="spell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30.21, 32.47, 32.48, 32.49, 32.54, 32.57, 32.62, 32.63, 33.1, 33.11, 33.13, 33.21, 33.26, 33.31, 33.36, 33.37</w:t>
            </w:r>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lastRenderedPageBreak/>
              <w:t>See also CIDS 25, 51, 168, 169, 193</w:t>
            </w:r>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77F48">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the comments, in line 47,line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33.4  replace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77F48">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t>Do not think there is any need to add “IRM operation” or such.  No reference is provided where there may be a problem</w:t>
            </w:r>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33.4  replace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77F48">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33.4  replace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77F48">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to "When using an IRM..."  Similarly at line 24 ... </w:t>
            </w:r>
            <w:r>
              <w:rPr>
                <w:rFonts w:ascii="Calibri" w:hAnsi="Calibri" w:cs="Calibri"/>
                <w:sz w:val="22"/>
                <w:szCs w:val="22"/>
              </w:rPr>
              <w:lastRenderedPageBreak/>
              <w:t>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lastRenderedPageBreak/>
              <w:t>Wrong reference.  Think it is 30.19</w:t>
            </w:r>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lastRenderedPageBreak/>
              <w:t>Commenter wants to say</w:t>
            </w:r>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77F48">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give some clarification on how the two schemes used together, e.g. How the AP identify the STA when the frame sent by STA carries two identifiers.</w:t>
            </w:r>
          </w:p>
        </w:tc>
        <w:tc>
          <w:tcPr>
            <w:tcW w:w="2902"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 xml:space="preserve">(see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77F48">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possibility to use IRM and Device ID at the same time, or specify all the details related to simultaneous use of these protocols.</w:t>
            </w:r>
          </w:p>
        </w:tc>
        <w:tc>
          <w:tcPr>
            <w:tcW w:w="2902"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165353F9"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77F48">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applies to all the document. Need to clarify what happens when there is a collision</w:t>
            </w:r>
          </w:p>
        </w:tc>
        <w:tc>
          <w:tcPr>
            <w:tcW w:w="2902"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237A855C" w14:textId="15C92EC2"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t>Incorporate the changes marked as CIDs 135,224,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6A2961" w14:paraId="20DD8A54" w14:textId="77777777" w:rsidTr="00377F48">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w:t>
            </w:r>
            <w:r>
              <w:rPr>
                <w:rFonts w:ascii="Calibri" w:hAnsi="Calibri" w:cs="Calibri"/>
                <w:sz w:val="22"/>
                <w:szCs w:val="22"/>
              </w:rPr>
              <w:lastRenderedPageBreak/>
              <w:t>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w:t>
            </w:r>
            <w:r w:rsidRPr="00824E0B">
              <w:lastRenderedPageBreak/>
              <w:t>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77F48">
        <w:tc>
          <w:tcPr>
            <w:tcW w:w="620"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158"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w:t>
            </w:r>
            <w:r w:rsidRPr="00824E0B">
              <w:lastRenderedPageBreak/>
              <w:t>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77F48">
        <w:tc>
          <w:tcPr>
            <w:tcW w:w="620"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158"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when it associates with an AP or when it performs PASN authentication,  may communicate to the AP the value of a new IRM MAC address.</w:t>
            </w:r>
          </w:p>
        </w:tc>
        <w:tc>
          <w:tcPr>
            <w:tcW w:w="2902"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w:t>
            </w:r>
            <w:r w:rsidRPr="00824E0B">
              <w:lastRenderedPageBreak/>
              <w:t>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77F48">
        <w:tc>
          <w:tcPr>
            <w:tcW w:w="620"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158"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77F48">
        <w:tc>
          <w:tcPr>
            <w:tcW w:w="620"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a new IRM to the AP</w:t>
            </w:r>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77F48">
        <w:tc>
          <w:tcPr>
            <w:tcW w:w="620"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77F48">
        <w:tc>
          <w:tcPr>
            <w:tcW w:w="620"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60</w:t>
            </w:r>
          </w:p>
        </w:tc>
        <w:tc>
          <w:tcPr>
            <w:tcW w:w="1158"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77F48">
        <w:tc>
          <w:tcPr>
            <w:tcW w:w="620"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33.29  “a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77F48">
        <w:tc>
          <w:tcPr>
            <w:tcW w:w="620"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an IRM to an AP/ESS, may use that address</w:t>
            </w:r>
            <w:r>
              <w:rPr>
                <w:rFonts w:eastAsia="TimesNewRoman"/>
                <w:sz w:val="24"/>
                <w:szCs w:val="24"/>
                <w:lang w:val="en-US" w:eastAsia="ja-JP"/>
              </w:rPr>
              <w:t>”</w:t>
            </w:r>
          </w:p>
          <w:p w14:paraId="5F6A066A" w14:textId="540568AD" w:rsidR="009143EA" w:rsidRDefault="009143EA" w:rsidP="009143EA">
            <w:pPr>
              <w:rPr>
                <w:rFonts w:ascii="Calibri" w:hAnsi="Calibri" w:cs="Calibri"/>
                <w:color w:val="000000"/>
                <w:szCs w:val="22"/>
              </w:rPr>
            </w:pPr>
          </w:p>
        </w:tc>
      </w:tr>
      <w:tr w:rsidR="009143EA" w14:paraId="11D5CDE0" w14:textId="77777777" w:rsidTr="00377F48">
        <w:tc>
          <w:tcPr>
            <w:tcW w:w="620"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694F6F">
        <w:tc>
          <w:tcPr>
            <w:tcW w:w="620"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"exchange a device ID" -- is the ID really "exchanged"?</w:t>
            </w:r>
          </w:p>
        </w:tc>
        <w:tc>
          <w:tcPr>
            <w:tcW w:w="222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1ABFC472" w14:textId="77777777" w:rsidR="008E4F5A" w:rsidRDefault="008E4F5A" w:rsidP="00694F6F">
            <w:pPr>
              <w:rPr>
                <w:rFonts w:ascii="Calibri" w:hAnsi="Calibri" w:cs="Calibri"/>
                <w:color w:val="000000"/>
                <w:szCs w:val="22"/>
              </w:rPr>
            </w:pPr>
            <w:r>
              <w:rPr>
                <w:rFonts w:ascii="Calibri" w:hAnsi="Calibri" w:cs="Calibri"/>
                <w:color w:val="000000"/>
                <w:szCs w:val="22"/>
              </w:rPr>
              <w:t>ACCEPT</w:t>
            </w:r>
          </w:p>
        </w:tc>
      </w:tr>
      <w:tr w:rsidR="00377F48" w14:paraId="61575801" w14:textId="77777777" w:rsidTr="00377F48">
        <w:tc>
          <w:tcPr>
            <w:tcW w:w="620"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158"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57"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To make the mechanism useful, it is better to recommended that the MAC address be used in the next association, rather than making it optional. If there is a compelling reason not to </w:t>
            </w:r>
            <w:r>
              <w:rPr>
                <w:rFonts w:ascii="Calibri" w:hAnsi="Calibri" w:cs="Calibri"/>
                <w:sz w:val="22"/>
                <w:szCs w:val="22"/>
              </w:rPr>
              <w:lastRenderedPageBreak/>
              <w:t>do so, then the non-AP STA can still use a different address. But the expectation needs to be that you send the future address and then use it.</w:t>
            </w:r>
          </w:p>
        </w:tc>
        <w:tc>
          <w:tcPr>
            <w:tcW w:w="222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"may" -&gt; "should"</w:t>
            </w:r>
          </w:p>
        </w:tc>
        <w:tc>
          <w:tcPr>
            <w:tcW w:w="2902"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Probably agree.  The only point was that a STA may, for some reason, choose to associate not using the previous supplied IRM. 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77F48">
        <w:tc>
          <w:tcPr>
            <w:tcW w:w="620"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NOTE 1—Allocating a new IRM MAC during each association or PASN 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377F48">
        <w:tc>
          <w:tcPr>
            <w:tcW w:w="620"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158"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77F48">
        <w:tc>
          <w:tcPr>
            <w:tcW w:w="620"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FC33A12" w14:textId="77777777" w:rsidTr="00377F48">
        <w:tc>
          <w:tcPr>
            <w:tcW w:w="620"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frame and the AP indicates support for the IRM mechanism in the corresponding (Re-)Association Response frame, then the AP shall include </w:t>
            </w:r>
            <w:r>
              <w:rPr>
                <w:rFonts w:ascii="Calibri" w:hAnsi="Calibri" w:cs="Calibri"/>
                <w:sz w:val="22"/>
                <w:szCs w:val="22"/>
              </w:rPr>
              <w:lastRenderedPageBreak/>
              <w:t>an IRM KDE in message 3 of the 4-way handshake, or, if using FILS authentication, in the Association Response frame.</w:t>
            </w:r>
          </w:p>
        </w:tc>
        <w:tc>
          <w:tcPr>
            <w:tcW w:w="2902" w:type="dxa"/>
          </w:tcPr>
          <w:p w14:paraId="7B27C29A" w14:textId="77777777" w:rsidR="009143EA" w:rsidRDefault="009143EA" w:rsidP="009143EA">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lastRenderedPageBreak/>
              <w:t>Presently</w:t>
            </w:r>
            <w:r>
              <w:rPr>
                <w:rFonts w:ascii="TimesNewRoman" w:eastAsia="TimesNewRoman" w:cs="TimesNewRoman"/>
                <w:sz w:val="20"/>
                <w:lang w:val="en-US" w:eastAsia="ja-JP"/>
              </w:rPr>
              <w:t xml:space="preserve"> </w:t>
            </w:r>
          </w:p>
          <w:p w14:paraId="3E66CF83" w14:textId="0757CF7D" w:rsidR="009143EA" w:rsidRPr="005654B0" w:rsidRDefault="009143EA" w:rsidP="009143EA">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190502AE" w14:textId="3AC9C9B6" w:rsidR="009143EA" w:rsidRPr="005654B0" w:rsidRDefault="009143EA" w:rsidP="009143EA">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10EF7BC2" w14:textId="77777777" w:rsidR="009143EA" w:rsidRDefault="009143EA" w:rsidP="009143EA">
            <w:pPr>
              <w:rPr>
                <w:rFonts w:ascii="TimesNewRoman" w:eastAsia="TimesNewRoman" w:cs="TimesNewRoman"/>
                <w:lang w:val="en-US"/>
              </w:rPr>
            </w:pPr>
          </w:p>
          <w:p w14:paraId="54DA590C" w14:textId="77777777" w:rsidR="009143EA" w:rsidRDefault="009143EA" w:rsidP="009143EA">
            <w:pPr>
              <w:rPr>
                <w:rFonts w:ascii="TimesNewRoman" w:eastAsia="TimesNewRoman" w:cs="TimesNewRoman"/>
                <w:lang w:val="en-US"/>
              </w:rPr>
            </w:pPr>
          </w:p>
          <w:p w14:paraId="6FE078F3" w14:textId="77777777" w:rsidR="009143EA" w:rsidRPr="005901B3" w:rsidRDefault="009143EA" w:rsidP="009143EA">
            <w:pPr>
              <w:rPr>
                <w:rFonts w:eastAsia="TimesNewRoman"/>
                <w:lang w:val="en-US"/>
              </w:rPr>
            </w:pPr>
            <w:r w:rsidRPr="005901B3">
              <w:rPr>
                <w:rFonts w:eastAsia="TimesNewRoman"/>
                <w:lang w:val="en-US"/>
              </w:rPr>
              <w:t>REJECT</w:t>
            </w:r>
          </w:p>
          <w:p w14:paraId="50F7068D" w14:textId="508E57EB" w:rsidR="009143EA" w:rsidRDefault="009143EA" w:rsidP="009143EA">
            <w:pPr>
              <w:rPr>
                <w:rFonts w:ascii="Calibri" w:hAnsi="Calibri" w:cs="Calibri"/>
                <w:color w:val="000000"/>
                <w:szCs w:val="22"/>
              </w:rPr>
            </w:pPr>
            <w:r>
              <w:rPr>
                <w:rFonts w:ascii="Calibri" w:hAnsi="Calibri" w:cs="Calibri"/>
                <w:color w:val="000000"/>
                <w:szCs w:val="22"/>
              </w:rPr>
              <w:t xml:space="preserve">Not convinced the suggested text is better.  Main difference is that proposed text expands the ‘advertising/indicating </w:t>
            </w:r>
            <w:proofErr w:type="spellStart"/>
            <w:r>
              <w:rPr>
                <w:rFonts w:ascii="Calibri" w:hAnsi="Calibri" w:cs="Calibri"/>
                <w:color w:val="000000"/>
                <w:szCs w:val="22"/>
              </w:rPr>
              <w:t>support’</w:t>
            </w:r>
            <w:proofErr w:type="spellEnd"/>
            <w:r>
              <w:rPr>
                <w:rFonts w:ascii="Calibri" w:hAnsi="Calibri" w:cs="Calibri"/>
                <w:color w:val="000000"/>
                <w:szCs w:val="22"/>
              </w:rPr>
              <w:t xml:space="preserve"> but this is detailed in text later.</w:t>
            </w:r>
          </w:p>
        </w:tc>
      </w:tr>
      <w:tr w:rsidR="009143EA" w14:paraId="5982E9A6" w14:textId="77777777" w:rsidTr="00377F48">
        <w:tc>
          <w:tcPr>
            <w:tcW w:w="620"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and the AP/ESS should store that IRM MAC address as an identifier for that non-AP STA”</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Inclined to REJECT The idea is to make sure that the AP must remember the IRM list.  Is it obvious - maybe</w:t>
            </w:r>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NOTE?  But prefer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Pr>
                <w:rFonts w:ascii="Calibri" w:hAnsi="Calibri" w:cs="Calibri"/>
                <w:color w:val="000000"/>
                <w:szCs w:val="22"/>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77F48">
        <w:tc>
          <w:tcPr>
            <w:tcW w:w="620"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Pr>
                <w:rFonts w:eastAsia="TimesNewRoman"/>
                <w:szCs w:val="22"/>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77F48">
        <w:tc>
          <w:tcPr>
            <w:tcW w:w="620"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81</w:t>
            </w:r>
          </w:p>
        </w:tc>
        <w:tc>
          <w:tcPr>
            <w:tcW w:w="1158"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68EE57D" w14:textId="77777777" w:rsidTr="00377F48">
        <w:tc>
          <w:tcPr>
            <w:tcW w:w="620"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158"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9143EA" w:rsidRDefault="009143EA" w:rsidP="009143EA">
            <w:pPr>
              <w:rPr>
                <w:rFonts w:ascii="Calibri" w:hAnsi="Calibri" w:cs="Calibri"/>
                <w:color w:val="000000"/>
                <w:szCs w:val="22"/>
              </w:rPr>
            </w:pPr>
            <w:r>
              <w:rPr>
                <w:rFonts w:ascii="Calibri" w:hAnsi="Calibri" w:cs="Calibri"/>
                <w:color w:val="000000"/>
                <w:szCs w:val="22"/>
              </w:rPr>
              <w:t>ACCEPT (see also CID 81)</w:t>
            </w:r>
          </w:p>
        </w:tc>
      </w:tr>
      <w:tr w:rsidR="009143EA" w14:paraId="11E5D4A1" w14:textId="77777777" w:rsidTr="00377F48">
        <w:tc>
          <w:tcPr>
            <w:tcW w:w="620"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9721539" w14:textId="77777777" w:rsidTr="00377F48">
        <w:tc>
          <w:tcPr>
            <w:tcW w:w="620"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"When a non-AP STA that advertises support for IRM associates ..." to "When a non-AP STA that negotiates support for IRM, by setting the  IRM Active field to 1 in the Extended RSN Capabilities field, associates ..."</w:t>
            </w:r>
          </w:p>
        </w:tc>
        <w:tc>
          <w:tcPr>
            <w:tcW w:w="2902"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There is no negotiation taking place.  The  non-AP STA decides to make active or not.</w:t>
            </w:r>
          </w:p>
        </w:tc>
      </w:tr>
      <w:tr w:rsidR="009143EA" w14:paraId="554F6944" w14:textId="77777777" w:rsidTr="00377F48">
        <w:tc>
          <w:tcPr>
            <w:tcW w:w="620"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w:t>
            </w:r>
            <w:r>
              <w:rPr>
                <w:rFonts w:ascii="Calibri" w:hAnsi="Calibri" w:cs="Calibri"/>
                <w:sz w:val="22"/>
                <w:szCs w:val="22"/>
              </w:rPr>
              <w:lastRenderedPageBreak/>
              <w:t>reinforced by NOTE 3 (P33L35).</w:t>
            </w:r>
          </w:p>
        </w:tc>
        <w:tc>
          <w:tcPr>
            <w:tcW w:w="222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902"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r>
              <w:rPr>
                <w:rFonts w:ascii="Calibri" w:hAnsi="Calibri" w:cs="Calibri"/>
                <w:color w:val="000000"/>
                <w:szCs w:val="22"/>
              </w:rPr>
              <w:t>No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77F48">
        <w:tc>
          <w:tcPr>
            <w:tcW w:w="620"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77F48">
        <w:tc>
          <w:tcPr>
            <w:tcW w:w="620"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 ?</w:t>
            </w:r>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77F48">
        <w:tc>
          <w:tcPr>
            <w:tcW w:w="620"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(see edits at end of this document)</w:t>
            </w:r>
          </w:p>
        </w:tc>
      </w:tr>
      <w:tr w:rsidR="008E4F5A" w14:paraId="5A8B15FD" w14:textId="77777777" w:rsidTr="00377F48">
        <w:tc>
          <w:tcPr>
            <w:tcW w:w="620"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"exchange a device ID" -- is the ID really "exchanged"?</w:t>
            </w:r>
          </w:p>
        </w:tc>
        <w:tc>
          <w:tcPr>
            <w:tcW w:w="222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9143EA" w14:paraId="4181A650" w14:textId="77777777" w:rsidTr="00377F48">
        <w:tc>
          <w:tcPr>
            <w:tcW w:w="620"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field is a 48 bit MAC address" -- figure already shows it's 48 bits</w:t>
            </w:r>
          </w:p>
        </w:tc>
        <w:tc>
          <w:tcPr>
            <w:tcW w:w="222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Also at 34.49.  Also delete "48-bit" at 33.20.  </w:t>
            </w:r>
            <w:r>
              <w:rPr>
                <w:rFonts w:ascii="Calibri" w:hAnsi="Calibri" w:cs="Calibri"/>
                <w:sz w:val="22"/>
                <w:szCs w:val="22"/>
              </w:rPr>
              <w:lastRenderedPageBreak/>
              <w:t>Change a to an where necessary</w:t>
            </w:r>
          </w:p>
        </w:tc>
        <w:tc>
          <w:tcPr>
            <w:tcW w:w="2902"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lastRenderedPageBreak/>
              <w:t>ACCEPT</w:t>
            </w:r>
          </w:p>
        </w:tc>
      </w:tr>
      <w:tr w:rsidR="009143EA" w14:paraId="64953B45" w14:textId="77777777" w:rsidTr="00377F48">
        <w:tc>
          <w:tcPr>
            <w:tcW w:w="620"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"but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(see edits at end of this document)</w:t>
            </w:r>
            <w:r>
              <w:rPr>
                <w:rFonts w:ascii="Calibri" w:hAnsi="Calibri" w:cs="Calibri"/>
                <w:color w:val="000000"/>
                <w:szCs w:val="22"/>
              </w:rPr>
              <w:t xml:space="preserve">  </w:t>
            </w:r>
          </w:p>
        </w:tc>
      </w:tr>
      <w:tr w:rsidR="009143EA" w14:paraId="75979A85" w14:textId="77777777" w:rsidTr="00377F48">
        <w:tc>
          <w:tcPr>
            <w:tcW w:w="620"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word-smithing</w:t>
            </w:r>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(see edits at end of this document)</w:t>
            </w:r>
          </w:p>
        </w:tc>
      </w:tr>
      <w:tr w:rsidR="009143EA" w14:paraId="4D82BBCD" w14:textId="77777777" w:rsidTr="00377F48">
        <w:tc>
          <w:tcPr>
            <w:tcW w:w="620"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 xml:space="preserve">including an IRM element in the Association Response frame. " -- </w:t>
            </w:r>
            <w:r>
              <w:rPr>
                <w:rFonts w:ascii="Calibri" w:hAnsi="Calibri" w:cs="Calibri"/>
                <w:sz w:val="22"/>
                <w:szCs w:val="22"/>
              </w:rPr>
              <w:lastRenderedPageBreak/>
              <w:t>already stated a few lines above</w:t>
            </w:r>
          </w:p>
        </w:tc>
        <w:tc>
          <w:tcPr>
            <w:tcW w:w="222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902"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77F48">
        <w:tc>
          <w:tcPr>
            <w:tcW w:w="620"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"and the IRM field is reserved." already stated in C9</w:t>
            </w:r>
          </w:p>
        </w:tc>
        <w:tc>
          <w:tcPr>
            <w:tcW w:w="222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Also at line 14</w:t>
            </w:r>
          </w:p>
        </w:tc>
        <w:tc>
          <w:tcPr>
            <w:tcW w:w="2902"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77F48">
        <w:tc>
          <w:tcPr>
            <w:tcW w:w="620"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77F48">
        <w:tc>
          <w:tcPr>
            <w:tcW w:w="620"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3161E8D0"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  -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10C896AD" w14:textId="312CB33A" w:rsidR="00585C01" w:rsidRPr="00583AA4" w:rsidRDefault="00585C0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sidRPr="00583AA4">
        <w:rPr>
          <w:rFonts w:ascii="Calibri" w:hAnsi="Calibri" w:cs="Calibri"/>
          <w:i/>
          <w:iCs/>
          <w:sz w:val="22"/>
          <w:szCs w:val="22"/>
        </w:rPr>
        <w:t>Note</w:t>
      </w:r>
      <w:r>
        <w:rPr>
          <w:rFonts w:ascii="Calibri" w:hAnsi="Calibri" w:cs="Calibri"/>
          <w:i/>
          <w:iCs/>
          <w:sz w:val="22"/>
          <w:szCs w:val="22"/>
        </w:rPr>
        <w:t xml:space="preserve">: </w:t>
      </w:r>
      <w:r w:rsidRPr="00583AA4">
        <w:rPr>
          <w:rFonts w:ascii="Calibri" w:hAnsi="Calibri" w:cs="Calibri"/>
          <w:i/>
          <w:iCs/>
          <w:sz w:val="22"/>
          <w:szCs w:val="22"/>
        </w:rPr>
        <w:t xml:space="preserve">the STA must be using </w:t>
      </w:r>
      <w:r w:rsidR="00206E21">
        <w:rPr>
          <w:rFonts w:ascii="Calibri" w:hAnsi="Calibri" w:cs="Calibri"/>
          <w:i/>
          <w:iCs/>
          <w:sz w:val="22"/>
          <w:szCs w:val="22"/>
        </w:rPr>
        <w:t xml:space="preserve">both </w:t>
      </w:r>
      <w:r w:rsidRPr="00583AA4">
        <w:rPr>
          <w:rFonts w:ascii="Calibri" w:hAnsi="Calibri" w:cs="Calibri"/>
          <w:i/>
          <w:iCs/>
          <w:sz w:val="22"/>
          <w:szCs w:val="22"/>
        </w:rPr>
        <w:t xml:space="preserve">IRM </w:t>
      </w:r>
      <w:r>
        <w:rPr>
          <w:rFonts w:ascii="Calibri" w:hAnsi="Calibri" w:cs="Calibri"/>
          <w:i/>
          <w:iCs/>
          <w:sz w:val="22"/>
          <w:szCs w:val="22"/>
        </w:rPr>
        <w:t>and</w:t>
      </w:r>
      <w:r w:rsidRPr="00583AA4">
        <w:rPr>
          <w:rFonts w:ascii="Calibri" w:hAnsi="Calibri" w:cs="Calibri"/>
          <w:i/>
          <w:iCs/>
          <w:sz w:val="22"/>
          <w:szCs w:val="22"/>
        </w:rPr>
        <w:t xml:space="preserve"> Device ID</w:t>
      </w:r>
      <w:r w:rsidR="00206E21">
        <w:rPr>
          <w:rFonts w:ascii="Calibri" w:hAnsi="Calibri" w:cs="Calibri"/>
          <w:i/>
          <w:iCs/>
          <w:sz w:val="22"/>
          <w:szCs w:val="22"/>
        </w:rPr>
        <w:t xml:space="preserve"> for this to occur</w:t>
      </w:r>
      <w:r w:rsidRPr="00583AA4">
        <w:rPr>
          <w:rFonts w:ascii="Calibri" w:hAnsi="Calibri" w:cs="Calibri"/>
          <w:i/>
          <w:iCs/>
          <w:sz w:val="22"/>
          <w:szCs w:val="22"/>
        </w:rPr>
        <w:t>, so no real need to repeat this in the IRM KDE or element.  The IRM comes first and only at the time that the STA provides the Device ID, does the “no Agreement</w:t>
      </w:r>
      <w:r>
        <w:rPr>
          <w:rFonts w:ascii="Calibri" w:hAnsi="Calibri" w:cs="Calibri"/>
          <w:i/>
          <w:iCs/>
          <w:sz w:val="22"/>
          <w:szCs w:val="22"/>
        </w:rPr>
        <w:t>”</w:t>
      </w:r>
      <w:r w:rsidRPr="00583AA4">
        <w:rPr>
          <w:rFonts w:ascii="Calibri" w:hAnsi="Calibri" w:cs="Calibri"/>
          <w:i/>
          <w:iCs/>
          <w:sz w:val="22"/>
          <w:szCs w:val="22"/>
        </w:rPr>
        <w:t xml:space="preserve"> happen.</w:t>
      </w:r>
      <w:r w:rsidR="001A6F63">
        <w:rPr>
          <w:rFonts w:ascii="Calibri" w:hAnsi="Calibri" w:cs="Calibri"/>
          <w:i/>
          <w:iCs/>
          <w:sz w:val="22"/>
          <w:szCs w:val="22"/>
        </w:rPr>
        <w:t xml:space="preserve"> At that point the AP and STA should simply “start again”.  Hence, AP provides a new Device ID and the STA provides a new IRM – both assuming that it is a new </w:t>
      </w:r>
      <w:r w:rsidR="00DB6A53">
        <w:rPr>
          <w:rFonts w:ascii="Calibri" w:hAnsi="Calibri" w:cs="Calibri"/>
          <w:i/>
          <w:iCs/>
          <w:sz w:val="22"/>
          <w:szCs w:val="22"/>
        </w:rPr>
        <w:t xml:space="preserve">“first time” </w:t>
      </w:r>
      <w:r w:rsidR="001A6F63">
        <w:rPr>
          <w:rFonts w:ascii="Calibri" w:hAnsi="Calibri" w:cs="Calibri"/>
          <w:i/>
          <w:iCs/>
          <w:sz w:val="22"/>
          <w:szCs w:val="22"/>
        </w:rPr>
        <w:t>connection.</w:t>
      </w:r>
    </w:p>
    <w:p w14:paraId="1ADC7558" w14:textId="7777777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60116132" w14:textId="15CAA9B0"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127F2129" w14:textId="77777777" w:rsidR="008E08AB"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27.57 add new line to Table 9.322aq</w:t>
      </w:r>
    </w:p>
    <w:tbl>
      <w:tblPr>
        <w:tblStyle w:val="TableGrid"/>
        <w:tblW w:w="0" w:type="auto"/>
        <w:tblLook w:val="04A0" w:firstRow="1" w:lastRow="0" w:firstColumn="1" w:lastColumn="0" w:noHBand="0" w:noVBand="1"/>
      </w:tblPr>
      <w:tblGrid>
        <w:gridCol w:w="1165"/>
        <w:gridCol w:w="2340"/>
        <w:gridCol w:w="5310"/>
      </w:tblGrid>
      <w:tr w:rsidR="008E08AB" w14:paraId="2E6A2D0E" w14:textId="77777777" w:rsidTr="00317270">
        <w:tc>
          <w:tcPr>
            <w:tcW w:w="1165" w:type="dxa"/>
          </w:tcPr>
          <w:p w14:paraId="3227DAC4"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Device ID Status</w:t>
            </w:r>
          </w:p>
        </w:tc>
        <w:tc>
          <w:tcPr>
            <w:tcW w:w="2340" w:type="dxa"/>
          </w:tcPr>
          <w:p w14:paraId="3E0065DF"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5310" w:type="dxa"/>
          </w:tcPr>
          <w:p w14:paraId="3050FF98"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8E08AB" w14:paraId="44F5A1AA" w14:textId="77777777" w:rsidTr="00317270">
        <w:tc>
          <w:tcPr>
            <w:tcW w:w="1165" w:type="dxa"/>
          </w:tcPr>
          <w:p w14:paraId="3A4F4CD3"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0F431339" w14:textId="77777777" w:rsidR="008E08AB" w:rsidRDefault="008E08AB" w:rsidP="00B17F9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5310" w:type="dxa"/>
          </w:tcPr>
          <w:p w14:paraId="1B4519A5" w14:textId="77777777" w:rsidR="008E08AB" w:rsidRPr="00860524" w:rsidRDefault="008E08AB" w:rsidP="00B17F91">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recognized by the AP.</w:t>
            </w:r>
          </w:p>
        </w:tc>
      </w:tr>
      <w:tr w:rsidR="008E08AB" w14:paraId="0B1BA5EE" w14:textId="77777777" w:rsidTr="00317270">
        <w:tc>
          <w:tcPr>
            <w:tcW w:w="1165" w:type="dxa"/>
          </w:tcPr>
          <w:p w14:paraId="1E47BE9E"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41686E4B" w14:textId="77777777" w:rsidR="008E08AB" w:rsidRDefault="008E08AB" w:rsidP="00B17F9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5310" w:type="dxa"/>
          </w:tcPr>
          <w:p w14:paraId="5E5C043E" w14:textId="77777777" w:rsidR="008E08AB" w:rsidRPr="00860524" w:rsidRDefault="008E08AB" w:rsidP="00B17F91">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not recognized by the AP.</w:t>
            </w:r>
          </w:p>
        </w:tc>
      </w:tr>
      <w:tr w:rsidR="008E08AB" w:rsidRPr="00860524" w14:paraId="6E016369" w14:textId="77777777" w:rsidTr="00317270">
        <w:tc>
          <w:tcPr>
            <w:tcW w:w="1165" w:type="dxa"/>
          </w:tcPr>
          <w:p w14:paraId="3EB9420D" w14:textId="77777777" w:rsidR="008E08AB" w:rsidRPr="00860524"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6427B51A" w14:textId="33145B6F" w:rsidR="008E08AB" w:rsidRPr="00860524" w:rsidRDefault="008E08AB" w:rsidP="00B17F91">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Pr>
                <w:rFonts w:ascii="Calibri" w:hAnsi="Calibri" w:cs="Calibri"/>
                <w:color w:val="FF0000"/>
                <w:sz w:val="22"/>
                <w:szCs w:val="22"/>
              </w:rPr>
              <w:t>Mismatch</w:t>
            </w:r>
          </w:p>
        </w:tc>
        <w:tc>
          <w:tcPr>
            <w:tcW w:w="5310" w:type="dxa"/>
          </w:tcPr>
          <w:p w14:paraId="625B921E" w14:textId="64AD6C5E" w:rsidR="008E08AB" w:rsidRPr="00860524" w:rsidRDefault="008E08AB" w:rsidP="00B17F91">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 xml:space="preserve">Device ID </w:t>
            </w:r>
            <w:r>
              <w:rPr>
                <w:rFonts w:ascii="Calibri" w:hAnsi="Calibri" w:cs="Calibri"/>
                <w:color w:val="FF0000"/>
                <w:sz w:val="22"/>
                <w:szCs w:val="22"/>
              </w:rPr>
              <w:t>and IRM do not match</w:t>
            </w:r>
            <w:r w:rsidR="00317270">
              <w:rPr>
                <w:rFonts w:ascii="Calibri" w:hAnsi="Calibri" w:cs="Calibri"/>
                <w:color w:val="FF0000"/>
                <w:sz w:val="22"/>
                <w:szCs w:val="22"/>
              </w:rPr>
              <w:t xml:space="preserve"> to same non-AP STA</w:t>
            </w:r>
          </w:p>
        </w:tc>
      </w:tr>
      <w:tr w:rsidR="008E08AB" w14:paraId="163DF25D" w14:textId="77777777" w:rsidTr="00317270">
        <w:tc>
          <w:tcPr>
            <w:tcW w:w="1165" w:type="dxa"/>
          </w:tcPr>
          <w:p w14:paraId="464F9D2B"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774D555B" w14:textId="77777777" w:rsidR="008E08AB" w:rsidRDefault="008E08AB" w:rsidP="00B17F9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5310" w:type="dxa"/>
          </w:tcPr>
          <w:p w14:paraId="6CD082FC" w14:textId="77777777" w:rsidR="008E08AB" w:rsidRDefault="008E08AB" w:rsidP="00B17F91">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61879427" w14:textId="77777777" w:rsidR="008E08AB" w:rsidRPr="00860524"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b/>
      </w:r>
    </w:p>
    <w:p w14:paraId="294B891E" w14:textId="77777777" w:rsidR="008E08AB" w:rsidRPr="00860524"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Add at 31.29 </w:t>
      </w:r>
    </w:p>
    <w:p w14:paraId="51D7FB6B" w14:textId="764D132A" w:rsidR="008E08AB" w:rsidRDefault="008E08AB" w:rsidP="008E08AB">
      <w:pPr>
        <w:pStyle w:val="Bulleted"/>
        <w:tabs>
          <w:tab w:val="clear" w:pos="360"/>
        </w:tabs>
        <w:suppressAutoHyphens/>
        <w:spacing w:line="240" w:lineRule="auto"/>
        <w:rPr>
          <w:rFonts w:ascii="Calibri" w:hAnsi="Calibri" w:cs="Calibri"/>
          <w:b/>
          <w:bCs/>
          <w:color w:val="FF0000"/>
          <w:szCs w:val="22"/>
        </w:rPr>
      </w:pPr>
      <w:r w:rsidRPr="004A63F4">
        <w:rPr>
          <w:rFonts w:ascii="Calibri" w:hAnsi="Calibri" w:cs="Calibri"/>
          <w:b/>
          <w:bCs/>
          <w:color w:val="FF0000"/>
          <w:szCs w:val="22"/>
        </w:rPr>
        <w:t>“</w:t>
      </w:r>
      <w:r>
        <w:rPr>
          <w:rFonts w:ascii="Calibri" w:hAnsi="Calibri" w:cs="Calibri"/>
          <w:b/>
          <w:bCs/>
          <w:color w:val="FF0000"/>
          <w:szCs w:val="22"/>
        </w:rPr>
        <w:t>When</w:t>
      </w:r>
      <w:r w:rsidRPr="004A63F4">
        <w:rPr>
          <w:rFonts w:ascii="Calibri" w:hAnsi="Calibri" w:cs="Calibri"/>
          <w:b/>
          <w:bCs/>
          <w:color w:val="FF0000"/>
          <w:szCs w:val="22"/>
        </w:rPr>
        <w:t xml:space="preserve"> a non-AP STA associates </w:t>
      </w:r>
      <w:r>
        <w:rPr>
          <w:rFonts w:ascii="Calibri" w:hAnsi="Calibri" w:cs="Calibri"/>
          <w:b/>
          <w:bCs/>
          <w:color w:val="FF0000"/>
          <w:szCs w:val="22"/>
        </w:rPr>
        <w:t xml:space="preserve">or authenticates using PASN </w:t>
      </w:r>
      <w:r w:rsidRPr="004A63F4">
        <w:rPr>
          <w:rFonts w:ascii="Calibri" w:hAnsi="Calibri" w:cs="Calibri"/>
          <w:b/>
          <w:bCs/>
          <w:color w:val="FF0000"/>
          <w:szCs w:val="22"/>
        </w:rPr>
        <w:t xml:space="preserve">with an IRM </w:t>
      </w:r>
      <w:r>
        <w:rPr>
          <w:rFonts w:ascii="Calibri" w:hAnsi="Calibri" w:cs="Calibri"/>
          <w:b/>
          <w:bCs/>
          <w:color w:val="FF0000"/>
          <w:szCs w:val="22"/>
        </w:rPr>
        <w:t xml:space="preserve">as TA </w:t>
      </w:r>
      <w:r w:rsidRPr="004A63F4">
        <w:rPr>
          <w:rFonts w:ascii="Calibri" w:hAnsi="Calibri" w:cs="Calibri"/>
          <w:b/>
          <w:bCs/>
          <w:color w:val="FF0000"/>
          <w:szCs w:val="22"/>
        </w:rPr>
        <w:t>and provides a device ID</w:t>
      </w:r>
      <w:r>
        <w:rPr>
          <w:rFonts w:ascii="Calibri" w:hAnsi="Calibri" w:cs="Calibri"/>
          <w:b/>
          <w:bCs/>
          <w:color w:val="FF0000"/>
          <w:szCs w:val="22"/>
        </w:rPr>
        <w:t xml:space="preserve">, if the </w:t>
      </w:r>
      <w:r w:rsidRPr="004A63F4">
        <w:rPr>
          <w:rFonts w:ascii="Calibri" w:hAnsi="Calibri" w:cs="Calibri"/>
          <w:b/>
          <w:bCs/>
          <w:color w:val="FF0000"/>
          <w:szCs w:val="22"/>
        </w:rPr>
        <w:t>AP recognize</w:t>
      </w:r>
      <w:r>
        <w:rPr>
          <w:rFonts w:ascii="Calibri" w:hAnsi="Calibri" w:cs="Calibri"/>
          <w:b/>
          <w:bCs/>
          <w:color w:val="FF0000"/>
          <w:szCs w:val="22"/>
        </w:rPr>
        <w:t>s</w:t>
      </w:r>
      <w:r w:rsidRPr="004A63F4">
        <w:rPr>
          <w:rFonts w:ascii="Calibri" w:hAnsi="Calibri" w:cs="Calibri"/>
          <w:b/>
          <w:bCs/>
          <w:color w:val="FF0000"/>
          <w:szCs w:val="22"/>
        </w:rPr>
        <w:t xml:space="preserve"> </w:t>
      </w:r>
      <w:r>
        <w:rPr>
          <w:rFonts w:ascii="Calibri" w:hAnsi="Calibri" w:cs="Calibri"/>
          <w:b/>
          <w:bCs/>
          <w:color w:val="FF0000"/>
          <w:szCs w:val="22"/>
        </w:rPr>
        <w:t xml:space="preserve">both device ID and IRM, but not as </w:t>
      </w:r>
      <w:r w:rsidR="00317270">
        <w:rPr>
          <w:rFonts w:ascii="Calibri" w:hAnsi="Calibri" w:cs="Calibri"/>
          <w:b/>
          <w:bCs/>
          <w:color w:val="FF0000"/>
          <w:szCs w:val="22"/>
        </w:rPr>
        <w:t>match</w:t>
      </w:r>
      <w:r>
        <w:rPr>
          <w:rFonts w:ascii="Calibri" w:hAnsi="Calibri" w:cs="Calibri"/>
          <w:b/>
          <w:bCs/>
          <w:color w:val="FF0000"/>
          <w:szCs w:val="22"/>
        </w:rPr>
        <w:t xml:space="preserve">ing to the same STA, </w:t>
      </w:r>
      <w:r w:rsidRPr="004A63F4">
        <w:rPr>
          <w:rFonts w:ascii="Calibri" w:hAnsi="Calibri" w:cs="Calibri"/>
          <w:b/>
          <w:bCs/>
          <w:color w:val="FF0000"/>
          <w:szCs w:val="22"/>
        </w:rPr>
        <w:t xml:space="preserve">then </w:t>
      </w:r>
      <w:r w:rsidR="00DA44EC">
        <w:rPr>
          <w:rFonts w:ascii="Calibri" w:hAnsi="Calibri" w:cs="Calibri"/>
          <w:b/>
          <w:bCs/>
          <w:color w:val="FF0000"/>
          <w:szCs w:val="22"/>
        </w:rPr>
        <w:t xml:space="preserve">both the AP and the non-AP STA shall proceed assuming that this is a new connection with no </w:t>
      </w:r>
      <w:r w:rsidR="00206E21">
        <w:rPr>
          <w:rFonts w:ascii="Calibri" w:hAnsi="Calibri" w:cs="Calibri"/>
          <w:b/>
          <w:bCs/>
          <w:color w:val="FF0000"/>
          <w:szCs w:val="22"/>
        </w:rPr>
        <w:t xml:space="preserve">previously </w:t>
      </w:r>
      <w:r w:rsidR="00DA44EC">
        <w:rPr>
          <w:rFonts w:ascii="Calibri" w:hAnsi="Calibri" w:cs="Calibri"/>
          <w:b/>
          <w:bCs/>
          <w:color w:val="FF0000"/>
          <w:szCs w:val="22"/>
        </w:rPr>
        <w:t>stored device ID or IRM.  T</w:t>
      </w:r>
      <w:r w:rsidRPr="004A63F4">
        <w:rPr>
          <w:rFonts w:ascii="Calibri" w:hAnsi="Calibri" w:cs="Calibri"/>
          <w:b/>
          <w:bCs/>
          <w:color w:val="FF0000"/>
          <w:szCs w:val="22"/>
        </w:rPr>
        <w:t>he AP s</w:t>
      </w:r>
      <w:r w:rsidR="001A6F63">
        <w:rPr>
          <w:rFonts w:ascii="Calibri" w:hAnsi="Calibri" w:cs="Calibri"/>
          <w:b/>
          <w:bCs/>
          <w:color w:val="FF0000"/>
          <w:szCs w:val="22"/>
        </w:rPr>
        <w:t xml:space="preserve">ends a Device ID element </w:t>
      </w:r>
      <w:r w:rsidR="00206E21">
        <w:rPr>
          <w:rFonts w:ascii="Calibri" w:hAnsi="Calibri" w:cs="Calibri"/>
          <w:b/>
          <w:bCs/>
          <w:color w:val="FF0000"/>
          <w:szCs w:val="22"/>
        </w:rPr>
        <w:t xml:space="preserve">or Device ID KDA </w:t>
      </w:r>
      <w:r w:rsidR="001A6F63">
        <w:rPr>
          <w:rFonts w:ascii="Calibri" w:hAnsi="Calibri" w:cs="Calibri"/>
          <w:b/>
          <w:bCs/>
          <w:color w:val="FF0000"/>
          <w:szCs w:val="22"/>
        </w:rPr>
        <w:t xml:space="preserve">with the </w:t>
      </w:r>
      <w:r w:rsidRPr="004A63F4">
        <w:rPr>
          <w:rFonts w:ascii="Calibri" w:hAnsi="Calibri" w:cs="Calibri"/>
          <w:b/>
          <w:bCs/>
          <w:color w:val="FF0000"/>
          <w:szCs w:val="22"/>
        </w:rPr>
        <w:t xml:space="preserve">Device ID status </w:t>
      </w:r>
      <w:r w:rsidR="001A6F63">
        <w:rPr>
          <w:rFonts w:ascii="Calibri" w:hAnsi="Calibri" w:cs="Calibri"/>
          <w:b/>
          <w:bCs/>
          <w:color w:val="FF0000"/>
          <w:szCs w:val="22"/>
        </w:rPr>
        <w:t xml:space="preserve">field set to </w:t>
      </w:r>
      <w:r w:rsidRPr="004A63F4">
        <w:rPr>
          <w:rFonts w:ascii="Calibri" w:hAnsi="Calibri" w:cs="Calibri"/>
          <w:b/>
          <w:bCs/>
          <w:color w:val="FF0000"/>
          <w:szCs w:val="22"/>
        </w:rPr>
        <w:t>2 indicating “</w:t>
      </w:r>
      <w:proofErr w:type="spellStart"/>
      <w:r>
        <w:rPr>
          <w:rFonts w:ascii="Calibri" w:hAnsi="Calibri" w:cs="Calibri"/>
          <w:b/>
          <w:bCs/>
          <w:color w:val="FF0000"/>
          <w:szCs w:val="22"/>
        </w:rPr>
        <w:t>Mismatch</w:t>
      </w:r>
      <w:r w:rsidRPr="004A63F4">
        <w:rPr>
          <w:rFonts w:ascii="Calibri" w:hAnsi="Calibri" w:cs="Calibri"/>
          <w:b/>
          <w:bCs/>
          <w:color w:val="FF0000"/>
          <w:szCs w:val="22"/>
        </w:rPr>
        <w:t>”</w:t>
      </w:r>
      <w:r w:rsidR="001A6F63">
        <w:rPr>
          <w:rFonts w:ascii="Calibri" w:hAnsi="Calibri" w:cs="Calibri"/>
          <w:b/>
          <w:bCs/>
          <w:color w:val="FF0000"/>
          <w:szCs w:val="22"/>
        </w:rPr>
        <w:t>and</w:t>
      </w:r>
      <w:proofErr w:type="spellEnd"/>
      <w:r w:rsidR="001A6F63">
        <w:rPr>
          <w:rFonts w:ascii="Calibri" w:hAnsi="Calibri" w:cs="Calibri"/>
          <w:b/>
          <w:bCs/>
          <w:color w:val="FF0000"/>
          <w:szCs w:val="22"/>
        </w:rPr>
        <w:t xml:space="preserve"> provid</w:t>
      </w:r>
      <w:r w:rsidR="00DA44EC">
        <w:rPr>
          <w:rFonts w:ascii="Calibri" w:hAnsi="Calibri" w:cs="Calibri"/>
          <w:b/>
          <w:bCs/>
          <w:color w:val="FF0000"/>
          <w:szCs w:val="22"/>
        </w:rPr>
        <w:t>es</w:t>
      </w:r>
      <w:r w:rsidR="001A6F63">
        <w:rPr>
          <w:rFonts w:ascii="Calibri" w:hAnsi="Calibri" w:cs="Calibri"/>
          <w:b/>
          <w:bCs/>
          <w:color w:val="FF0000"/>
          <w:szCs w:val="22"/>
        </w:rPr>
        <w:t xml:space="preserve"> a new device ID</w:t>
      </w:r>
      <w:r w:rsidRPr="004A63F4">
        <w:rPr>
          <w:rFonts w:ascii="Calibri" w:hAnsi="Calibri" w:cs="Calibri"/>
          <w:b/>
          <w:bCs/>
          <w:color w:val="FF0000"/>
          <w:szCs w:val="22"/>
        </w:rPr>
        <w:t xml:space="preserve">. If the non-AP STA receives a </w:t>
      </w:r>
      <w:r w:rsidR="00F51F78">
        <w:rPr>
          <w:rFonts w:ascii="Calibri" w:hAnsi="Calibri" w:cs="Calibri"/>
          <w:b/>
          <w:bCs/>
          <w:color w:val="FF0000"/>
          <w:szCs w:val="22"/>
        </w:rPr>
        <w:t xml:space="preserve">Device ID element with a </w:t>
      </w:r>
      <w:r w:rsidRPr="004A63F4">
        <w:rPr>
          <w:rFonts w:ascii="Calibri" w:hAnsi="Calibri" w:cs="Calibri"/>
          <w:b/>
          <w:bCs/>
          <w:color w:val="FF0000"/>
          <w:szCs w:val="22"/>
        </w:rPr>
        <w:t>Device ID status of 2 indicating “</w:t>
      </w:r>
      <w:r>
        <w:rPr>
          <w:rFonts w:ascii="Calibri" w:hAnsi="Calibri" w:cs="Calibri"/>
          <w:b/>
          <w:bCs/>
          <w:color w:val="FF0000"/>
          <w:szCs w:val="22"/>
        </w:rPr>
        <w:t>Mismatch</w:t>
      </w:r>
      <w:r w:rsidRPr="004A63F4">
        <w:rPr>
          <w:rFonts w:ascii="Calibri" w:hAnsi="Calibri" w:cs="Calibri"/>
          <w:b/>
          <w:bCs/>
          <w:color w:val="FF0000"/>
          <w:szCs w:val="22"/>
        </w:rPr>
        <w:t>”</w:t>
      </w:r>
      <w:r w:rsidR="00F51F78">
        <w:rPr>
          <w:rFonts w:ascii="Calibri" w:hAnsi="Calibri" w:cs="Calibri"/>
          <w:b/>
          <w:bCs/>
          <w:color w:val="FF0000"/>
          <w:szCs w:val="22"/>
        </w:rPr>
        <w:t xml:space="preserve"> and </w:t>
      </w:r>
      <w:r w:rsidR="00206E21">
        <w:rPr>
          <w:rFonts w:ascii="Calibri" w:hAnsi="Calibri" w:cs="Calibri"/>
          <w:b/>
          <w:bCs/>
          <w:color w:val="FF0000"/>
          <w:szCs w:val="22"/>
        </w:rPr>
        <w:t xml:space="preserve">provides </w:t>
      </w:r>
      <w:r w:rsidR="00F51F78">
        <w:rPr>
          <w:rFonts w:ascii="Calibri" w:hAnsi="Calibri" w:cs="Calibri"/>
          <w:b/>
          <w:bCs/>
          <w:color w:val="FF0000"/>
          <w:szCs w:val="22"/>
        </w:rPr>
        <w:t>a new device ID</w:t>
      </w:r>
      <w:r w:rsidR="00DA44EC">
        <w:rPr>
          <w:rFonts w:ascii="Calibri" w:hAnsi="Calibri" w:cs="Calibri"/>
          <w:b/>
          <w:bCs/>
          <w:color w:val="FF0000"/>
          <w:szCs w:val="22"/>
        </w:rPr>
        <w:t>,</w:t>
      </w:r>
      <w:r w:rsidRPr="004A63F4">
        <w:rPr>
          <w:rFonts w:ascii="Calibri" w:hAnsi="Calibri" w:cs="Calibri"/>
          <w:b/>
          <w:bCs/>
          <w:color w:val="FF0000"/>
          <w:szCs w:val="22"/>
        </w:rPr>
        <w:t xml:space="preserve"> then the </w:t>
      </w:r>
      <w:r w:rsidR="001A6F63">
        <w:rPr>
          <w:rFonts w:ascii="Calibri" w:hAnsi="Calibri" w:cs="Calibri"/>
          <w:b/>
          <w:bCs/>
          <w:color w:val="FF0000"/>
          <w:szCs w:val="22"/>
        </w:rPr>
        <w:t xml:space="preserve">non-AP STA </w:t>
      </w:r>
      <w:r w:rsidR="00F51F78">
        <w:rPr>
          <w:rFonts w:ascii="Calibri" w:hAnsi="Calibri" w:cs="Calibri"/>
          <w:b/>
          <w:bCs/>
          <w:color w:val="FF0000"/>
          <w:szCs w:val="22"/>
        </w:rPr>
        <w:t xml:space="preserve">shall use that new device ID for that AP.  The non-AP STA shall then send an IRM element </w:t>
      </w:r>
      <w:r w:rsidR="00206E21">
        <w:rPr>
          <w:rFonts w:ascii="Calibri" w:hAnsi="Calibri" w:cs="Calibri"/>
          <w:b/>
          <w:bCs/>
          <w:color w:val="FF0000"/>
          <w:szCs w:val="22"/>
        </w:rPr>
        <w:t xml:space="preserve">or IRM KDE </w:t>
      </w:r>
      <w:r w:rsidR="00F51F78">
        <w:rPr>
          <w:rFonts w:ascii="Calibri" w:hAnsi="Calibri" w:cs="Calibri"/>
          <w:b/>
          <w:bCs/>
          <w:color w:val="FF0000"/>
          <w:szCs w:val="22"/>
        </w:rPr>
        <w:t>and provide a new IRM.</w:t>
      </w:r>
      <w:r w:rsidR="00206E21">
        <w:rPr>
          <w:rFonts w:ascii="Calibri" w:hAnsi="Calibri" w:cs="Calibri"/>
          <w:b/>
          <w:bCs/>
          <w:color w:val="FF0000"/>
          <w:szCs w:val="22"/>
        </w:rPr>
        <w:t>”</w:t>
      </w:r>
    </w:p>
    <w:p w14:paraId="65D52890" w14:textId="77777777" w:rsidR="008E08AB"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703D4CA3" w14:textId="7783AB3C" w:rsidR="00F95B70" w:rsidRPr="00F95B70" w:rsidRDefault="00F95B70" w:rsidP="00F95B70">
      <w:pPr>
        <w:autoSpaceDE w:val="0"/>
        <w:autoSpaceDN w:val="0"/>
        <w:adjustRightInd w:val="0"/>
        <w:rPr>
          <w:rFonts w:asciiTheme="minorHAnsi" w:hAnsiTheme="minorHAnsi" w:cstheme="minorHAnsi"/>
          <w:color w:val="FF0000"/>
          <w:sz w:val="28"/>
          <w:szCs w:val="28"/>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are not mutual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r w:rsidRPr="00883F4F">
        <w:rPr>
          <w:rFonts w:eastAsia="TimesNewRoman"/>
          <w:strike/>
          <w:color w:val="FF0000"/>
          <w:sz w:val="24"/>
          <w:szCs w:val="24"/>
          <w:lang w:val="en-US" w:eastAsia="ja-JP"/>
        </w:rPr>
        <w:t xml:space="preserve">indicates the current status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Editor - Also delete table 12-11a and text to line 52</w:t>
      </w:r>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seems pretty clear</w:t>
      </w:r>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32.47</w:t>
      </w:r>
      <w:r w:rsidR="00D21E10" w:rsidRPr="00455BA8">
        <w:rPr>
          <w:rFonts w:eastAsia="TimesNewRoman"/>
          <w:sz w:val="24"/>
          <w:szCs w:val="24"/>
          <w:highlight w:val="green"/>
          <w:lang w:val="en-US" w:eastAsia="ja-JP"/>
        </w:rPr>
        <w:t xml:space="preserve">  REJECT</w:t>
      </w:r>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during the RSN association</w:t>
      </w:r>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When associating to an AP that advertises support for IRM, the non-AP STA may allocate a new IRM to the AP</w:t>
      </w:r>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the AP</w:t>
      </w:r>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a new IRM to the AP</w:t>
      </w:r>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STA may allocate a new IRM to the AP by including the IRM element</w:t>
      </w:r>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IRM by including the IRM element</w:t>
      </w:r>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address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address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address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2424" w14:textId="77777777" w:rsidR="007F4B7B" w:rsidRDefault="007F4B7B">
      <w:r>
        <w:separator/>
      </w:r>
    </w:p>
  </w:endnote>
  <w:endnote w:type="continuationSeparator" w:id="0">
    <w:p w14:paraId="0A4E1EBE" w14:textId="77777777" w:rsidR="007F4B7B" w:rsidRDefault="007F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F0000" w:usb2="00000010" w:usb3="00000000" w:csb0="0006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D2DC" w14:textId="77777777" w:rsidR="007F4B7B" w:rsidRDefault="007F4B7B">
      <w:r>
        <w:separator/>
      </w:r>
    </w:p>
  </w:footnote>
  <w:footnote w:type="continuationSeparator" w:id="0">
    <w:p w14:paraId="6A3F973D" w14:textId="77777777" w:rsidR="007F4B7B" w:rsidRDefault="007F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2DFEDC0"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DA44E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14</TotalTime>
  <Pages>22</Pages>
  <Words>5240</Words>
  <Characters>29872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4</cp:revision>
  <cp:lastPrinted>1901-01-01T05:00:00Z</cp:lastPrinted>
  <dcterms:created xsi:type="dcterms:W3CDTF">2023-08-24T15:39:00Z</dcterms:created>
  <dcterms:modified xsi:type="dcterms:W3CDTF">2023-08-24T15:54:00Z</dcterms:modified>
</cp:coreProperties>
</file>