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1C9AA918" w:rsidR="001B0D37" w:rsidRDefault="001B0D37" w:rsidP="00480D8B">
                            <w:pPr>
                              <w:pStyle w:val="T1"/>
                              <w:spacing w:after="120"/>
                              <w:jc w:val="left"/>
                              <w:rPr>
                                <w:b w:val="0"/>
                                <w:sz w:val="24"/>
                              </w:rPr>
                            </w:pPr>
                            <w:bookmarkStart w:id="0" w:name="_Hlk139937683"/>
                            <w:r>
                              <w:rPr>
                                <w:b w:val="0"/>
                                <w:sz w:val="24"/>
                              </w:rPr>
                              <w:t>2,3,4,5,6,7,15,17,21,22,23,25,28,37,38,49,51,57,58,59,60,61,62,64,65,66,67,68,69,81,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p w14:paraId="23BFE666" w14:textId="77777777" w:rsidR="00894C7D" w:rsidRDefault="00904C32" w:rsidP="005844DF">
                            <w:pPr>
                              <w:pStyle w:val="T1"/>
                              <w:ind w:firstLine="720"/>
                              <w:jc w:val="left"/>
                              <w:rPr>
                                <w:b w:val="0"/>
                                <w:sz w:val="24"/>
                              </w:rPr>
                            </w:pPr>
                            <w:r>
                              <w:rPr>
                                <w:b w:val="0"/>
                                <w:sz w:val="24"/>
                              </w:rPr>
                              <w:t xml:space="preserve">REV 8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68D7EECD" w:rsidR="00904C32" w:rsidRDefault="00894C7D" w:rsidP="005844DF">
                            <w:pPr>
                              <w:pStyle w:val="T1"/>
                              <w:ind w:firstLine="720"/>
                              <w:jc w:val="left"/>
                              <w:rPr>
                                <w:b w:val="0"/>
                                <w:sz w:val="24"/>
                              </w:rPr>
                            </w:pPr>
                            <w:r>
                              <w:rPr>
                                <w:b w:val="0"/>
                                <w:sz w:val="24"/>
                              </w:rPr>
                              <w:t>REV 9 resolved CIDs at 8/8/2023 telecon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1C9AA918" w:rsidR="001B0D37" w:rsidRDefault="001B0D37" w:rsidP="00480D8B">
                      <w:pPr>
                        <w:pStyle w:val="T1"/>
                        <w:spacing w:after="120"/>
                        <w:jc w:val="left"/>
                        <w:rPr>
                          <w:b w:val="0"/>
                          <w:sz w:val="24"/>
                        </w:rPr>
                      </w:pPr>
                      <w:bookmarkStart w:id="1" w:name="_Hlk139937683"/>
                      <w:r>
                        <w:rPr>
                          <w:b w:val="0"/>
                          <w:sz w:val="24"/>
                        </w:rPr>
                        <w:t>2,3,4,5,6,7,15,17,21,22,23,25,28,37,38,49,51,57,58,59,60,61,62,64,65,66,67,68,69,81,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p w14:paraId="23BFE666" w14:textId="77777777" w:rsidR="00894C7D" w:rsidRDefault="00904C32" w:rsidP="005844DF">
                      <w:pPr>
                        <w:pStyle w:val="T1"/>
                        <w:ind w:firstLine="720"/>
                        <w:jc w:val="left"/>
                        <w:rPr>
                          <w:b w:val="0"/>
                          <w:sz w:val="24"/>
                        </w:rPr>
                      </w:pPr>
                      <w:r>
                        <w:rPr>
                          <w:b w:val="0"/>
                          <w:sz w:val="24"/>
                        </w:rPr>
                        <w:t xml:space="preserve">REV 8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68D7EECD" w:rsidR="00904C32" w:rsidRDefault="00894C7D" w:rsidP="005844DF">
                      <w:pPr>
                        <w:pStyle w:val="T1"/>
                        <w:ind w:firstLine="720"/>
                        <w:jc w:val="left"/>
                        <w:rPr>
                          <w:b w:val="0"/>
                          <w:sz w:val="24"/>
                        </w:rPr>
                      </w:pPr>
                      <w:r>
                        <w:rPr>
                          <w:b w:val="0"/>
                          <w:sz w:val="24"/>
                        </w:rPr>
                        <w:t>REV 9 resolved CIDs at 8/8/2023 telecon</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997579">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997579">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Change" IRM element is set to 1" to  "IRM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3.0 ,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3912A5F3" w14:textId="70780FCE" w:rsidTr="00997579">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Incorporate the changes marked as CIDs 2,3,4,5,149,197 in this document</w:t>
            </w:r>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52B165DD" w14:textId="1B223861" w:rsidTr="00997579">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Incorporate the changes marked as CIDs 2,3,4,5,149,197 in this document</w:t>
            </w:r>
          </w:p>
          <w:p w14:paraId="10EBCFE0" w14:textId="4192827E" w:rsidR="00C23A84" w:rsidRDefault="00C23A84" w:rsidP="00680B36">
            <w:pPr>
              <w:rPr>
                <w:rFonts w:ascii="Calibri" w:hAnsi="Calibri" w:cs="Calibri"/>
                <w:color w:val="000000"/>
                <w:szCs w:val="22"/>
              </w:rPr>
            </w:pPr>
            <w:r>
              <w:rPr>
                <w:rFonts w:eastAsia="Times New Roman"/>
              </w:rPr>
              <w:t>(see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997579">
        <w:tc>
          <w:tcPr>
            <w:tcW w:w="620"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r w:rsidR="00E12816">
              <w:rPr>
                <w:rFonts w:ascii="Calibri" w:hAnsi="Calibri" w:cs="Calibri"/>
                <w:color w:val="000000"/>
                <w:szCs w:val="22"/>
              </w:rPr>
              <w:t xml:space="preserve"> </w:t>
            </w:r>
          </w:p>
        </w:tc>
      </w:tr>
      <w:tr w:rsidR="00CC2514" w14:paraId="7B8CBAB3" w14:textId="77777777" w:rsidTr="00997579">
        <w:tc>
          <w:tcPr>
            <w:tcW w:w="620"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of the IRM KDE or IRM element is set to 1" not clear</w:t>
            </w:r>
          </w:p>
        </w:tc>
        <w:tc>
          <w:tcPr>
            <w:tcW w:w="222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Incorporate the changes marked as CIDs 2,3,4,5,149,197 in this document</w:t>
            </w:r>
            <w:r>
              <w:rPr>
                <w:rFonts w:ascii="Calibri" w:hAnsi="Calibri" w:cs="Calibri"/>
                <w:color w:val="000000"/>
                <w:szCs w:val="22"/>
              </w:rPr>
              <w:t xml:space="preserve"> </w:t>
            </w:r>
          </w:p>
        </w:tc>
      </w:tr>
      <w:tr w:rsidR="00000186" w14:paraId="0EEBB2F7" w14:textId="58C35B4C" w:rsidTr="00997579">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w:t>
            </w:r>
            <w:r>
              <w:rPr>
                <w:rFonts w:ascii="Calibri" w:hAnsi="Calibri" w:cs="Calibri"/>
                <w:sz w:val="22"/>
                <w:szCs w:val="22"/>
              </w:rPr>
              <w:lastRenderedPageBreak/>
              <w:t>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902"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Incorporate the changes marked as CIDs 2,3,4,5,149,197 in this document</w:t>
            </w:r>
          </w:p>
          <w:p w14:paraId="1C985413" w14:textId="1ADE1E8B" w:rsidR="00C23A84" w:rsidRDefault="00C23A84" w:rsidP="00680B36">
            <w:pPr>
              <w:rPr>
                <w:rFonts w:ascii="Calibri" w:hAnsi="Calibri" w:cs="Calibri"/>
                <w:color w:val="000000"/>
                <w:szCs w:val="22"/>
              </w:rPr>
            </w:pPr>
            <w:r>
              <w:rPr>
                <w:rFonts w:eastAsia="Times New Roman"/>
              </w:rPr>
              <w:lastRenderedPageBreak/>
              <w:t>(see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A53DF">
        <w:tc>
          <w:tcPr>
            <w:tcW w:w="620"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158"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Suggest to modify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997579">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Incorporate the changes marked as CIDs 6,37,207 in this document</w:t>
            </w:r>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(see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997579">
        <w:tc>
          <w:tcPr>
            <w:tcW w:w="620"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In order to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02"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Incorporate the changes marked as CIDs 6,37,207 in this document</w:t>
            </w:r>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102902" w14:paraId="2096BB9F" w14:textId="77777777" w:rsidTr="00997579">
        <w:tc>
          <w:tcPr>
            <w:tcW w:w="620"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000186" w14:paraId="13E2153E" w14:textId="3A8EE077" w:rsidTr="00997579">
        <w:tc>
          <w:tcPr>
            <w:tcW w:w="620"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158"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Since the IRM is locally generated at the non-AP STAs, there are chances that two or more non-AP STAs may generate the same address. AP needs to ensure that conflicts are avoided.</w:t>
            </w:r>
          </w:p>
        </w:tc>
        <w:tc>
          <w:tcPr>
            <w:tcW w:w="2223"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mechanisms at AP to ensure that IRM conflicts are avoided.</w:t>
            </w:r>
          </w:p>
        </w:tc>
        <w:tc>
          <w:tcPr>
            <w:tcW w:w="2902" w:type="dxa"/>
          </w:tcPr>
          <w:p w14:paraId="3F3AECF1" w14:textId="7B30BC2F" w:rsidR="00BD330F" w:rsidRDefault="00BD330F" w:rsidP="00BD330F">
            <w:pPr>
              <w:rPr>
                <w:rFonts w:ascii="Calibri" w:hAnsi="Calibri" w:cs="Calibri"/>
                <w:color w:val="000000"/>
                <w:szCs w:val="22"/>
              </w:rPr>
            </w:pPr>
            <w:r w:rsidRPr="00D82656">
              <w:rPr>
                <w:rFonts w:ascii="Calibri" w:hAnsi="Calibri" w:cs="Calibri"/>
                <w:color w:val="000000"/>
                <w:szCs w:val="22"/>
              </w:rPr>
              <w:t>Need 8,388,608 for 50% chance of collision.  375 for10^-9 chance of collision</w:t>
            </w:r>
            <w:r>
              <w:rPr>
                <w:rFonts w:ascii="Calibri" w:hAnsi="Calibri" w:cs="Calibri"/>
                <w:color w:val="000000"/>
                <w:szCs w:val="22"/>
              </w:rPr>
              <w:t>.</w:t>
            </w:r>
          </w:p>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 xml:space="preserve">(see also CIDs 21, 114) </w:t>
            </w:r>
          </w:p>
          <w:p w14:paraId="0B4F8449" w14:textId="77777777" w:rsidR="00BD330F" w:rsidRDefault="00BD330F" w:rsidP="00BD330F">
            <w:pPr>
              <w:rPr>
                <w:rFonts w:ascii="Calibri" w:hAnsi="Calibri" w:cs="Calibri"/>
                <w:color w:val="000000"/>
                <w:szCs w:val="22"/>
              </w:rPr>
            </w:pPr>
          </w:p>
          <w:p w14:paraId="4102F215" w14:textId="54D7E970" w:rsidR="00BD330F" w:rsidRDefault="00BD330F" w:rsidP="00BD330F">
            <w:pPr>
              <w:rPr>
                <w:rFonts w:ascii="Calibri" w:hAnsi="Calibri" w:cs="Calibri"/>
                <w:color w:val="000000"/>
                <w:szCs w:val="22"/>
              </w:rPr>
            </w:pPr>
            <w:r>
              <w:rPr>
                <w:rFonts w:ascii="Calibri" w:hAnsi="Calibri" w:cs="Calibri"/>
                <w:color w:val="000000"/>
                <w:szCs w:val="22"/>
              </w:rPr>
              <w:t>REJECT</w:t>
            </w:r>
            <w:r w:rsidR="003863E6">
              <w:rPr>
                <w:rFonts w:ascii="Calibri" w:hAnsi="Calibri" w:cs="Calibri"/>
                <w:color w:val="000000"/>
                <w:szCs w:val="22"/>
              </w:rPr>
              <w:t xml:space="preserve"> or add a NOTE?</w:t>
            </w:r>
          </w:p>
          <w:p w14:paraId="299379A1" w14:textId="290DEECA" w:rsidR="00BD330F" w:rsidRDefault="00BD330F" w:rsidP="00BD330F">
            <w:pPr>
              <w:rPr>
                <w:rFonts w:ascii="Calibri" w:hAnsi="Calibri" w:cs="Calibri"/>
                <w:color w:val="000000"/>
                <w:szCs w:val="22"/>
              </w:rPr>
            </w:pPr>
            <w:r>
              <w:rPr>
                <w:rFonts w:ascii="Calibri" w:hAnsi="Calibri" w:cs="Calibri"/>
                <w:color w:val="000000"/>
                <w:szCs w:val="22"/>
              </w:rPr>
              <w:t xml:space="preserve"> The chance of duplication is the same as for the random and changing MAC addresses.  A mechanism may be possible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9C8F1B2" w14:textId="77777777" w:rsidR="003863E6" w:rsidRDefault="003863E6" w:rsidP="00BD330F">
            <w:pPr>
              <w:rPr>
                <w:rFonts w:ascii="Calibri" w:hAnsi="Calibri" w:cs="Calibri"/>
                <w:color w:val="000000"/>
                <w:szCs w:val="22"/>
              </w:rPr>
            </w:pPr>
          </w:p>
          <w:p w14:paraId="5AA834D9" w14:textId="50E9E02C" w:rsidR="003863E6" w:rsidRDefault="003863E6" w:rsidP="00BD330F">
            <w:pPr>
              <w:rPr>
                <w:rFonts w:ascii="Calibri" w:hAnsi="Calibri" w:cs="Calibri"/>
                <w:color w:val="000000"/>
                <w:szCs w:val="22"/>
              </w:rPr>
            </w:pPr>
            <w:r>
              <w:rPr>
                <w:rFonts w:ascii="Calibri" w:hAnsi="Calibri" w:cs="Calibri"/>
                <w:color w:val="000000"/>
                <w:szCs w:val="22"/>
              </w:rPr>
              <w:lastRenderedPageBreak/>
              <w:t>ALTERNATIVE</w:t>
            </w:r>
            <w:r w:rsidR="00B166CF">
              <w:rPr>
                <w:rFonts w:ascii="Calibri" w:hAnsi="Calibri" w:cs="Calibri"/>
                <w:color w:val="000000"/>
                <w:szCs w:val="22"/>
              </w:rPr>
              <w:t xml:space="preserve"> </w:t>
            </w:r>
          </w:p>
          <w:p w14:paraId="4A165476" w14:textId="58E21F44" w:rsidR="003863E6" w:rsidRDefault="003863E6" w:rsidP="00BD330F">
            <w:pPr>
              <w:rPr>
                <w:rFonts w:ascii="Calibri" w:hAnsi="Calibri" w:cs="Calibri"/>
                <w:color w:val="000000"/>
                <w:szCs w:val="22"/>
              </w:rPr>
            </w:pPr>
            <w:r>
              <w:rPr>
                <w:rFonts w:ascii="Calibri" w:hAnsi="Calibri" w:cs="Calibri"/>
                <w:color w:val="000000"/>
                <w:szCs w:val="22"/>
              </w:rPr>
              <w:t>At 33.24 add</w:t>
            </w:r>
          </w:p>
          <w:p w14:paraId="38782A08" w14:textId="540C2EE6" w:rsidR="003863E6" w:rsidRDefault="003863E6" w:rsidP="00BD330F">
            <w:pPr>
              <w:rPr>
                <w:szCs w:val="22"/>
              </w:rPr>
            </w:pPr>
            <w:r>
              <w:rPr>
                <w:rFonts w:ascii="Calibri" w:hAnsi="Calibri" w:cs="Calibri"/>
                <w:color w:val="000000"/>
                <w:szCs w:val="22"/>
              </w:rPr>
              <w:t>“</w:t>
            </w:r>
            <w:r w:rsidRPr="003863E6">
              <w:rPr>
                <w:color w:val="000000"/>
                <w:szCs w:val="22"/>
              </w:rPr>
              <w:t xml:space="preserve">NOTE: </w:t>
            </w:r>
            <w:r w:rsidRPr="003863E6">
              <w:rPr>
                <w:szCs w:val="22"/>
              </w:rPr>
              <w:t>IRM addresses are typically generated with the same algorithm used to generate the Randomized Changing MAC addresses.”</w:t>
            </w:r>
          </w:p>
          <w:p w14:paraId="26FD7213" w14:textId="77777777" w:rsidR="00B166CF" w:rsidRDefault="00B166CF" w:rsidP="00BD330F">
            <w:pPr>
              <w:rPr>
                <w:rFonts w:ascii="Calibri" w:hAnsi="Calibri" w:cs="Calibri"/>
                <w:color w:val="000000"/>
                <w:szCs w:val="22"/>
              </w:rPr>
            </w:pPr>
          </w:p>
          <w:p w14:paraId="0A636E5E" w14:textId="32EB70F8" w:rsidR="00B166CF" w:rsidRPr="00B166CF" w:rsidRDefault="00B166CF" w:rsidP="00BD330F">
            <w:pPr>
              <w:rPr>
                <w:rFonts w:ascii="Calibri" w:hAnsi="Calibri" w:cs="Calibri"/>
                <w:color w:val="FF0000"/>
                <w:szCs w:val="22"/>
              </w:rPr>
            </w:pPr>
            <w:r w:rsidRPr="00B166CF">
              <w:rPr>
                <w:rFonts w:ascii="Calibri" w:hAnsi="Calibri" w:cs="Calibri"/>
                <w:color w:val="FF0000"/>
                <w:szCs w:val="22"/>
              </w:rPr>
              <w:t>ALTERNATIVE</w:t>
            </w:r>
          </w:p>
          <w:p w14:paraId="4436568F" w14:textId="0C3CBC0F" w:rsidR="00B166CF" w:rsidRPr="00B166CF" w:rsidRDefault="00B166CF" w:rsidP="00BD330F">
            <w:pPr>
              <w:rPr>
                <w:rFonts w:ascii="Calibri" w:hAnsi="Calibri" w:cs="Calibri"/>
                <w:color w:val="FF0000"/>
                <w:szCs w:val="22"/>
              </w:rPr>
            </w:pPr>
            <w:r w:rsidRPr="00B166CF">
              <w:rPr>
                <w:rFonts w:ascii="Calibri" w:hAnsi="Calibri" w:cs="Calibri"/>
                <w:color w:val="FF0000"/>
                <w:szCs w:val="22"/>
              </w:rPr>
              <w:t>Add “Duplicate” to the Status Field.</w:t>
            </w:r>
          </w:p>
          <w:p w14:paraId="1646064F" w14:textId="4A5A183F" w:rsidR="00BD330F" w:rsidRDefault="00B166CF" w:rsidP="00BD330F">
            <w:pPr>
              <w:pStyle w:val="Bulleted"/>
              <w:tabs>
                <w:tab w:val="clear" w:pos="360"/>
                <w:tab w:val="left" w:pos="1540"/>
                <w:tab w:val="left" w:pos="2160"/>
              </w:tabs>
              <w:suppressAutoHyphens/>
              <w:spacing w:line="240" w:lineRule="auto"/>
              <w:ind w:left="0" w:firstLine="0"/>
              <w:rPr>
                <w:rFonts w:eastAsia="Times New Roman"/>
                <w:sz w:val="22"/>
              </w:rPr>
            </w:pPr>
            <w:r w:rsidRPr="00B166CF">
              <w:rPr>
                <w:rFonts w:eastAsia="Times New Roman"/>
                <w:color w:val="FF0000"/>
                <w:sz w:val="22"/>
              </w:rPr>
              <w:t>(Also CIDs 21, 114)</w:t>
            </w:r>
          </w:p>
        </w:tc>
      </w:tr>
      <w:tr w:rsidR="00CD279F" w14:paraId="7CB4F28D" w14:textId="77777777" w:rsidTr="00997579">
        <w:tc>
          <w:tcPr>
            <w:tcW w:w="620" w:type="dxa"/>
          </w:tcPr>
          <w:p w14:paraId="0B48998C"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21</w:t>
            </w:r>
          </w:p>
        </w:tc>
        <w:tc>
          <w:tcPr>
            <w:tcW w:w="1158" w:type="dxa"/>
            <w:vAlign w:val="bottom"/>
          </w:tcPr>
          <w:p w14:paraId="7B374B3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34CDE56"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06FA57FF"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that is already allocated by another non-AP STA, and it still be valid. And the de-authentication carrying the reason code of IRM collision</w:t>
            </w:r>
          </w:p>
        </w:tc>
        <w:tc>
          <w:tcPr>
            <w:tcW w:w="2223" w:type="dxa"/>
            <w:vAlign w:val="bottom"/>
          </w:tcPr>
          <w:p w14:paraId="4D0E8171"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the solution to address the IRM collision issue.</w:t>
            </w:r>
          </w:p>
        </w:tc>
        <w:tc>
          <w:tcPr>
            <w:tcW w:w="2902" w:type="dxa"/>
          </w:tcPr>
          <w:p w14:paraId="4088A18B" w14:textId="77777777" w:rsidR="00CD279F" w:rsidRDefault="00CD279F" w:rsidP="006522BC">
            <w:pPr>
              <w:rPr>
                <w:rFonts w:ascii="Calibri" w:hAnsi="Calibri" w:cs="Calibri"/>
                <w:color w:val="000000"/>
                <w:szCs w:val="22"/>
              </w:rPr>
            </w:pPr>
            <w:r>
              <w:rPr>
                <w:rFonts w:ascii="Calibri" w:hAnsi="Calibri" w:cs="Calibri"/>
                <w:color w:val="000000"/>
                <w:szCs w:val="22"/>
              </w:rPr>
              <w:t xml:space="preserve">(see also 7, 114) </w:t>
            </w:r>
          </w:p>
          <w:p w14:paraId="54AA3500" w14:textId="77777777" w:rsidR="00CD279F" w:rsidRDefault="00CD279F" w:rsidP="006522BC">
            <w:pPr>
              <w:rPr>
                <w:rFonts w:ascii="Calibri" w:hAnsi="Calibri" w:cs="Calibri"/>
                <w:color w:val="000000"/>
                <w:szCs w:val="22"/>
              </w:rPr>
            </w:pPr>
            <w:r>
              <w:rPr>
                <w:rFonts w:ascii="Calibri" w:hAnsi="Calibri" w:cs="Calibri"/>
                <w:color w:val="000000"/>
                <w:szCs w:val="22"/>
              </w:rPr>
              <w:t>Add NOTE</w:t>
            </w:r>
          </w:p>
          <w:p w14:paraId="20C0233C" w14:textId="77777777" w:rsidR="00CD279F" w:rsidRDefault="00CD279F" w:rsidP="006522BC">
            <w:pPr>
              <w:rPr>
                <w:rFonts w:ascii="Calibri" w:hAnsi="Calibri" w:cs="Calibri"/>
                <w:color w:val="000000"/>
                <w:szCs w:val="22"/>
              </w:rPr>
            </w:pPr>
            <w:r>
              <w:rPr>
                <w:rFonts w:ascii="Calibri" w:hAnsi="Calibri" w:cs="Calibri"/>
                <w:color w:val="000000"/>
                <w:szCs w:val="22"/>
              </w:rPr>
              <w:t xml:space="preserve">OR </w:t>
            </w:r>
          </w:p>
          <w:p w14:paraId="06146D4C" w14:textId="77777777" w:rsidR="00CD279F" w:rsidRDefault="00CD279F" w:rsidP="006522BC">
            <w:pPr>
              <w:rPr>
                <w:rFonts w:ascii="Calibri" w:hAnsi="Calibri" w:cs="Calibri"/>
                <w:color w:val="000000"/>
                <w:szCs w:val="22"/>
              </w:rPr>
            </w:pPr>
            <w:r>
              <w:rPr>
                <w:rFonts w:ascii="Calibri" w:hAnsi="Calibri" w:cs="Calibri"/>
                <w:color w:val="000000"/>
                <w:szCs w:val="22"/>
              </w:rPr>
              <w:t xml:space="preserve">REJECT  </w:t>
            </w:r>
          </w:p>
          <w:p w14:paraId="58B1AE6F" w14:textId="77777777" w:rsidR="00CD279F" w:rsidRDefault="00CD279F" w:rsidP="006522BC">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possible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37DD08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p>
        </w:tc>
      </w:tr>
      <w:tr w:rsidR="00CD279F" w14:paraId="0CF8BD89" w14:textId="77777777" w:rsidTr="00997579">
        <w:tc>
          <w:tcPr>
            <w:tcW w:w="620" w:type="dxa"/>
          </w:tcPr>
          <w:p w14:paraId="6143B5D9"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114</w:t>
            </w:r>
          </w:p>
        </w:tc>
        <w:tc>
          <w:tcPr>
            <w:tcW w:w="1158" w:type="dxa"/>
            <w:vAlign w:val="bottom"/>
          </w:tcPr>
          <w:p w14:paraId="7DA429DC"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E6C992"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39CFA834"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(non-AP) STA-generated identifier. There is a possibility that more than one non-AP STA(s) can choose the same IRM, leading to "ID collision".</w:t>
            </w:r>
            <w:r>
              <w:rPr>
                <w:rFonts w:ascii="Calibri" w:hAnsi="Calibri" w:cs="Calibri"/>
                <w:sz w:val="22"/>
                <w:szCs w:val="22"/>
              </w:rPr>
              <w:br/>
              <w:t>The non-AP STA should know  when ID collision happens so that it can choose another IRM.</w:t>
            </w:r>
          </w:p>
        </w:tc>
        <w:tc>
          <w:tcPr>
            <w:tcW w:w="2223" w:type="dxa"/>
            <w:vAlign w:val="bottom"/>
          </w:tcPr>
          <w:p w14:paraId="6E749546"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Add a mechanism for IRM to inform non-AP STA about the "ID collision"</w:t>
            </w:r>
          </w:p>
        </w:tc>
        <w:tc>
          <w:tcPr>
            <w:tcW w:w="2902" w:type="dxa"/>
          </w:tcPr>
          <w:p w14:paraId="098F9C17" w14:textId="77777777" w:rsidR="00CD279F" w:rsidRDefault="00CD279F" w:rsidP="00066518">
            <w:pPr>
              <w:rPr>
                <w:rFonts w:ascii="Calibri" w:hAnsi="Calibri" w:cs="Calibri"/>
                <w:color w:val="000000"/>
                <w:szCs w:val="22"/>
              </w:rPr>
            </w:pPr>
            <w:r>
              <w:rPr>
                <w:rFonts w:ascii="Calibri" w:hAnsi="Calibri" w:cs="Calibri"/>
                <w:color w:val="000000"/>
                <w:szCs w:val="22"/>
              </w:rPr>
              <w:t>(see CID 7)</w:t>
            </w:r>
          </w:p>
          <w:p w14:paraId="6563C2FE" w14:textId="77777777" w:rsidR="00CD279F" w:rsidRDefault="00CD279F" w:rsidP="00066518">
            <w:pPr>
              <w:rPr>
                <w:rFonts w:ascii="Calibri" w:hAnsi="Calibri" w:cs="Calibri"/>
                <w:color w:val="000000"/>
                <w:szCs w:val="22"/>
              </w:rPr>
            </w:pPr>
            <w:r>
              <w:rPr>
                <w:rFonts w:ascii="Calibri" w:hAnsi="Calibri" w:cs="Calibri"/>
                <w:color w:val="000000"/>
                <w:szCs w:val="22"/>
              </w:rPr>
              <w:t>ADD NOTE or</w:t>
            </w:r>
          </w:p>
          <w:p w14:paraId="3F3C83A8" w14:textId="77777777" w:rsidR="00CD279F" w:rsidRDefault="00CD279F" w:rsidP="00066518">
            <w:pPr>
              <w:rPr>
                <w:rFonts w:ascii="Calibri" w:hAnsi="Calibri" w:cs="Calibri"/>
                <w:color w:val="000000"/>
                <w:szCs w:val="22"/>
              </w:rPr>
            </w:pPr>
            <w:r>
              <w:rPr>
                <w:rFonts w:ascii="Calibri" w:hAnsi="Calibri" w:cs="Calibri"/>
                <w:color w:val="000000"/>
                <w:szCs w:val="22"/>
              </w:rPr>
              <w:t xml:space="preserve"> REJECT.  </w:t>
            </w:r>
          </w:p>
          <w:p w14:paraId="0F93A7C4" w14:textId="77777777" w:rsidR="00CD279F" w:rsidRDefault="00CD279F" w:rsidP="00066518">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possible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2E97B49D" w14:textId="77777777" w:rsidR="00CD279F" w:rsidRDefault="00CD279F" w:rsidP="00066518">
            <w:pPr>
              <w:rPr>
                <w:rFonts w:ascii="Calibri" w:hAnsi="Calibri" w:cs="Calibri"/>
                <w:color w:val="000000"/>
                <w:szCs w:val="22"/>
              </w:rPr>
            </w:pPr>
          </w:p>
        </w:tc>
      </w:tr>
      <w:tr w:rsidR="008B4412" w14:paraId="241CC460" w14:textId="77777777" w:rsidTr="00997579">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address",suppose</w:t>
            </w:r>
            <w:proofErr w:type="spell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30.21, 32.47, 32.48, 32.49, 32.54, 32.57, 32.62, 32.63, 33.1, 33.11, 33.13, 33.21, 33.26, 33.31, 33.36, 33.37</w:t>
            </w:r>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lastRenderedPageBreak/>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See also CIDS 25, 51, 168, 169, 193</w:t>
            </w:r>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997579">
        <w:tc>
          <w:tcPr>
            <w:tcW w:w="620"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158"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57"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22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the comments, in line 47,line 48, line 49 and other place</w:t>
            </w:r>
          </w:p>
        </w:tc>
        <w:tc>
          <w:tcPr>
            <w:tcW w:w="2902"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33.4  replace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997579">
        <w:tc>
          <w:tcPr>
            <w:tcW w:w="620"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158"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902" w:type="dxa"/>
          </w:tcPr>
          <w:p w14:paraId="7F04DC14" w14:textId="1985A02C" w:rsidR="00A701D0" w:rsidRDefault="00A701D0" w:rsidP="00FF39F4">
            <w:pPr>
              <w:rPr>
                <w:rFonts w:ascii="Calibri" w:hAnsi="Calibri" w:cs="Calibri"/>
                <w:color w:val="000000"/>
                <w:szCs w:val="22"/>
              </w:rPr>
            </w:pPr>
            <w:r>
              <w:rPr>
                <w:rFonts w:eastAsia="Times New Roman"/>
              </w:rPr>
              <w:t>Do not think there is any need to add “IRM operation” or such.  No reference is provided where there may be a problem</w:t>
            </w:r>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33.4  replace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997579">
        <w:tc>
          <w:tcPr>
            <w:tcW w:w="620"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158"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33.4  replace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997579">
        <w:tc>
          <w:tcPr>
            <w:tcW w:w="620"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169</w:t>
            </w:r>
          </w:p>
        </w:tc>
        <w:tc>
          <w:tcPr>
            <w:tcW w:w="1158"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22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902"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Wrong reference.  Think it is 30.19</w:t>
            </w:r>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Commenter wants to say</w:t>
            </w:r>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997579">
        <w:tc>
          <w:tcPr>
            <w:tcW w:w="620"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23</w:t>
            </w:r>
          </w:p>
        </w:tc>
        <w:tc>
          <w:tcPr>
            <w:tcW w:w="1158"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22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give some clarification on how the two schemes used together, e.g. How the AP identify the STA when the frame sent by STA carries two identifiers.</w:t>
            </w:r>
          </w:p>
        </w:tc>
        <w:tc>
          <w:tcPr>
            <w:tcW w:w="2902"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 xml:space="preserve">(see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997579">
        <w:tc>
          <w:tcPr>
            <w:tcW w:w="620"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158"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What if the IRM and Device ID match to different devices?</w:t>
            </w:r>
          </w:p>
        </w:tc>
        <w:tc>
          <w:tcPr>
            <w:tcW w:w="222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Remove possibility to use IRM and Device ID at the same time, or specify all the details related to simultaneous use of these protocols.</w:t>
            </w:r>
          </w:p>
        </w:tc>
        <w:tc>
          <w:tcPr>
            <w:tcW w:w="2902" w:type="dxa"/>
          </w:tcPr>
          <w:p w14:paraId="2BFE0764" w14:textId="5F63B166" w:rsidR="00CB3B62" w:rsidRDefault="00CB3B62" w:rsidP="00CB3B62">
            <w:pPr>
              <w:rPr>
                <w:rFonts w:ascii="Calibri" w:hAnsi="Calibri" w:cs="Calibri"/>
                <w:color w:val="000000"/>
                <w:szCs w:val="22"/>
              </w:rPr>
            </w:pPr>
            <w:r w:rsidRPr="00CB3B62">
              <w:rPr>
                <w:rFonts w:ascii="Calibri" w:hAnsi="Calibri" w:cs="Calibri"/>
                <w:color w:val="000000"/>
                <w:szCs w:val="22"/>
              </w:rPr>
              <w:t>REVISED</w:t>
            </w:r>
          </w:p>
          <w:p w14:paraId="69F0403A" w14:textId="69D90451" w:rsidR="000B73CF" w:rsidRDefault="00CB3B62" w:rsidP="00CB3B62">
            <w:pPr>
              <w:autoSpaceDE w:val="0"/>
              <w:autoSpaceDN w:val="0"/>
              <w:adjustRightInd w:val="0"/>
              <w:rPr>
                <w:rFonts w:ascii="Calibri" w:hAnsi="Calibri" w:cs="Calibri"/>
                <w:color w:val="000000"/>
                <w:szCs w:val="22"/>
              </w:rPr>
            </w:pPr>
            <w:r>
              <w:rPr>
                <w:rFonts w:ascii="Calibri" w:hAnsi="Calibri" w:cs="Calibri"/>
                <w:color w:val="000000"/>
                <w:szCs w:val="22"/>
              </w:rPr>
              <w:t>Add at 30.25</w:t>
            </w:r>
            <w:r w:rsidR="000B73CF">
              <w:rPr>
                <w:rFonts w:ascii="Calibri" w:hAnsi="Calibri" w:cs="Calibri"/>
                <w:color w:val="000000"/>
                <w:szCs w:val="22"/>
              </w:rPr>
              <w:t xml:space="preserve"> see CID 23</w:t>
            </w:r>
          </w:p>
          <w:p w14:paraId="4B6E60A4" w14:textId="6A1605FA" w:rsidR="00CB3B62" w:rsidRDefault="00CB3B62" w:rsidP="00CB3B62">
            <w:pPr>
              <w:autoSpaceDE w:val="0"/>
              <w:autoSpaceDN w:val="0"/>
              <w:adjustRightInd w:val="0"/>
              <w:rPr>
                <w:rFonts w:ascii="Calibri" w:hAnsi="Calibri" w:cs="Calibri"/>
                <w:color w:val="000000"/>
                <w:sz w:val="24"/>
                <w:szCs w:val="24"/>
              </w:rPr>
            </w:pPr>
            <w:r>
              <w:rPr>
                <w:rFonts w:ascii="Calibri" w:hAnsi="Calibri" w:cs="Calibri"/>
                <w:color w:val="000000"/>
                <w:szCs w:val="22"/>
              </w:rPr>
              <w:t xml:space="preserve"> </w:t>
            </w:r>
            <w:r w:rsidRPr="00E034B4">
              <w:rPr>
                <w:rFonts w:ascii="Calibri" w:hAnsi="Calibri" w:cs="Calibri"/>
                <w:color w:val="FF0000"/>
                <w:sz w:val="24"/>
                <w:szCs w:val="24"/>
              </w:rPr>
              <w:t>NOTE: Device ID and IRM are independent schemes</w:t>
            </w:r>
            <w:r>
              <w:rPr>
                <w:rFonts w:ascii="Calibri" w:hAnsi="Calibri" w:cs="Calibri"/>
                <w:color w:val="FF0000"/>
                <w:sz w:val="24"/>
                <w:szCs w:val="24"/>
              </w:rPr>
              <w:t xml:space="preserve"> that allow an AP to </w:t>
            </w:r>
            <w:r w:rsidRPr="004F3794">
              <w:rPr>
                <w:rFonts w:ascii="Calibri" w:hAnsi="Calibri" w:cs="Calibri"/>
                <w:color w:val="FF0000"/>
                <w:sz w:val="24"/>
                <w:szCs w:val="24"/>
              </w:rPr>
              <w:t xml:space="preserve">recognize </w:t>
            </w:r>
            <w:r>
              <w:rPr>
                <w:rFonts w:ascii="Calibri" w:hAnsi="Calibri" w:cs="Calibri"/>
                <w:color w:val="FF0000"/>
                <w:sz w:val="24"/>
                <w:szCs w:val="24"/>
              </w:rPr>
              <w:t xml:space="preserve">a non-AP STA prior to association and </w:t>
            </w:r>
            <w:r w:rsidRPr="004F3794">
              <w:rPr>
                <w:rFonts w:ascii="Calibri" w:hAnsi="Calibri" w:cs="Calibri"/>
                <w:color w:val="FF0000"/>
                <w:sz w:val="24"/>
                <w:szCs w:val="24"/>
              </w:rPr>
              <w:lastRenderedPageBreak/>
              <w:t>identify</w:t>
            </w:r>
            <w:r>
              <w:rPr>
                <w:rFonts w:ascii="Calibri" w:hAnsi="Calibri" w:cs="Calibri"/>
                <w:color w:val="FF0000"/>
                <w:sz w:val="24"/>
                <w:szCs w:val="24"/>
              </w:rPr>
              <w:t xml:space="preserve"> it during association respectively</w:t>
            </w:r>
            <w:r w:rsidRPr="00E034B4">
              <w:rPr>
                <w:rFonts w:ascii="Calibri" w:hAnsi="Calibri" w:cs="Calibri"/>
                <w:color w:val="FF0000"/>
                <w:sz w:val="24"/>
                <w:szCs w:val="24"/>
              </w:rPr>
              <w:t>.  The device ID is allocated by an AP, an</w:t>
            </w:r>
            <w:r>
              <w:rPr>
                <w:rFonts w:ascii="Calibri" w:hAnsi="Calibri" w:cs="Calibri"/>
                <w:color w:val="FF0000"/>
                <w:sz w:val="24"/>
                <w:szCs w:val="24"/>
              </w:rPr>
              <w:t>d the</w:t>
            </w:r>
            <w:r w:rsidRPr="00E034B4">
              <w:rPr>
                <w:rFonts w:ascii="Calibri" w:hAnsi="Calibri" w:cs="Calibri"/>
                <w:color w:val="FF0000"/>
                <w:sz w:val="24"/>
                <w:szCs w:val="24"/>
              </w:rPr>
              <w:t xml:space="preserve"> IRM is </w:t>
            </w:r>
            <w:r>
              <w:rPr>
                <w:rFonts w:ascii="Calibri" w:hAnsi="Calibri" w:cs="Calibri"/>
                <w:color w:val="FF0000"/>
                <w:sz w:val="24"/>
                <w:szCs w:val="24"/>
              </w:rPr>
              <w:t>selected</w:t>
            </w:r>
            <w:r w:rsidRPr="00E034B4">
              <w:rPr>
                <w:rFonts w:ascii="Calibri" w:hAnsi="Calibri" w:cs="Calibri"/>
                <w:color w:val="FF0000"/>
                <w:sz w:val="24"/>
                <w:szCs w:val="24"/>
              </w:rPr>
              <w:t xml:space="preserve"> by a non-AP STA.  </w:t>
            </w:r>
            <w:r w:rsidRPr="00C86FAB">
              <w:rPr>
                <w:rFonts w:ascii="Calibri" w:hAnsi="Calibri" w:cs="Calibri"/>
                <w:color w:val="FF0000"/>
                <w:sz w:val="24"/>
                <w:szCs w:val="24"/>
              </w:rPr>
              <w:t>If an AP and a</w:t>
            </w:r>
            <w:r>
              <w:rPr>
                <w:rFonts w:ascii="Calibri" w:hAnsi="Calibri" w:cs="Calibri"/>
                <w:color w:val="FF0000"/>
                <w:sz w:val="24"/>
                <w:szCs w:val="24"/>
              </w:rPr>
              <w:t xml:space="preserve"> non-AP </w:t>
            </w:r>
            <w:r w:rsidRPr="00C86FAB">
              <w:rPr>
                <w:rFonts w:ascii="Calibri" w:hAnsi="Calibri" w:cs="Calibri"/>
                <w:color w:val="FF0000"/>
                <w:sz w:val="24"/>
                <w:szCs w:val="24"/>
              </w:rPr>
              <w:t xml:space="preserve">STA both support both IRM and device ID, the </w:t>
            </w:r>
            <w:r>
              <w:rPr>
                <w:rFonts w:ascii="Calibri" w:hAnsi="Calibri" w:cs="Calibri"/>
                <w:color w:val="FF0000"/>
                <w:sz w:val="24"/>
                <w:szCs w:val="24"/>
              </w:rPr>
              <w:t xml:space="preserve">non-AP </w:t>
            </w:r>
            <w:r w:rsidRPr="00C86FAB">
              <w:rPr>
                <w:rFonts w:ascii="Calibri" w:hAnsi="Calibri" w:cs="Calibri"/>
                <w:color w:val="FF0000"/>
                <w:sz w:val="24"/>
                <w:szCs w:val="24"/>
              </w:rPr>
              <w:t>STA might provide both an IRM and a device ID</w:t>
            </w:r>
            <w:r>
              <w:rPr>
                <w:rFonts w:ascii="Calibri" w:hAnsi="Calibri" w:cs="Calibri"/>
                <w:color w:val="000000"/>
                <w:sz w:val="24"/>
                <w:szCs w:val="24"/>
              </w:rPr>
              <w:t>.</w:t>
            </w:r>
          </w:p>
          <w:p w14:paraId="5765A10C" w14:textId="4329ABF5" w:rsidR="00BE48E5" w:rsidRDefault="00BE48E5" w:rsidP="00CB3B62">
            <w:pPr>
              <w:autoSpaceDE w:val="0"/>
              <w:autoSpaceDN w:val="0"/>
              <w:adjustRightInd w:val="0"/>
              <w:rPr>
                <w:rFonts w:ascii="Calibri" w:hAnsi="Calibri" w:cs="Calibri"/>
                <w:color w:val="000000"/>
                <w:sz w:val="24"/>
                <w:szCs w:val="24"/>
              </w:rPr>
            </w:pPr>
            <w:r>
              <w:t>“Both mechanisms are not related and their failure or success is not linked.” (Antonio)</w:t>
            </w:r>
          </w:p>
          <w:p w14:paraId="0C60F101" w14:textId="77777777" w:rsidR="00571F1F" w:rsidRDefault="00571F1F" w:rsidP="00CB3B62">
            <w:pPr>
              <w:autoSpaceDE w:val="0"/>
              <w:autoSpaceDN w:val="0"/>
              <w:adjustRightInd w:val="0"/>
              <w:rPr>
                <w:rFonts w:ascii="Calibri" w:hAnsi="Calibri" w:cs="Calibri"/>
                <w:color w:val="000000"/>
                <w:sz w:val="24"/>
                <w:szCs w:val="24"/>
              </w:rPr>
            </w:pPr>
          </w:p>
          <w:p w14:paraId="6D9B4157" w14:textId="3DA6329F" w:rsidR="001D7E5C" w:rsidRDefault="001D7E5C" w:rsidP="00CB3B62">
            <w:pPr>
              <w:autoSpaceDE w:val="0"/>
              <w:autoSpaceDN w:val="0"/>
              <w:adjustRightInd w:val="0"/>
              <w:rPr>
                <w:rFonts w:ascii="Calibri" w:hAnsi="Calibri" w:cs="Calibri"/>
                <w:color w:val="000000"/>
                <w:sz w:val="24"/>
                <w:szCs w:val="24"/>
              </w:rPr>
            </w:pPr>
            <w:r>
              <w:rPr>
                <w:rFonts w:ascii="Calibri" w:hAnsi="Calibri" w:cs="Calibri"/>
                <w:color w:val="000000"/>
                <w:sz w:val="24"/>
                <w:szCs w:val="24"/>
              </w:rPr>
              <w:t>Also, incorporate the changes identified as CIDs 135, 224 this document 23/1245</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997579">
        <w:tc>
          <w:tcPr>
            <w:tcW w:w="620"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224</w:t>
            </w:r>
          </w:p>
        </w:tc>
        <w:tc>
          <w:tcPr>
            <w:tcW w:w="1158"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applies to all the document. Need to clarify what happens when there is a collision</w:t>
            </w:r>
          </w:p>
        </w:tc>
        <w:tc>
          <w:tcPr>
            <w:tcW w:w="2902" w:type="dxa"/>
          </w:tcPr>
          <w:p w14:paraId="1BD0F331" w14:textId="22A3EBD8" w:rsidR="001D7E5C" w:rsidRDefault="001D7E5C" w:rsidP="001D7E5C">
            <w:pPr>
              <w:autoSpaceDE w:val="0"/>
              <w:autoSpaceDN w:val="0"/>
              <w:adjustRightInd w:val="0"/>
              <w:rPr>
                <w:rFonts w:ascii="Calibri" w:hAnsi="Calibri" w:cs="Calibri"/>
                <w:color w:val="000000"/>
                <w:sz w:val="24"/>
                <w:szCs w:val="24"/>
              </w:rPr>
            </w:pPr>
            <w:r>
              <w:rPr>
                <w:rFonts w:ascii="Calibri" w:hAnsi="Calibri" w:cs="Calibri"/>
                <w:color w:val="000000"/>
                <w:sz w:val="24"/>
                <w:szCs w:val="24"/>
              </w:rPr>
              <w:t>REVISED</w:t>
            </w:r>
          </w:p>
          <w:p w14:paraId="0176FA0D" w14:textId="4C6362C5" w:rsidR="001D7E5C" w:rsidRDefault="001D7E5C" w:rsidP="001D7E5C">
            <w:pPr>
              <w:autoSpaceDE w:val="0"/>
              <w:autoSpaceDN w:val="0"/>
              <w:adjustRightInd w:val="0"/>
              <w:rPr>
                <w:rFonts w:ascii="Calibri" w:hAnsi="Calibri" w:cs="Calibri"/>
                <w:color w:val="000000"/>
                <w:sz w:val="24"/>
                <w:szCs w:val="24"/>
              </w:rPr>
            </w:pPr>
            <w:r>
              <w:rPr>
                <w:rFonts w:ascii="Calibri" w:hAnsi="Calibri" w:cs="Calibri"/>
                <w:color w:val="000000"/>
                <w:sz w:val="24"/>
                <w:szCs w:val="24"/>
              </w:rPr>
              <w:t>incorporate the changes identified as CIDs 135, 224 this document 23/1245</w:t>
            </w:r>
          </w:p>
          <w:p w14:paraId="237A855C" w14:textId="4EF3FE7E" w:rsidR="007E18CD" w:rsidRDefault="007E18CD" w:rsidP="007E18CD">
            <w:pPr>
              <w:autoSpaceDE w:val="0"/>
              <w:autoSpaceDN w:val="0"/>
              <w:adjustRightInd w:val="0"/>
              <w:rPr>
                <w:rFonts w:ascii="Calibri" w:hAnsi="Calibri" w:cs="Calibri"/>
                <w:color w:val="000000"/>
                <w:szCs w:val="22"/>
              </w:rPr>
            </w:pPr>
          </w:p>
          <w:p w14:paraId="007A7B61" w14:textId="2E5AE427" w:rsidR="00D158A5" w:rsidRDefault="00D158A5" w:rsidP="00C32855">
            <w:pPr>
              <w:rPr>
                <w:rFonts w:ascii="Calibri" w:hAnsi="Calibri" w:cs="Calibri"/>
                <w:color w:val="000000"/>
                <w:szCs w:val="22"/>
              </w:rPr>
            </w:pPr>
          </w:p>
        </w:tc>
      </w:tr>
      <w:tr w:rsidR="006A2961" w14:paraId="20DD8A54" w14:textId="77777777" w:rsidTr="00997579">
        <w:tc>
          <w:tcPr>
            <w:tcW w:w="620"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w:t>
            </w:r>
            <w:r>
              <w:rPr>
                <w:rFonts w:ascii="Calibri" w:hAnsi="Calibri" w:cs="Calibri"/>
                <w:sz w:val="22"/>
                <w:szCs w:val="22"/>
              </w:rPr>
              <w:lastRenderedPageBreak/>
              <w:t>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 xml:space="preserve">The first mechanism, referred to as the </w:t>
            </w:r>
            <w:r>
              <w:rPr>
                <w:rFonts w:ascii="Calibri" w:hAnsi="Calibri" w:cs="Calibri"/>
                <w:sz w:val="22"/>
                <w:szCs w:val="22"/>
              </w:rPr>
              <w:lastRenderedPageBreak/>
              <w:t>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previously associated and is not able to apply cached information from that previous association to the current association. The two </w:t>
            </w:r>
            <w:r w:rsidRPr="00824E0B">
              <w:lastRenderedPageBreak/>
              <w:t>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997579">
        <w:tc>
          <w:tcPr>
            <w:tcW w:w="620"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102</w:t>
            </w:r>
          </w:p>
        </w:tc>
        <w:tc>
          <w:tcPr>
            <w:tcW w:w="1158"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902"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 xml:space="preserve">To mitigate tracking and traffic analysis, a non-AP STA may randomly change its MAC address (see </w:t>
            </w:r>
            <w:r w:rsidRPr="00824E0B">
              <w:rPr>
                <w:rFonts w:eastAsia="TimesNewRoman"/>
                <w:sz w:val="24"/>
                <w:szCs w:val="24"/>
                <w:lang w:val="en-US" w:eastAsia="ja-JP"/>
              </w:rPr>
              <w:lastRenderedPageBreak/>
              <w:t>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997579">
        <w:tc>
          <w:tcPr>
            <w:tcW w:w="620"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56</w:t>
            </w:r>
          </w:p>
        </w:tc>
        <w:tc>
          <w:tcPr>
            <w:tcW w:w="1158"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authentication,  may communicate to the AP the value of a </w:t>
            </w:r>
            <w:r>
              <w:rPr>
                <w:rFonts w:ascii="Calibri" w:hAnsi="Calibri" w:cs="Calibri"/>
                <w:sz w:val="22"/>
                <w:szCs w:val="22"/>
              </w:rPr>
              <w:lastRenderedPageBreak/>
              <w:t>new IRM MAC address.</w:t>
            </w:r>
          </w:p>
        </w:tc>
        <w:tc>
          <w:tcPr>
            <w:tcW w:w="2902"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 xml:space="preserve">To mitigate tracking and traffic analysis, a non-AP </w:t>
            </w:r>
            <w:r w:rsidRPr="00824E0B">
              <w:rPr>
                <w:rFonts w:eastAsia="TimesNewRoman"/>
                <w:sz w:val="24"/>
                <w:szCs w:val="24"/>
                <w:lang w:val="en-US" w:eastAsia="ja-JP"/>
              </w:rPr>
              <w:lastRenderedPageBreak/>
              <w:t>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997579">
        <w:tc>
          <w:tcPr>
            <w:tcW w:w="620"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57</w:t>
            </w:r>
          </w:p>
        </w:tc>
        <w:tc>
          <w:tcPr>
            <w:tcW w:w="1158"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'provide' is misleading, it seems to indicate that the STA gives to the AP the MAC </w:t>
            </w:r>
            <w:r>
              <w:rPr>
                <w:rFonts w:ascii="Calibri" w:hAnsi="Calibri" w:cs="Calibri"/>
                <w:sz w:val="22"/>
                <w:szCs w:val="22"/>
              </w:rPr>
              <w:lastRenderedPageBreak/>
              <w:t>that the AP is expected to use.</w:t>
            </w:r>
          </w:p>
        </w:tc>
        <w:tc>
          <w:tcPr>
            <w:tcW w:w="222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Replace with "Each time the non-AP STA associates with an AP/ESS, it shares the value of t new IRM </w:t>
            </w:r>
            <w:r>
              <w:rPr>
                <w:rFonts w:ascii="Calibri" w:hAnsi="Calibri" w:cs="Calibri"/>
                <w:sz w:val="22"/>
                <w:szCs w:val="22"/>
              </w:rPr>
              <w:lastRenderedPageBreak/>
              <w:t>MAC address with the AP/ESS, during the RSN association".</w:t>
            </w:r>
          </w:p>
        </w:tc>
        <w:tc>
          <w:tcPr>
            <w:tcW w:w="2902"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lastRenderedPageBreak/>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lastRenderedPageBreak/>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997579">
        <w:tc>
          <w:tcPr>
            <w:tcW w:w="620"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58</w:t>
            </w:r>
          </w:p>
        </w:tc>
        <w:tc>
          <w:tcPr>
            <w:tcW w:w="1158"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2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a new IRM to the AP</w:t>
            </w:r>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997579">
        <w:tc>
          <w:tcPr>
            <w:tcW w:w="620"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158"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2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a new IRM to the AP by including the IRM element</w:t>
            </w:r>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997579">
        <w:tc>
          <w:tcPr>
            <w:tcW w:w="620"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158"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997579">
        <w:tc>
          <w:tcPr>
            <w:tcW w:w="620"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902"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33.29  “a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997579">
        <w:tc>
          <w:tcPr>
            <w:tcW w:w="620"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158"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an IRM to an AP/ESS, may use that address</w:t>
            </w:r>
            <w:r>
              <w:rPr>
                <w:rFonts w:eastAsia="TimesNewRoman"/>
                <w:sz w:val="24"/>
                <w:szCs w:val="24"/>
                <w:lang w:val="en-US" w:eastAsia="ja-JP"/>
              </w:rPr>
              <w:t>”</w:t>
            </w:r>
          </w:p>
          <w:p w14:paraId="5F6A066A" w14:textId="540568AD" w:rsidR="009143EA" w:rsidRDefault="009143EA" w:rsidP="009143EA">
            <w:pPr>
              <w:rPr>
                <w:rFonts w:ascii="Calibri" w:hAnsi="Calibri" w:cs="Calibri"/>
                <w:color w:val="000000"/>
                <w:szCs w:val="22"/>
              </w:rPr>
            </w:pPr>
          </w:p>
        </w:tc>
      </w:tr>
      <w:tr w:rsidR="009143EA" w14:paraId="11D5CDE0" w14:textId="77777777" w:rsidTr="00997579">
        <w:tc>
          <w:tcPr>
            <w:tcW w:w="620"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allocate a new IRM MAC</w:t>
            </w:r>
            <w:r>
              <w:rPr>
                <w:rFonts w:ascii="Calibri" w:hAnsi="Calibri" w:cs="Calibri"/>
                <w:sz w:val="22"/>
                <w:szCs w:val="22"/>
              </w:rPr>
              <w:br/>
              <w:t xml:space="preserve">address to the AP" -- I </w:t>
            </w:r>
            <w:r>
              <w:rPr>
                <w:rFonts w:ascii="Calibri" w:hAnsi="Calibri" w:cs="Calibri"/>
                <w:sz w:val="22"/>
                <w:szCs w:val="22"/>
              </w:rPr>
              <w:lastRenderedPageBreak/>
              <w:t>don't think the address is allocated to the AP</w:t>
            </w:r>
          </w:p>
        </w:tc>
        <w:tc>
          <w:tcPr>
            <w:tcW w:w="222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Change to "may allocate a new IRM for use with the AP".  </w:t>
            </w:r>
            <w:r>
              <w:rPr>
                <w:rFonts w:ascii="Calibri" w:hAnsi="Calibri" w:cs="Calibri"/>
                <w:sz w:val="22"/>
                <w:szCs w:val="22"/>
              </w:rPr>
              <w:lastRenderedPageBreak/>
              <w:t>Ditto next sentence.  Ditto at 33.25</w:t>
            </w:r>
          </w:p>
        </w:tc>
        <w:tc>
          <w:tcPr>
            <w:tcW w:w="2902"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lastRenderedPageBreak/>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lastRenderedPageBreak/>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9143EA" w14:paraId="0C3A9BEE" w14:textId="77777777" w:rsidTr="00997579">
        <w:tc>
          <w:tcPr>
            <w:tcW w:w="620"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65</w:t>
            </w:r>
          </w:p>
        </w:tc>
        <w:tc>
          <w:tcPr>
            <w:tcW w:w="1158"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22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902" w:type="dxa"/>
          </w:tcPr>
          <w:p w14:paraId="4DD4895B"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NOTE 1—Allocating a new IRM MAC during each association or PASN preassociation ensures that the non-AP STA</w:t>
            </w:r>
          </w:p>
          <w:p w14:paraId="6DA64C29"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will use a different TA for the next association or PASN preassociation, and hence that non-AP STA is unidentifiable to</w:t>
            </w:r>
          </w:p>
          <w:p w14:paraId="6C904A9E" w14:textId="1FC4B483" w:rsidR="009143EA" w:rsidRPr="008676C6" w:rsidRDefault="009143EA" w:rsidP="009143EA">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9143EA" w:rsidRDefault="009143EA" w:rsidP="009143EA">
            <w:pPr>
              <w:rPr>
                <w:rFonts w:ascii="Calibri" w:hAnsi="Calibri" w:cs="Calibri"/>
                <w:color w:val="000000"/>
                <w:szCs w:val="22"/>
              </w:rPr>
            </w:pPr>
          </w:p>
          <w:p w14:paraId="1EB51F70" w14:textId="77777777" w:rsidR="009143EA" w:rsidRDefault="009143EA" w:rsidP="009143EA">
            <w:pPr>
              <w:rPr>
                <w:rFonts w:ascii="Calibri" w:hAnsi="Calibri" w:cs="Calibri"/>
                <w:color w:val="000000"/>
                <w:szCs w:val="22"/>
              </w:rPr>
            </w:pPr>
            <w:r>
              <w:rPr>
                <w:rFonts w:ascii="Calibri" w:hAnsi="Calibri" w:cs="Calibri"/>
                <w:color w:val="000000"/>
                <w:szCs w:val="22"/>
              </w:rPr>
              <w:t>Leave as Note or make text?</w:t>
            </w:r>
          </w:p>
          <w:p w14:paraId="4A2CC139" w14:textId="77777777" w:rsidR="009143EA" w:rsidRDefault="009143EA" w:rsidP="009143EA">
            <w:pPr>
              <w:rPr>
                <w:rFonts w:ascii="Calibri" w:hAnsi="Calibri" w:cs="Calibri"/>
                <w:color w:val="000000"/>
                <w:szCs w:val="22"/>
              </w:rPr>
            </w:pPr>
          </w:p>
          <w:p w14:paraId="3F8C80EB" w14:textId="29236F3A" w:rsidR="009143EA" w:rsidRDefault="009D06F5" w:rsidP="009143EA">
            <w:pPr>
              <w:rPr>
                <w:rFonts w:ascii="Calibri" w:hAnsi="Calibri" w:cs="Calibri"/>
                <w:color w:val="000000"/>
                <w:szCs w:val="22"/>
              </w:rPr>
            </w:pPr>
            <w:r w:rsidRPr="009D06F5">
              <w:rPr>
                <w:rFonts w:ascii="Calibri" w:hAnsi="Calibri" w:cs="Calibri"/>
                <w:color w:val="000000"/>
                <w:sz w:val="24"/>
                <w:szCs w:val="24"/>
                <w:highlight w:val="yellow"/>
              </w:rPr>
              <w:t xml:space="preserve">See </w:t>
            </w:r>
            <w:r>
              <w:rPr>
                <w:rFonts w:ascii="Calibri" w:hAnsi="Calibri" w:cs="Calibri"/>
                <w:color w:val="000000"/>
                <w:sz w:val="24"/>
                <w:szCs w:val="24"/>
                <w:highlight w:val="yellow"/>
              </w:rPr>
              <w:t xml:space="preserve">resolution to </w:t>
            </w:r>
            <w:r w:rsidRPr="009D06F5">
              <w:rPr>
                <w:rFonts w:ascii="Calibri" w:hAnsi="Calibri" w:cs="Calibri"/>
                <w:color w:val="000000"/>
                <w:sz w:val="24"/>
                <w:szCs w:val="24"/>
                <w:highlight w:val="yellow"/>
              </w:rPr>
              <w:t>CID 28 (Jerome)</w:t>
            </w:r>
            <w:r w:rsidR="009143EA" w:rsidRPr="009D06F5">
              <w:rPr>
                <w:rFonts w:ascii="Calibri" w:hAnsi="Calibri" w:cs="Calibri"/>
                <w:color w:val="000000"/>
                <w:sz w:val="24"/>
                <w:szCs w:val="24"/>
                <w:highlight w:val="yellow"/>
              </w:rPr>
              <w:t>.</w:t>
            </w:r>
          </w:p>
        </w:tc>
      </w:tr>
      <w:tr w:rsidR="009143EA" w14:paraId="01FE08DE" w14:textId="77777777" w:rsidTr="00997579">
        <w:tc>
          <w:tcPr>
            <w:tcW w:w="620"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158"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A53971">
        <w:tc>
          <w:tcPr>
            <w:tcW w:w="620"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FC33A12" w14:textId="77777777" w:rsidTr="00997579">
        <w:tc>
          <w:tcPr>
            <w:tcW w:w="620"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158"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to "If a non-AP STA indicates support for the IRM mechanism in a (Re-)Association Request </w:t>
            </w:r>
            <w:r>
              <w:rPr>
                <w:rFonts w:ascii="Calibri" w:hAnsi="Calibri" w:cs="Calibri"/>
                <w:sz w:val="22"/>
                <w:szCs w:val="22"/>
              </w:rPr>
              <w:lastRenderedPageBreak/>
              <w:t>frame and the AP indicates support for the IRM mechanism in the corresponding (Re-)Association Response frame, then the AP shall include an IRM KDE in message 3 of the 4-way handshake, or, if using FILS authentication, in the Association Response frame.</w:t>
            </w:r>
          </w:p>
        </w:tc>
        <w:tc>
          <w:tcPr>
            <w:tcW w:w="2902" w:type="dxa"/>
          </w:tcPr>
          <w:p w14:paraId="7B27C29A" w14:textId="77777777" w:rsidR="009143EA" w:rsidRDefault="009143EA" w:rsidP="009143EA">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lastRenderedPageBreak/>
              <w:t>Presently</w:t>
            </w:r>
            <w:r>
              <w:rPr>
                <w:rFonts w:ascii="TimesNewRoman" w:eastAsia="TimesNewRoman" w:cs="TimesNewRoman"/>
                <w:sz w:val="20"/>
                <w:lang w:val="en-US" w:eastAsia="ja-JP"/>
              </w:rPr>
              <w:t xml:space="preserve"> </w:t>
            </w:r>
          </w:p>
          <w:p w14:paraId="3E66CF83" w14:textId="0757CF7D" w:rsidR="009143EA" w:rsidRPr="005654B0" w:rsidRDefault="009143EA" w:rsidP="009143EA">
            <w:pPr>
              <w:autoSpaceDE w:val="0"/>
              <w:autoSpaceDN w:val="0"/>
              <w:adjustRightInd w:val="0"/>
              <w:rPr>
                <w:rFonts w:eastAsia="TimesNewRoman"/>
                <w:szCs w:val="22"/>
                <w:lang w:val="en-US" w:eastAsia="ja-JP"/>
              </w:rPr>
            </w:pPr>
            <w:r>
              <w:rPr>
                <w:rFonts w:eastAsia="TimesNewRoman"/>
                <w:szCs w:val="22"/>
                <w:lang w:val="en-US" w:eastAsia="ja-JP"/>
              </w:rPr>
              <w:t>“</w:t>
            </w:r>
            <w:r w:rsidRPr="005654B0">
              <w:rPr>
                <w:rFonts w:eastAsia="TimesNewRoman"/>
                <w:szCs w:val="22"/>
                <w:lang w:val="en-US" w:eastAsia="ja-JP"/>
              </w:rPr>
              <w:t xml:space="preserve">When a non-AP STA that advertises support for IRM associates to an AP that advertises support for IRM, </w:t>
            </w:r>
            <w:r w:rsidRPr="005654B0">
              <w:rPr>
                <w:rFonts w:eastAsia="TimesNewRoman"/>
                <w:szCs w:val="22"/>
                <w:lang w:val="en-US" w:eastAsia="ja-JP"/>
              </w:rPr>
              <w:lastRenderedPageBreak/>
              <w:t>the</w:t>
            </w:r>
            <w:r>
              <w:rPr>
                <w:rFonts w:eastAsia="TimesNewRoman"/>
                <w:szCs w:val="22"/>
                <w:lang w:val="en-US" w:eastAsia="ja-JP"/>
              </w:rPr>
              <w:t xml:space="preserve"> </w:t>
            </w:r>
            <w:r w:rsidRPr="005654B0">
              <w:rPr>
                <w:rFonts w:eastAsia="TimesNewRoman"/>
                <w:szCs w:val="22"/>
                <w:lang w:val="en-US" w:eastAsia="ja-JP"/>
              </w:rPr>
              <w:t>AP shall include an IRM KDE in message 3 of the 4-way handshake or, when using FILS authentication,</w:t>
            </w:r>
          </w:p>
          <w:p w14:paraId="190502AE" w14:textId="3AC9C9B6" w:rsidR="009143EA" w:rsidRPr="005654B0" w:rsidRDefault="009143EA" w:rsidP="009143EA">
            <w:pPr>
              <w:rPr>
                <w:rFonts w:eastAsia="TimesNewRoman"/>
                <w:szCs w:val="22"/>
                <w:lang w:val="en-US" w:eastAsia="ja-JP"/>
              </w:rPr>
            </w:pPr>
            <w:r w:rsidRPr="005654B0">
              <w:rPr>
                <w:rFonts w:eastAsia="TimesNewRoman"/>
                <w:szCs w:val="22"/>
                <w:lang w:val="en-US" w:eastAsia="ja-JP"/>
              </w:rPr>
              <w:t>including an IRM element in the Association Response frame.</w:t>
            </w:r>
            <w:r>
              <w:rPr>
                <w:rFonts w:eastAsia="TimesNewRoman"/>
                <w:szCs w:val="22"/>
                <w:lang w:val="en-US" w:eastAsia="ja-JP"/>
              </w:rPr>
              <w:t>”</w:t>
            </w:r>
          </w:p>
          <w:p w14:paraId="10EF7BC2" w14:textId="77777777" w:rsidR="009143EA" w:rsidRDefault="009143EA" w:rsidP="009143EA">
            <w:pPr>
              <w:rPr>
                <w:rFonts w:ascii="TimesNewRoman" w:eastAsia="TimesNewRoman" w:cs="TimesNewRoman"/>
                <w:lang w:val="en-US"/>
              </w:rPr>
            </w:pPr>
          </w:p>
          <w:p w14:paraId="54DA590C" w14:textId="77777777" w:rsidR="009143EA" w:rsidRDefault="009143EA" w:rsidP="009143EA">
            <w:pPr>
              <w:rPr>
                <w:rFonts w:ascii="TimesNewRoman" w:eastAsia="TimesNewRoman" w:cs="TimesNewRoman"/>
                <w:lang w:val="en-US"/>
              </w:rPr>
            </w:pPr>
          </w:p>
          <w:p w14:paraId="6FE078F3" w14:textId="77777777" w:rsidR="009143EA" w:rsidRPr="005901B3" w:rsidRDefault="009143EA" w:rsidP="009143EA">
            <w:pPr>
              <w:rPr>
                <w:rFonts w:eastAsia="TimesNewRoman"/>
                <w:lang w:val="en-US"/>
              </w:rPr>
            </w:pPr>
            <w:r w:rsidRPr="005901B3">
              <w:rPr>
                <w:rFonts w:eastAsia="TimesNewRoman"/>
                <w:lang w:val="en-US"/>
              </w:rPr>
              <w:t>REJECT</w:t>
            </w:r>
          </w:p>
          <w:p w14:paraId="50F7068D" w14:textId="508E57EB" w:rsidR="009143EA" w:rsidRDefault="009143EA" w:rsidP="009143EA">
            <w:pPr>
              <w:rPr>
                <w:rFonts w:ascii="Calibri" w:hAnsi="Calibri" w:cs="Calibri"/>
                <w:color w:val="000000"/>
                <w:szCs w:val="22"/>
              </w:rPr>
            </w:pPr>
            <w:r>
              <w:rPr>
                <w:rFonts w:ascii="Calibri" w:hAnsi="Calibri" w:cs="Calibri"/>
                <w:color w:val="000000"/>
                <w:szCs w:val="22"/>
              </w:rPr>
              <w:t xml:space="preserve">Not convinced the suggested text is better.  Main difference is that proposed text expands the ‘advertising/indicating </w:t>
            </w:r>
            <w:proofErr w:type="spellStart"/>
            <w:r>
              <w:rPr>
                <w:rFonts w:ascii="Calibri" w:hAnsi="Calibri" w:cs="Calibri"/>
                <w:color w:val="000000"/>
                <w:szCs w:val="22"/>
              </w:rPr>
              <w:t>support’</w:t>
            </w:r>
            <w:proofErr w:type="spellEnd"/>
            <w:r>
              <w:rPr>
                <w:rFonts w:ascii="Calibri" w:hAnsi="Calibri" w:cs="Calibri"/>
                <w:color w:val="000000"/>
                <w:szCs w:val="22"/>
              </w:rPr>
              <w:t xml:space="preserve"> but this is detailed in text later.</w:t>
            </w:r>
          </w:p>
        </w:tc>
      </w:tr>
      <w:tr w:rsidR="009143EA" w14:paraId="5982E9A6" w14:textId="77777777" w:rsidTr="00997579">
        <w:tc>
          <w:tcPr>
            <w:tcW w:w="620"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68</w:t>
            </w:r>
          </w:p>
        </w:tc>
        <w:tc>
          <w:tcPr>
            <w:tcW w:w="1158"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and the AP/ESS should store that IRM MAC address as an identifier for that non-AP STA”</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Inclined to REJECT The idea is to make sure that the AP must remember the IRM list.  Is it obvious - maybe</w:t>
            </w:r>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NOTE?  But prefer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Pr>
                <w:rFonts w:ascii="Calibri" w:hAnsi="Calibri" w:cs="Calibri"/>
                <w:color w:val="000000"/>
                <w:szCs w:val="22"/>
              </w:rPr>
              <w:t>REJECT</w:t>
            </w:r>
          </w:p>
          <w:p w14:paraId="2675FCA3" w14:textId="1C83EB32" w:rsidR="009143EA" w:rsidRDefault="009143EA" w:rsidP="009143EA">
            <w:pPr>
              <w:rPr>
                <w:rFonts w:ascii="Calibri" w:hAnsi="Calibri" w:cs="Calibri"/>
                <w:color w:val="000000"/>
                <w:szCs w:val="22"/>
              </w:rPr>
            </w:pPr>
            <w:r>
              <w:rPr>
                <w:rFonts w:ascii="Calibri" w:hAnsi="Calibri" w:cs="Calibri"/>
                <w:color w:val="000000"/>
                <w:szCs w:val="22"/>
              </w:rPr>
              <w:t xml:space="preserve">The idea is to make sure that the AP and STA remember the IRM list, (same with Device IDs) otherwise the </w:t>
            </w:r>
            <w:proofErr w:type="spellStart"/>
            <w:r>
              <w:rPr>
                <w:rFonts w:ascii="Calibri" w:hAnsi="Calibri" w:cs="Calibri"/>
                <w:color w:val="000000"/>
                <w:szCs w:val="22"/>
              </w:rPr>
              <w:t>schems</w:t>
            </w:r>
            <w:proofErr w:type="spellEnd"/>
            <w:r>
              <w:rPr>
                <w:rFonts w:ascii="Calibri" w:hAnsi="Calibri" w:cs="Calibri"/>
                <w:color w:val="000000"/>
                <w:szCs w:val="22"/>
              </w:rPr>
              <w:t xml:space="preserve">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997579">
        <w:tc>
          <w:tcPr>
            <w:tcW w:w="620"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158"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Inappropriate reference: 12.2.10 does not describe how a MAC address is constructed from the locally administered address space. Since this paragraph is essentially </w:t>
            </w:r>
            <w:r>
              <w:rPr>
                <w:rFonts w:ascii="Calibri" w:hAnsi="Calibri" w:cs="Calibri"/>
                <w:sz w:val="22"/>
                <w:szCs w:val="22"/>
              </w:rPr>
              <w:lastRenderedPageBreak/>
              <w:t>repeating information in 12.2.10 make a statement about conformance to 12.2.10 instead.</w:t>
            </w:r>
          </w:p>
        </w:tc>
        <w:tc>
          <w:tcPr>
            <w:tcW w:w="222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A non-AP STA that uses the IRM mechanism also supports the requirements for MAC privacy enhancement defined in 12.2.10. It </w:t>
            </w:r>
            <w:r>
              <w:rPr>
                <w:rFonts w:ascii="Calibri" w:hAnsi="Calibri" w:cs="Calibri"/>
                <w:sz w:val="22"/>
                <w:szCs w:val="22"/>
              </w:rPr>
              <w:lastRenderedPageBreak/>
              <w:t>might also be better to move this statement earlier in this section.</w:t>
            </w:r>
          </w:p>
        </w:tc>
        <w:tc>
          <w:tcPr>
            <w:tcW w:w="2902"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lastRenderedPageBreak/>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lastRenderedPageBreak/>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Pr>
                <w:rFonts w:eastAsia="TimesNewRoman"/>
                <w:szCs w:val="22"/>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997579">
        <w:tc>
          <w:tcPr>
            <w:tcW w:w="620"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81</w:t>
            </w:r>
          </w:p>
        </w:tc>
        <w:tc>
          <w:tcPr>
            <w:tcW w:w="1158"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tcPr>
          <w:p w14:paraId="0F97F24F" w14:textId="24E036E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68EE57D" w14:textId="77777777" w:rsidTr="00997579">
        <w:tc>
          <w:tcPr>
            <w:tcW w:w="620"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158"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tcPr>
          <w:p w14:paraId="2E008F86" w14:textId="77777777" w:rsidR="009143EA" w:rsidRDefault="009143EA" w:rsidP="009143EA">
            <w:pPr>
              <w:rPr>
                <w:rFonts w:ascii="Calibri" w:hAnsi="Calibri" w:cs="Calibri"/>
                <w:color w:val="000000"/>
                <w:szCs w:val="22"/>
              </w:rPr>
            </w:pPr>
            <w:r>
              <w:rPr>
                <w:rFonts w:ascii="Calibri" w:hAnsi="Calibri" w:cs="Calibri"/>
                <w:color w:val="000000"/>
                <w:szCs w:val="22"/>
              </w:rPr>
              <w:t>ACCEPT (see also CID 81)</w:t>
            </w:r>
          </w:p>
        </w:tc>
      </w:tr>
      <w:tr w:rsidR="009143EA" w14:paraId="11E5D4A1" w14:textId="77777777" w:rsidTr="00997579">
        <w:tc>
          <w:tcPr>
            <w:tcW w:w="620"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tcPr>
          <w:p w14:paraId="376DFF3F" w14:textId="2892AA3C"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9721539" w14:textId="77777777" w:rsidTr="00997579">
        <w:tc>
          <w:tcPr>
            <w:tcW w:w="620"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"When a non-AP STA that advertises support for IRM associates ..." to "When a non-AP STA that negotiates support for IRM, by setting the  IRM Active field to 1 in the Extended RSN Capabilities field, associates ..."</w:t>
            </w:r>
          </w:p>
        </w:tc>
        <w:tc>
          <w:tcPr>
            <w:tcW w:w="2902"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There is no negotiation taking place.  The  non-AP STA decides to make active or not.</w:t>
            </w:r>
          </w:p>
        </w:tc>
      </w:tr>
      <w:tr w:rsidR="009143EA" w14:paraId="554F6944" w14:textId="77777777" w:rsidTr="00997579">
        <w:tc>
          <w:tcPr>
            <w:tcW w:w="620"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w:t>
            </w:r>
            <w:r>
              <w:rPr>
                <w:rFonts w:ascii="Calibri" w:hAnsi="Calibri" w:cs="Calibri"/>
                <w:sz w:val="22"/>
                <w:szCs w:val="22"/>
              </w:rPr>
              <w:lastRenderedPageBreak/>
              <w:t xml:space="preserve">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2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Remove clause 12.2.11.2.</w:t>
            </w:r>
          </w:p>
        </w:tc>
        <w:tc>
          <w:tcPr>
            <w:tcW w:w="2902"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r>
              <w:rPr>
                <w:rFonts w:ascii="Calibri" w:hAnsi="Calibri" w:cs="Calibri"/>
                <w:color w:val="000000"/>
                <w:szCs w:val="22"/>
              </w:rPr>
              <w:t xml:space="preserve">No it does not repeat 11aq.  The non-AP STA provides a </w:t>
            </w:r>
            <w:r>
              <w:rPr>
                <w:rFonts w:ascii="Calibri" w:hAnsi="Calibri" w:cs="Calibri"/>
                <w:color w:val="000000"/>
                <w:szCs w:val="22"/>
              </w:rPr>
              <w:lastRenderedPageBreak/>
              <w:t>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997579">
        <w:tc>
          <w:tcPr>
            <w:tcW w:w="620"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137</w:t>
            </w:r>
          </w:p>
        </w:tc>
        <w:tc>
          <w:tcPr>
            <w:tcW w:w="1158"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997579">
        <w:tc>
          <w:tcPr>
            <w:tcW w:w="620"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158"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02"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 ?</w:t>
            </w:r>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997579">
        <w:tc>
          <w:tcPr>
            <w:tcW w:w="620"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2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lastRenderedPageBreak/>
              <w:t>(see edits at end of this document)</w:t>
            </w:r>
          </w:p>
        </w:tc>
      </w:tr>
      <w:tr w:rsidR="009143EA" w14:paraId="4181A650" w14:textId="77777777" w:rsidTr="00997579">
        <w:tc>
          <w:tcPr>
            <w:tcW w:w="620"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164</w:t>
            </w:r>
          </w:p>
        </w:tc>
        <w:tc>
          <w:tcPr>
            <w:tcW w:w="1158"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field is a 48 bit MAC address" -- figure already shows it's 48 bits</w:t>
            </w:r>
          </w:p>
        </w:tc>
        <w:tc>
          <w:tcPr>
            <w:tcW w:w="222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"48 bit".  Also at 34.49.  Also delete "48-bit" at 33.20.  Change a to an where necessary</w:t>
            </w:r>
          </w:p>
        </w:tc>
        <w:tc>
          <w:tcPr>
            <w:tcW w:w="2902"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997579">
        <w:tc>
          <w:tcPr>
            <w:tcW w:w="620"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"but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(see edits at end of this document)</w:t>
            </w:r>
            <w:r>
              <w:rPr>
                <w:rFonts w:ascii="Calibri" w:hAnsi="Calibri" w:cs="Calibri"/>
                <w:color w:val="000000"/>
                <w:szCs w:val="22"/>
              </w:rPr>
              <w:t xml:space="preserve">  </w:t>
            </w:r>
          </w:p>
        </w:tc>
      </w:tr>
      <w:tr w:rsidR="009143EA" w14:paraId="75979A85" w14:textId="77777777" w:rsidTr="00997579">
        <w:tc>
          <w:tcPr>
            <w:tcW w:w="620"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158"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2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902"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word-smithing</w:t>
            </w:r>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(see edits at end of this document)</w:t>
            </w:r>
          </w:p>
        </w:tc>
      </w:tr>
      <w:tr w:rsidR="009143EA" w14:paraId="4D82BBCD" w14:textId="77777777" w:rsidTr="00997579">
        <w:tc>
          <w:tcPr>
            <w:tcW w:w="620"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158"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 xml:space="preserve">AP shall include an IRM KDE in message 3 of the 4-way handshake or, when using FILS </w:t>
            </w:r>
            <w:r>
              <w:rPr>
                <w:rFonts w:ascii="Calibri" w:hAnsi="Calibri" w:cs="Calibri"/>
                <w:sz w:val="22"/>
                <w:szCs w:val="22"/>
              </w:rPr>
              <w:lastRenderedPageBreak/>
              <w:t>authentication,</w:t>
            </w:r>
            <w:r>
              <w:rPr>
                <w:rFonts w:ascii="Calibri" w:hAnsi="Calibri" w:cs="Calibri"/>
                <w:sz w:val="22"/>
                <w:szCs w:val="22"/>
              </w:rPr>
              <w:br/>
              <w:t>including an IRM element in the Association Response frame. " -- already stated a few lines above</w:t>
            </w:r>
          </w:p>
        </w:tc>
        <w:tc>
          <w:tcPr>
            <w:tcW w:w="222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w:t>
            </w:r>
          </w:p>
        </w:tc>
        <w:tc>
          <w:tcPr>
            <w:tcW w:w="2902"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997579">
        <w:tc>
          <w:tcPr>
            <w:tcW w:w="620"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"and the IRM field is reserved." already stated in C9</w:t>
            </w:r>
          </w:p>
        </w:tc>
        <w:tc>
          <w:tcPr>
            <w:tcW w:w="222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Also at line 14</w:t>
            </w:r>
          </w:p>
        </w:tc>
        <w:tc>
          <w:tcPr>
            <w:tcW w:w="2902"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997579">
        <w:tc>
          <w:tcPr>
            <w:tcW w:w="620"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997579">
        <w:tc>
          <w:tcPr>
            <w:tcW w:w="620"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158"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3161E8D0"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  - </w:t>
      </w:r>
      <w:r>
        <w:rPr>
          <w:rFonts w:ascii="Calibri" w:hAnsi="Calibri" w:cs="Calibri"/>
          <w:sz w:val="22"/>
          <w:szCs w:val="22"/>
        </w:rPr>
        <w:t>What if the IRM and Device ID match to different devices?</w:t>
      </w:r>
    </w:p>
    <w:p w14:paraId="7EFAEED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E0D6585" w14:textId="77A2CED8"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At 27.57 add new line to Table 9.322aq</w:t>
      </w:r>
    </w:p>
    <w:tbl>
      <w:tblPr>
        <w:tblStyle w:val="TableGrid"/>
        <w:tblW w:w="0" w:type="auto"/>
        <w:tblLook w:val="04A0" w:firstRow="1" w:lastRow="0" w:firstColumn="1" w:lastColumn="0" w:noHBand="0" w:noVBand="1"/>
      </w:tblPr>
      <w:tblGrid>
        <w:gridCol w:w="1165"/>
        <w:gridCol w:w="2340"/>
        <w:gridCol w:w="4770"/>
      </w:tblGrid>
      <w:tr w:rsidR="00860524" w14:paraId="1845A39B" w14:textId="77777777" w:rsidTr="00860524">
        <w:tc>
          <w:tcPr>
            <w:tcW w:w="1165" w:type="dxa"/>
          </w:tcPr>
          <w:p w14:paraId="7068CE99" w14:textId="3413958A"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Device ID Status</w:t>
            </w:r>
          </w:p>
        </w:tc>
        <w:tc>
          <w:tcPr>
            <w:tcW w:w="2340" w:type="dxa"/>
          </w:tcPr>
          <w:p w14:paraId="7FCAABBB" w14:textId="3B1E70C1"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Name</w:t>
            </w:r>
          </w:p>
        </w:tc>
        <w:tc>
          <w:tcPr>
            <w:tcW w:w="4770" w:type="dxa"/>
          </w:tcPr>
          <w:p w14:paraId="1D2B115B" w14:textId="153DE45E"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Meaning</w:t>
            </w:r>
          </w:p>
        </w:tc>
      </w:tr>
      <w:tr w:rsidR="00860524" w14:paraId="0B88E27B" w14:textId="77777777" w:rsidTr="00860524">
        <w:tc>
          <w:tcPr>
            <w:tcW w:w="1165" w:type="dxa"/>
          </w:tcPr>
          <w:p w14:paraId="42A23917" w14:textId="1923B7B8"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0</w:t>
            </w:r>
          </w:p>
        </w:tc>
        <w:tc>
          <w:tcPr>
            <w:tcW w:w="2340" w:type="dxa"/>
          </w:tcPr>
          <w:p w14:paraId="647501A4" w14:textId="020045B4"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Recognized</w:t>
            </w:r>
          </w:p>
        </w:tc>
        <w:tc>
          <w:tcPr>
            <w:tcW w:w="4770" w:type="dxa"/>
          </w:tcPr>
          <w:p w14:paraId="77CCEC0F" w14:textId="3B775288" w:rsidR="00860524" w:rsidRPr="00860524" w:rsidRDefault="00860524" w:rsidP="00824E0B">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recognized by the AP.</w:t>
            </w:r>
          </w:p>
        </w:tc>
      </w:tr>
      <w:tr w:rsidR="00860524" w14:paraId="68FB9741" w14:textId="77777777" w:rsidTr="00860524">
        <w:tc>
          <w:tcPr>
            <w:tcW w:w="1165" w:type="dxa"/>
          </w:tcPr>
          <w:p w14:paraId="1D6532DF" w14:textId="0A4BD554"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1</w:t>
            </w:r>
          </w:p>
        </w:tc>
        <w:tc>
          <w:tcPr>
            <w:tcW w:w="2340" w:type="dxa"/>
          </w:tcPr>
          <w:p w14:paraId="4E5D529A" w14:textId="79968151"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Not Recognized</w:t>
            </w:r>
          </w:p>
        </w:tc>
        <w:tc>
          <w:tcPr>
            <w:tcW w:w="4770" w:type="dxa"/>
          </w:tcPr>
          <w:p w14:paraId="6D36C39F" w14:textId="5436A3DA" w:rsidR="00860524" w:rsidRPr="00860524" w:rsidRDefault="00860524" w:rsidP="00824E0B">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not recognized by the AP.</w:t>
            </w:r>
          </w:p>
        </w:tc>
      </w:tr>
      <w:tr w:rsidR="00860524" w:rsidRPr="00860524" w14:paraId="4AB7014E" w14:textId="77777777" w:rsidTr="00860524">
        <w:tc>
          <w:tcPr>
            <w:tcW w:w="1165" w:type="dxa"/>
          </w:tcPr>
          <w:p w14:paraId="16E6996B" w14:textId="1A43B5EF" w:rsidR="00860524" w:rsidRP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color w:val="FF0000"/>
                <w:sz w:val="22"/>
                <w:szCs w:val="22"/>
              </w:rPr>
            </w:pPr>
            <w:r w:rsidRPr="00860524">
              <w:rPr>
                <w:rFonts w:ascii="Calibri" w:hAnsi="Calibri" w:cs="Calibri"/>
                <w:color w:val="FF0000"/>
                <w:sz w:val="22"/>
                <w:szCs w:val="22"/>
              </w:rPr>
              <w:t>2</w:t>
            </w:r>
          </w:p>
        </w:tc>
        <w:tc>
          <w:tcPr>
            <w:tcW w:w="2340" w:type="dxa"/>
          </w:tcPr>
          <w:p w14:paraId="27985A91" w14:textId="6ADDDE99"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No agreement</w:t>
            </w:r>
          </w:p>
        </w:tc>
        <w:tc>
          <w:tcPr>
            <w:tcW w:w="4770" w:type="dxa"/>
          </w:tcPr>
          <w:p w14:paraId="1AD72519" w14:textId="308E1EB5"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Device ID does not correspond with IRM</w:t>
            </w:r>
          </w:p>
        </w:tc>
      </w:tr>
      <w:tr w:rsidR="00860524" w14:paraId="1E009CF0" w14:textId="77777777" w:rsidTr="00860524">
        <w:tc>
          <w:tcPr>
            <w:tcW w:w="1165" w:type="dxa"/>
          </w:tcPr>
          <w:p w14:paraId="69B9E347" w14:textId="6089F291"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sidRPr="00860524">
              <w:rPr>
                <w:rFonts w:ascii="Calibri" w:hAnsi="Calibri" w:cs="Calibri"/>
                <w:color w:val="FF0000"/>
                <w:sz w:val="22"/>
                <w:szCs w:val="22"/>
              </w:rPr>
              <w:t>3</w:t>
            </w:r>
            <w:r>
              <w:rPr>
                <w:rFonts w:ascii="Calibri" w:hAnsi="Calibri" w:cs="Calibri"/>
                <w:sz w:val="22"/>
                <w:szCs w:val="22"/>
              </w:rPr>
              <w:t>-255</w:t>
            </w:r>
          </w:p>
        </w:tc>
        <w:tc>
          <w:tcPr>
            <w:tcW w:w="2340" w:type="dxa"/>
          </w:tcPr>
          <w:p w14:paraId="1B5101BF" w14:textId="64CAA545"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Reserved</w:t>
            </w:r>
          </w:p>
        </w:tc>
        <w:tc>
          <w:tcPr>
            <w:tcW w:w="4770" w:type="dxa"/>
          </w:tcPr>
          <w:p w14:paraId="0DBCC5E5" w14:textId="77777777"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r>
    </w:tbl>
    <w:p w14:paraId="099C3AF1" w14:textId="778B3D02"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b/>
      </w:r>
    </w:p>
    <w:p w14:paraId="5CA4C4F4" w14:textId="23777F81" w:rsidR="00317C9A" w:rsidRPr="00860524"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 xml:space="preserve">Add at 31.29 </w:t>
      </w:r>
    </w:p>
    <w:p w14:paraId="1711F9AA" w14:textId="69F35AF8" w:rsidR="00317C9A"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r w:rsidR="00317C9A" w:rsidRPr="001D7E5C">
        <w:rPr>
          <w:rFonts w:ascii="Calibri" w:hAnsi="Calibri" w:cs="Calibri"/>
          <w:color w:val="FF0000"/>
          <w:sz w:val="22"/>
          <w:szCs w:val="22"/>
        </w:rPr>
        <w:t xml:space="preserve">If a non-AP STA associates or PASN authenticates with an IRM and </w:t>
      </w:r>
      <w:r w:rsidR="002C66FC" w:rsidRPr="001D7E5C">
        <w:rPr>
          <w:rFonts w:ascii="Calibri" w:hAnsi="Calibri" w:cs="Calibri"/>
          <w:color w:val="FF0000"/>
          <w:sz w:val="22"/>
          <w:szCs w:val="22"/>
        </w:rPr>
        <w:t xml:space="preserve">also provides </w:t>
      </w:r>
      <w:r w:rsidR="00317C9A" w:rsidRPr="001D7E5C">
        <w:rPr>
          <w:rFonts w:ascii="Calibri" w:hAnsi="Calibri" w:cs="Calibri"/>
          <w:color w:val="FF0000"/>
          <w:sz w:val="22"/>
          <w:szCs w:val="22"/>
        </w:rPr>
        <w:t xml:space="preserve">a device ID </w:t>
      </w:r>
      <w:r w:rsidR="002C66FC" w:rsidRPr="001D7E5C">
        <w:rPr>
          <w:rFonts w:ascii="Calibri" w:hAnsi="Calibri" w:cs="Calibri"/>
          <w:color w:val="FF0000"/>
          <w:sz w:val="22"/>
          <w:szCs w:val="22"/>
        </w:rPr>
        <w:t>that the AP does not recognize as corresponding to that non-AP STA, then the AP shall set Device ID status to 2 indicating “No agreement</w:t>
      </w:r>
      <w:r w:rsidR="002C66FC" w:rsidRPr="00AD4AF5">
        <w:rPr>
          <w:rFonts w:ascii="Calibri" w:hAnsi="Calibri" w:cs="Calibri"/>
          <w:color w:val="FF0000"/>
          <w:sz w:val="22"/>
          <w:szCs w:val="22"/>
        </w:rPr>
        <w:t>”</w:t>
      </w:r>
      <w:r w:rsidR="00BE48E5" w:rsidRPr="001D7E5C">
        <w:rPr>
          <w:rFonts w:ascii="Calibri" w:hAnsi="Calibri" w:cs="Calibri"/>
          <w:color w:val="FF0000"/>
          <w:sz w:val="22"/>
          <w:szCs w:val="22"/>
        </w:rPr>
        <w:t>.</w:t>
      </w:r>
      <w:r w:rsidR="00AD4AF5">
        <w:rPr>
          <w:rFonts w:ascii="Calibri" w:hAnsi="Calibri" w:cs="Calibri"/>
          <w:sz w:val="22"/>
          <w:szCs w:val="22"/>
        </w:rPr>
        <w:t>”</w:t>
      </w:r>
    </w:p>
    <w:p w14:paraId="60F354AA" w14:textId="77777777" w:rsidR="002C66FC" w:rsidRDefault="002C66FC"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448FD5FB" w14:textId="2AC78BA3" w:rsidR="002C66FC" w:rsidRDefault="002C66FC"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At 2</w:t>
      </w:r>
      <w:r>
        <w:rPr>
          <w:rFonts w:ascii="Calibri" w:hAnsi="Calibri" w:cs="Calibri"/>
          <w:sz w:val="22"/>
          <w:szCs w:val="22"/>
        </w:rPr>
        <w:t>8</w:t>
      </w:r>
      <w:r w:rsidRPr="00860524">
        <w:rPr>
          <w:rFonts w:ascii="Calibri" w:hAnsi="Calibri" w:cs="Calibri"/>
          <w:sz w:val="22"/>
          <w:szCs w:val="22"/>
        </w:rPr>
        <w:t>.57 add new line to Table 9.322a</w:t>
      </w:r>
      <w:r>
        <w:rPr>
          <w:rFonts w:ascii="Calibri" w:hAnsi="Calibri" w:cs="Calibri"/>
          <w:sz w:val="22"/>
          <w:szCs w:val="22"/>
        </w:rPr>
        <w:t>r</w:t>
      </w:r>
    </w:p>
    <w:tbl>
      <w:tblPr>
        <w:tblStyle w:val="TableGrid"/>
        <w:tblW w:w="0" w:type="auto"/>
        <w:tblLook w:val="04A0" w:firstRow="1" w:lastRow="0" w:firstColumn="1" w:lastColumn="0" w:noHBand="0" w:noVBand="1"/>
      </w:tblPr>
      <w:tblGrid>
        <w:gridCol w:w="1165"/>
        <w:gridCol w:w="2340"/>
        <w:gridCol w:w="4770"/>
      </w:tblGrid>
      <w:tr w:rsidR="002C66FC" w14:paraId="6FB531CB" w14:textId="77777777" w:rsidTr="0063374A">
        <w:tc>
          <w:tcPr>
            <w:tcW w:w="1165" w:type="dxa"/>
          </w:tcPr>
          <w:p w14:paraId="4CD9DCBF" w14:textId="6357F834"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IRM Status</w:t>
            </w:r>
          </w:p>
        </w:tc>
        <w:tc>
          <w:tcPr>
            <w:tcW w:w="2340" w:type="dxa"/>
          </w:tcPr>
          <w:p w14:paraId="5CF67569"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Name</w:t>
            </w:r>
          </w:p>
        </w:tc>
        <w:tc>
          <w:tcPr>
            <w:tcW w:w="4770" w:type="dxa"/>
          </w:tcPr>
          <w:p w14:paraId="760317CE"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Meaning</w:t>
            </w:r>
          </w:p>
        </w:tc>
      </w:tr>
      <w:tr w:rsidR="002C66FC" w14:paraId="0C58E65F" w14:textId="77777777" w:rsidTr="0063374A">
        <w:tc>
          <w:tcPr>
            <w:tcW w:w="1165" w:type="dxa"/>
          </w:tcPr>
          <w:p w14:paraId="1544319C"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0</w:t>
            </w:r>
          </w:p>
        </w:tc>
        <w:tc>
          <w:tcPr>
            <w:tcW w:w="2340" w:type="dxa"/>
          </w:tcPr>
          <w:p w14:paraId="742FE0B2"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Recognized</w:t>
            </w:r>
          </w:p>
        </w:tc>
        <w:tc>
          <w:tcPr>
            <w:tcW w:w="4770" w:type="dxa"/>
          </w:tcPr>
          <w:p w14:paraId="6BCC0140" w14:textId="202C6BD4" w:rsidR="002C66FC" w:rsidRPr="00860524" w:rsidRDefault="002C66FC" w:rsidP="0063374A">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 xml:space="preserve">Indicates the </w:t>
            </w:r>
            <w:r>
              <w:rPr>
                <w:rFonts w:asciiTheme="minorHAnsi" w:eastAsia="TimesNewRoman" w:hAnsiTheme="minorHAnsi" w:cstheme="minorHAnsi"/>
                <w:sz w:val="22"/>
                <w:szCs w:val="22"/>
                <w:lang w:eastAsia="ja-JP"/>
              </w:rPr>
              <w:t>IRM</w:t>
            </w:r>
            <w:r w:rsidRPr="00860524">
              <w:rPr>
                <w:rFonts w:asciiTheme="minorHAnsi" w:eastAsia="TimesNewRoman" w:hAnsiTheme="minorHAnsi" w:cstheme="minorHAnsi"/>
                <w:sz w:val="22"/>
                <w:szCs w:val="22"/>
                <w:lang w:eastAsia="ja-JP"/>
              </w:rPr>
              <w:t xml:space="preserve"> was recognized by the AP.</w:t>
            </w:r>
          </w:p>
        </w:tc>
      </w:tr>
      <w:tr w:rsidR="002C66FC" w14:paraId="4CFCB43B" w14:textId="77777777" w:rsidTr="0063374A">
        <w:tc>
          <w:tcPr>
            <w:tcW w:w="1165" w:type="dxa"/>
          </w:tcPr>
          <w:p w14:paraId="498A7033"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1</w:t>
            </w:r>
          </w:p>
        </w:tc>
        <w:tc>
          <w:tcPr>
            <w:tcW w:w="2340" w:type="dxa"/>
          </w:tcPr>
          <w:p w14:paraId="5EFF3C60"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Not Recognized</w:t>
            </w:r>
          </w:p>
        </w:tc>
        <w:tc>
          <w:tcPr>
            <w:tcW w:w="4770" w:type="dxa"/>
          </w:tcPr>
          <w:p w14:paraId="00BC25A4" w14:textId="7B9FD34A" w:rsidR="002C66FC" w:rsidRPr="00860524" w:rsidRDefault="002C66FC" w:rsidP="0063374A">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 xml:space="preserve">Indicates the </w:t>
            </w:r>
            <w:r>
              <w:rPr>
                <w:rFonts w:asciiTheme="minorHAnsi" w:eastAsia="TimesNewRoman" w:hAnsiTheme="minorHAnsi" w:cstheme="minorHAnsi"/>
                <w:sz w:val="22"/>
                <w:szCs w:val="22"/>
                <w:lang w:eastAsia="ja-JP"/>
              </w:rPr>
              <w:t>IRM</w:t>
            </w:r>
            <w:r w:rsidRPr="00860524">
              <w:rPr>
                <w:rFonts w:asciiTheme="minorHAnsi" w:eastAsia="TimesNewRoman" w:hAnsiTheme="minorHAnsi" w:cstheme="minorHAnsi"/>
                <w:sz w:val="22"/>
                <w:szCs w:val="22"/>
                <w:lang w:eastAsia="ja-JP"/>
              </w:rPr>
              <w:t xml:space="preserve"> was not recognized by the AP.</w:t>
            </w:r>
          </w:p>
        </w:tc>
      </w:tr>
      <w:tr w:rsidR="002C66FC" w:rsidRPr="00860524" w14:paraId="177E95BC" w14:textId="77777777" w:rsidTr="0063374A">
        <w:tc>
          <w:tcPr>
            <w:tcW w:w="1165" w:type="dxa"/>
          </w:tcPr>
          <w:p w14:paraId="159B295C" w14:textId="77777777" w:rsidR="002C66FC" w:rsidRPr="00860524"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color w:val="FF0000"/>
                <w:sz w:val="22"/>
                <w:szCs w:val="22"/>
              </w:rPr>
            </w:pPr>
            <w:r w:rsidRPr="00860524">
              <w:rPr>
                <w:rFonts w:ascii="Calibri" w:hAnsi="Calibri" w:cs="Calibri"/>
                <w:color w:val="FF0000"/>
                <w:sz w:val="22"/>
                <w:szCs w:val="22"/>
              </w:rPr>
              <w:t>2</w:t>
            </w:r>
          </w:p>
        </w:tc>
        <w:tc>
          <w:tcPr>
            <w:tcW w:w="2340" w:type="dxa"/>
          </w:tcPr>
          <w:p w14:paraId="7C8E58E7" w14:textId="77777777" w:rsidR="002C66FC" w:rsidRPr="00860524" w:rsidRDefault="002C66FC" w:rsidP="0063374A">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No agreement</w:t>
            </w:r>
          </w:p>
        </w:tc>
        <w:tc>
          <w:tcPr>
            <w:tcW w:w="4770" w:type="dxa"/>
          </w:tcPr>
          <w:p w14:paraId="7BF595BE" w14:textId="6077BE19" w:rsidR="002C66FC" w:rsidRPr="00860524" w:rsidRDefault="002C66FC" w:rsidP="0063374A">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Pr>
                <w:rFonts w:ascii="Calibri" w:hAnsi="Calibri" w:cs="Calibri"/>
                <w:color w:val="FF0000"/>
                <w:sz w:val="22"/>
                <w:szCs w:val="22"/>
              </w:rPr>
              <w:t>IRM</w:t>
            </w:r>
            <w:r w:rsidRPr="00860524">
              <w:rPr>
                <w:rFonts w:ascii="Calibri" w:hAnsi="Calibri" w:cs="Calibri"/>
                <w:color w:val="FF0000"/>
                <w:sz w:val="22"/>
                <w:szCs w:val="22"/>
              </w:rPr>
              <w:t xml:space="preserve"> does not correspond with </w:t>
            </w:r>
            <w:r>
              <w:rPr>
                <w:rFonts w:ascii="Calibri" w:hAnsi="Calibri" w:cs="Calibri"/>
                <w:color w:val="FF0000"/>
                <w:sz w:val="22"/>
                <w:szCs w:val="22"/>
              </w:rPr>
              <w:t>Device ID</w:t>
            </w:r>
          </w:p>
        </w:tc>
      </w:tr>
      <w:tr w:rsidR="002C66FC" w14:paraId="089D23DC" w14:textId="77777777" w:rsidTr="0063374A">
        <w:tc>
          <w:tcPr>
            <w:tcW w:w="1165" w:type="dxa"/>
          </w:tcPr>
          <w:p w14:paraId="6E42FC93"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sidRPr="00860524">
              <w:rPr>
                <w:rFonts w:ascii="Calibri" w:hAnsi="Calibri" w:cs="Calibri"/>
                <w:color w:val="FF0000"/>
                <w:sz w:val="22"/>
                <w:szCs w:val="22"/>
              </w:rPr>
              <w:t>3</w:t>
            </w:r>
            <w:r>
              <w:rPr>
                <w:rFonts w:ascii="Calibri" w:hAnsi="Calibri" w:cs="Calibri"/>
                <w:sz w:val="22"/>
                <w:szCs w:val="22"/>
              </w:rPr>
              <w:t>-255</w:t>
            </w:r>
          </w:p>
        </w:tc>
        <w:tc>
          <w:tcPr>
            <w:tcW w:w="2340" w:type="dxa"/>
          </w:tcPr>
          <w:p w14:paraId="1AE084D9"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Reserved</w:t>
            </w:r>
          </w:p>
        </w:tc>
        <w:tc>
          <w:tcPr>
            <w:tcW w:w="4770" w:type="dxa"/>
          </w:tcPr>
          <w:p w14:paraId="32552C9C"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r>
    </w:tbl>
    <w:p w14:paraId="1D18E4B7" w14:textId="77777777" w:rsidR="002C66FC" w:rsidRDefault="002C66FC"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58A0F77" w14:textId="19FEE5DA" w:rsidR="002C66FC" w:rsidRPr="00860524" w:rsidRDefault="002C66FC"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Add at 3</w:t>
      </w:r>
      <w:r>
        <w:rPr>
          <w:rFonts w:ascii="Calibri" w:hAnsi="Calibri" w:cs="Calibri"/>
          <w:sz w:val="22"/>
          <w:szCs w:val="22"/>
        </w:rPr>
        <w:t>3</w:t>
      </w:r>
      <w:r w:rsidRPr="00860524">
        <w:rPr>
          <w:rFonts w:ascii="Calibri" w:hAnsi="Calibri" w:cs="Calibri"/>
          <w:sz w:val="22"/>
          <w:szCs w:val="22"/>
        </w:rPr>
        <w:t>.</w:t>
      </w:r>
      <w:r>
        <w:rPr>
          <w:rFonts w:ascii="Calibri" w:hAnsi="Calibri" w:cs="Calibri"/>
          <w:sz w:val="22"/>
          <w:szCs w:val="22"/>
        </w:rPr>
        <w:t>16</w:t>
      </w:r>
      <w:r w:rsidRPr="00860524">
        <w:rPr>
          <w:rFonts w:ascii="Calibri" w:hAnsi="Calibri" w:cs="Calibri"/>
          <w:sz w:val="22"/>
          <w:szCs w:val="22"/>
        </w:rPr>
        <w:t xml:space="preserve"> </w:t>
      </w:r>
    </w:p>
    <w:p w14:paraId="401610A9" w14:textId="7C89FE13" w:rsidR="000B73CF" w:rsidRDefault="002C66FC"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r w:rsidRPr="001D7E5C">
        <w:rPr>
          <w:rFonts w:ascii="Calibri" w:hAnsi="Calibri" w:cs="Calibri"/>
          <w:color w:val="FF0000"/>
          <w:sz w:val="22"/>
          <w:szCs w:val="22"/>
        </w:rPr>
        <w:t>If a non-AP STA associates or PASN authenticates with an IRM and also provides a device ID that the AP does not recognize as corresponding to that non-AP STA, then the AP shall set IRM status to 2 indicating “No agreement</w:t>
      </w:r>
      <w:r w:rsidRPr="00AD4AF5">
        <w:rPr>
          <w:rFonts w:ascii="Calibri" w:hAnsi="Calibri" w:cs="Calibri"/>
          <w:color w:val="FF0000"/>
          <w:sz w:val="22"/>
          <w:szCs w:val="22"/>
        </w:rPr>
        <w:t>”</w:t>
      </w:r>
      <w:r w:rsidR="00294562">
        <w:rPr>
          <w:rFonts w:ascii="Calibri" w:hAnsi="Calibri" w:cs="Calibri"/>
          <w:sz w:val="22"/>
          <w:szCs w:val="22"/>
        </w:rPr>
        <w:t>.”</w:t>
      </w:r>
    </w:p>
    <w:p w14:paraId="2E8B0F8C" w14:textId="77777777" w:rsidR="000B73CF" w:rsidRDefault="000B73CF"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C8027D6" w14:textId="7AEFFA53" w:rsidR="002C66FC" w:rsidRDefault="000B73CF"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___________________________________________________________________________________________</w:t>
      </w:r>
      <w:r w:rsidR="002C66FC">
        <w:rPr>
          <w:rFonts w:ascii="Calibri" w:hAnsi="Calibri" w:cs="Calibri"/>
          <w:sz w:val="22"/>
          <w:szCs w:val="22"/>
        </w:rPr>
        <w:t xml:space="preserve"> </w:t>
      </w:r>
    </w:p>
    <w:p w14:paraId="4F387FC2" w14:textId="77777777" w:rsidR="002C66FC" w:rsidRDefault="002C66FC"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B5D0BED"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3BE852E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DE6AFD1" w14:textId="77777777" w:rsidR="00E679B1" w:rsidRDefault="00E679B1">
      <w:pPr>
        <w:rPr>
          <w:rFonts w:ascii="Calibri" w:hAnsi="Calibri" w:cs="Calibri"/>
          <w:b/>
          <w:bCs/>
          <w:color w:val="000000"/>
          <w:w w:val="0"/>
          <w:szCs w:val="22"/>
          <w:lang w:val="en-US"/>
        </w:rPr>
      </w:pPr>
      <w:r>
        <w:rPr>
          <w:rFonts w:ascii="Calibri" w:hAnsi="Calibri" w:cs="Calibri"/>
          <w:b/>
          <w:bCs/>
          <w:szCs w:val="22"/>
        </w:rPr>
        <w:br w:type="page"/>
      </w: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24E0B">
        <w:rPr>
          <w:rFonts w:ascii="Calibri" w:hAnsi="Calibri" w:cs="Calibri"/>
          <w:b/>
          <w:bCs/>
          <w:sz w:val="22"/>
          <w:szCs w:val="22"/>
        </w:rPr>
        <w:lastRenderedPageBreak/>
        <w:t>CID 49</w:t>
      </w:r>
      <w:r>
        <w:rPr>
          <w:rFonts w:ascii="Calibri" w:hAnsi="Calibri" w:cs="Calibri"/>
          <w:b/>
          <w:bCs/>
          <w:sz w:val="22"/>
          <w:szCs w:val="22"/>
        </w:rPr>
        <w:t xml:space="preserve"> (reprinted here to aid word</w:t>
      </w:r>
      <w:r w:rsidR="002955FB">
        <w:rPr>
          <w:rFonts w:ascii="Calibri" w:hAnsi="Calibri" w:cs="Calibri"/>
          <w:b/>
          <w:bCs/>
          <w:sz w:val="22"/>
          <w:szCs w:val="22"/>
        </w:rPr>
        <w:t xml:space="preserve"> </w:t>
      </w:r>
      <w:r>
        <w:rPr>
          <w:rFonts w:ascii="Calibri" w:hAnsi="Calibri" w:cs="Calibri"/>
          <w:b/>
          <w:bCs/>
          <w:sz w:val="22"/>
          <w:szCs w:val="22"/>
        </w:rPr>
        <w:t>smithing</w:t>
      </w:r>
      <w:r w:rsidR="002955FB">
        <w:rPr>
          <w:rFonts w:ascii="Calibri" w:hAnsi="Calibri" w:cs="Calibri"/>
          <w:b/>
          <w:bCs/>
          <w:sz w:val="22"/>
          <w:szCs w:val="22"/>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are not mutual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CIDS 2,3,4,5</w:t>
      </w:r>
      <w:r w:rsidR="006B1265">
        <w:rPr>
          <w:rFonts w:eastAsia="TimesNewRoman"/>
          <w:sz w:val="24"/>
          <w:szCs w:val="24"/>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CID 6</w:t>
      </w:r>
      <w:r w:rsidR="006B1265">
        <w:rPr>
          <w:rFonts w:eastAsia="TimesNewRoman"/>
          <w:sz w:val="24"/>
          <w:szCs w:val="32"/>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r w:rsidRPr="00883F4F">
        <w:rPr>
          <w:rFonts w:eastAsia="TimesNewRoman"/>
          <w:strike/>
          <w:color w:val="FF0000"/>
          <w:sz w:val="24"/>
          <w:szCs w:val="24"/>
          <w:lang w:val="en-US" w:eastAsia="ja-JP"/>
        </w:rPr>
        <w:t xml:space="preserve">indicates the current status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Editor - Also delete table 12-11a and text to line 52</w:t>
      </w:r>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seems pretty clear</w:t>
      </w:r>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Pr>
          <w:rFonts w:eastAsia="TimesNewRoman"/>
          <w:sz w:val="24"/>
          <w:szCs w:val="24"/>
          <w:lang w:val="en-US" w:eastAsia="ja-JP"/>
        </w:rPr>
        <w:t>CID 57</w:t>
      </w:r>
      <w:r>
        <w:rPr>
          <w:rFonts w:eastAsia="TimesNewRoman"/>
          <w:sz w:val="24"/>
          <w:szCs w:val="24"/>
          <w:lang w:val="en-US" w:eastAsia="ja-JP"/>
        </w:rPr>
        <w:tab/>
        <w:t xml:space="preserve"> 32.47</w:t>
      </w:r>
      <w:r w:rsidR="00D21E10">
        <w:rPr>
          <w:rFonts w:eastAsia="TimesNewRoman"/>
          <w:sz w:val="24"/>
          <w:szCs w:val="24"/>
          <w:lang w:val="en-US" w:eastAsia="ja-JP"/>
        </w:rPr>
        <w:t xml:space="preserve">  REJECT</w:t>
      </w:r>
      <w:r w:rsidR="004D58F9">
        <w:rPr>
          <w:rFonts w:eastAsia="TimesNewRoman"/>
          <w:sz w:val="24"/>
          <w:szCs w:val="24"/>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during the RSN association</w:t>
      </w:r>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58 32.54</w:t>
      </w:r>
      <w:r w:rsidR="00D21E10">
        <w:rPr>
          <w:rFonts w:eastAsia="TimesNewRoman"/>
          <w:sz w:val="24"/>
          <w:szCs w:val="24"/>
          <w:lang w:val="en-US" w:eastAsia="ja-JP"/>
        </w:rPr>
        <w:t xml:space="preserve">  REVISE</w:t>
      </w:r>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When associating to an AP that advertises support for IRM, the non-AP STA may allocate a new IRM to the AP</w:t>
      </w:r>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the AP</w:t>
      </w:r>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a new IRM to the AP</w:t>
      </w:r>
      <w:r>
        <w:rPr>
          <w:rFonts w:eastAsia="TimesNewRoman"/>
          <w:sz w:val="24"/>
          <w:szCs w:val="24"/>
          <w:lang w:val="en-US" w:eastAsia="ja-JP"/>
        </w:rPr>
        <w:t>”</w:t>
      </w:r>
    </w:p>
    <w:p w14:paraId="1EB332F3" w14:textId="635904D8"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_____________________________________________________________________________________</w:t>
      </w:r>
      <w:r w:rsidR="00C66198">
        <w:rPr>
          <w:rFonts w:eastAsia="TimesNewRoman"/>
          <w:sz w:val="24"/>
          <w:szCs w:val="24"/>
          <w:lang w:val="en-US" w:eastAsia="ja-JP"/>
        </w:rPr>
        <w:t>CID 59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STA may allocate a new IRM to the AP by including the IRM element</w:t>
      </w:r>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IRM by including the IRM element</w:t>
      </w:r>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a new IRM to the AP by including the IRM element</w:t>
      </w:r>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60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61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Pr>
          <w:rFonts w:eastAsia="TimesNewRoman"/>
          <w:sz w:val="24"/>
          <w:szCs w:val="24"/>
          <w:lang w:val="en-US" w:eastAsia="ja-JP"/>
        </w:rPr>
        <w:t>CID 62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address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address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address </w:t>
      </w:r>
    </w:p>
    <w:p w14:paraId="417D67F2" w14:textId="78EE2FAF" w:rsidR="00D21E10" w:rsidRPr="00C66198"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sectPr w:rsidR="00D21E10"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665E" w14:textId="77777777" w:rsidR="00AF3A74" w:rsidRDefault="00AF3A74">
      <w:r>
        <w:separator/>
      </w:r>
    </w:p>
  </w:endnote>
  <w:endnote w:type="continuationSeparator" w:id="0">
    <w:p w14:paraId="341A19AA" w14:textId="77777777" w:rsidR="00AF3A74" w:rsidRDefault="00AF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00"/>
    <w:family w:val="auto"/>
    <w:pitch w:val="default"/>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C738" w14:textId="77777777" w:rsidR="00AF3A74" w:rsidRDefault="00AF3A74">
      <w:r>
        <w:separator/>
      </w:r>
    </w:p>
  </w:footnote>
  <w:footnote w:type="continuationSeparator" w:id="0">
    <w:p w14:paraId="31D488DC" w14:textId="77777777" w:rsidR="00AF3A74" w:rsidRDefault="00AF3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9BEEEBD"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E1281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52</TotalTime>
  <Pages>23</Pages>
  <Words>5459</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5</cp:revision>
  <cp:lastPrinted>1901-01-01T05:00:00Z</cp:lastPrinted>
  <dcterms:created xsi:type="dcterms:W3CDTF">2023-08-08T14:49:00Z</dcterms:created>
  <dcterms:modified xsi:type="dcterms:W3CDTF">2023-08-08T15:30:00Z</dcterms:modified>
</cp:coreProperties>
</file>