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458C9189" w:rsidR="005E768D" w:rsidRPr="004D2D75" w:rsidRDefault="003206DE">
      <w:pPr>
        <w:pStyle w:val="T1"/>
        <w:pBdr>
          <w:bottom w:val="single" w:sz="6" w:space="0" w:color="auto"/>
        </w:pBdr>
        <w:spacing w:after="240"/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3CB8150E">
                  <wp:simplePos x="0" y="0"/>
                  <wp:positionH relativeFrom="margin">
                    <wp:align>left</wp:align>
                  </wp:positionH>
                  <wp:positionV relativeFrom="paragraph">
                    <wp:posOffset>-5080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1FA41482" w14:textId="11B194C0" w:rsidR="000F23CD" w:rsidRDefault="008F2AAA" w:rsidP="009A380E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16282</w:t>
                              </w:r>
                              <w:r w:rsidR="006C6748">
                                <w:rPr>
                                  <w:lang w:eastAsia="ko-KR"/>
                                </w:rPr>
                                <w:t>, 16</w:t>
                              </w:r>
                              <w:r w:rsidR="005F7F00">
                                <w:rPr>
                                  <w:lang w:eastAsia="ko-KR"/>
                                </w:rPr>
                                <w:t>400</w:t>
                              </w:r>
                              <w:r w:rsidR="006C6748">
                                <w:rPr>
                                  <w:lang w:eastAsia="ko-KR"/>
                                </w:rPr>
                                <w:t>, 1</w:t>
                              </w:r>
                              <w:r w:rsidR="005F7F00">
                                <w:rPr>
                                  <w:lang w:eastAsia="ko-KR"/>
                                </w:rPr>
                                <w:t>6403, 16685, 18212, 18334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0FBB6FFD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24C3EC6B" w14:textId="658DD1D1" w:rsidR="00DD4E56" w:rsidRDefault="004942DA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 xml:space="preserve">Rev 1: </w:t>
                              </w:r>
                              <w:r w:rsidR="008A7B76">
                                <w:t>modification on CR for 18334.</w:t>
                              </w:r>
                            </w:p>
                            <w:p w14:paraId="0CB72415" w14:textId="1DBBB621" w:rsidR="003847FE" w:rsidRDefault="003847FE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ying Lu" w:date="2023-05-12T14:17:00Z"/>
                                </w:rPr>
                              </w:pPr>
                              <w:r>
                                <w:t xml:space="preserve">Rev 2: </w:t>
                              </w:r>
                              <w:r w:rsidR="00074EBC">
                                <w:t>modifications on CRs for 16400, 16685, 18212, 18334</w:t>
                              </w:r>
                            </w:p>
                            <w:p w14:paraId="4A03064F" w14:textId="5F6E95CE" w:rsidR="002121DC" w:rsidRDefault="002121DC" w:rsidP="00A07FC7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-.4pt;width:468pt;height:3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1FA41482" w14:textId="11B194C0" w:rsidR="000F23CD" w:rsidRDefault="008F2AAA" w:rsidP="009A380E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16282</w:t>
                        </w:r>
                        <w:r w:rsidR="006C6748">
                          <w:rPr>
                            <w:lang w:eastAsia="ko-KR"/>
                          </w:rPr>
                          <w:t>, 16</w:t>
                        </w:r>
                        <w:r w:rsidR="005F7F00">
                          <w:rPr>
                            <w:lang w:eastAsia="ko-KR"/>
                          </w:rPr>
                          <w:t>400</w:t>
                        </w:r>
                        <w:r w:rsidR="006C6748">
                          <w:rPr>
                            <w:lang w:eastAsia="ko-KR"/>
                          </w:rPr>
                          <w:t>, 1</w:t>
                        </w:r>
                        <w:r w:rsidR="005F7F00">
                          <w:rPr>
                            <w:lang w:eastAsia="ko-KR"/>
                          </w:rPr>
                          <w:t>6403, 16685, 18212, 18334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0FBB6FFD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24C3EC6B" w14:textId="658DD1D1" w:rsidR="00DD4E56" w:rsidRDefault="004942DA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 xml:space="preserve">Rev 1: </w:t>
                        </w:r>
                        <w:r w:rsidR="008A7B76">
                          <w:t>modification on CR for 18334.</w:t>
                        </w:r>
                      </w:p>
                      <w:p w14:paraId="0CB72415" w14:textId="1DBBB621" w:rsidR="003847FE" w:rsidRDefault="003847FE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ying Lu" w:date="2023-05-12T14:17:00Z"/>
                          </w:rPr>
                        </w:pPr>
                        <w:r>
                          <w:t xml:space="preserve">Rev 2: </w:t>
                        </w:r>
                        <w:r w:rsidR="00074EBC">
                          <w:t>modifications on CRs for 16400, 16685, 18212, 18334</w:t>
                        </w:r>
                      </w:p>
                      <w:p w14:paraId="4A03064F" w14:textId="5F6E95CE" w:rsidR="002121DC" w:rsidRDefault="002121DC" w:rsidP="00A07FC7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5E768D" w:rsidRPr="004D2D75">
        <w:t>IEEE P802.11</w:t>
      </w:r>
      <w:r w:rsidR="005E768D" w:rsidRPr="004D2D75">
        <w:br/>
        <w:t>Wireless LANs</w:t>
      </w:r>
    </w:p>
    <w:p w14:paraId="0AB1B459" w14:textId="10251211" w:rsidR="003E4403" w:rsidRDefault="003E4403">
      <w:pPr>
        <w:pStyle w:val="T1"/>
        <w:spacing w:after="120"/>
        <w:rPr>
          <w:sz w:val="22"/>
        </w:rPr>
      </w:pPr>
      <w:bookmarkStart w:id="5" w:name="_Hlk116300747"/>
      <w:bookmarkEnd w:id="5"/>
    </w:p>
    <w:p w14:paraId="5E606FE7" w14:textId="79F16E8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8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9C4B02">
        <w:rPr>
          <w:sz w:val="22"/>
          <w:lang w:eastAsia="ko-KR"/>
        </w:rPr>
        <w:t>TGbe</w:t>
      </w:r>
      <w:proofErr w:type="spellEnd"/>
      <w:r w:rsidRPr="009C4B02">
        <w:rPr>
          <w:sz w:val="22"/>
          <w:lang w:eastAsia="ko-KR"/>
        </w:rPr>
        <w:t xml:space="preserve">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9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D105A" w:rsidRPr="00C845AD" w14:paraId="776E4E4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3AE" w14:textId="05A34C4B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</w:t>
            </w:r>
            <w:r w:rsidR="005F7F00">
              <w:rPr>
                <w:rFonts w:ascii="Calibri" w:hAnsi="Calibri" w:cs="Calibri"/>
                <w:szCs w:val="18"/>
              </w:rPr>
              <w:t>6282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385" w14:textId="7D33691A" w:rsidR="008D105A" w:rsidRPr="008D105A" w:rsidRDefault="0078111F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8111F">
              <w:rPr>
                <w:rFonts w:ascii="Calibri" w:hAnsi="Calibri" w:cs="Calibri"/>
                <w:szCs w:val="18"/>
              </w:rPr>
              <w:t>Ryuichi Hirata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7215" w14:textId="6164B21B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Pr="00E56DEA">
              <w:rPr>
                <w:rFonts w:ascii="Calibri" w:hAnsi="Calibri" w:cs="Calibri"/>
                <w:szCs w:val="18"/>
              </w:rPr>
              <w:t>.</w:t>
            </w:r>
            <w:r w:rsidR="009A380E">
              <w:rPr>
                <w:rFonts w:ascii="Calibri" w:hAnsi="Calibri" w:cs="Calibr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E2A" w14:textId="2569E9A4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5F7F00">
              <w:rPr>
                <w:rFonts w:ascii="Calibri" w:hAnsi="Calibri" w:cs="Calibri"/>
                <w:szCs w:val="18"/>
              </w:rPr>
              <w:t>3.23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7D03" w14:textId="1E9FCE5E" w:rsidR="008D105A" w:rsidRPr="008D105A" w:rsidRDefault="005F7F00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</w:t>
            </w:r>
            <w:r w:rsidRPr="005F7F00">
              <w:rPr>
                <w:rFonts w:ascii="Calibri" w:hAnsi="Calibri" w:cs="Calibri"/>
                <w:szCs w:val="18"/>
              </w:rPr>
              <w:t xml:space="preserve">onsidering the green communication, power save </w:t>
            </w:r>
            <w:proofErr w:type="spellStart"/>
            <w:r w:rsidRPr="005F7F00">
              <w:rPr>
                <w:rFonts w:ascii="Calibri" w:hAnsi="Calibri" w:cs="Calibri"/>
                <w:szCs w:val="18"/>
              </w:rPr>
              <w:t>mechnism</w:t>
            </w:r>
            <w:proofErr w:type="spellEnd"/>
            <w:r w:rsidRPr="005F7F00">
              <w:rPr>
                <w:rFonts w:ascii="Calibri" w:hAnsi="Calibri" w:cs="Calibri"/>
                <w:szCs w:val="18"/>
              </w:rPr>
              <w:t xml:space="preserve"> should be defined for not only NSTR mobile AP MLD but also general 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DF4A" w14:textId="3530D130" w:rsidR="008D105A" w:rsidRPr="008D105A" w:rsidRDefault="005F7F00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168" w14:textId="4B6DABC9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07FC7">
              <w:rPr>
                <w:rFonts w:ascii="Calibri" w:hAnsi="Calibri" w:cs="Calibri"/>
                <w:szCs w:val="18"/>
              </w:rPr>
              <w:t>ject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6DF18EEB" w14:textId="77777777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704B9A4" w14:textId="41A3C2F6" w:rsidR="008D105A" w:rsidRPr="001064C9" w:rsidRDefault="00A07FC7" w:rsidP="008D105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TID-to-Link mapping mechanism can be utilized for power save purpose. The commenter failed to identify the issue. </w:t>
            </w:r>
          </w:p>
          <w:p w14:paraId="2707F5D2" w14:textId="2AF0AB8A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60132" w:rsidRPr="00C845AD" w14:paraId="209BB92E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D7FE" w14:textId="5A8E0CF6" w:rsidR="00060132" w:rsidRPr="00DD4E56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highlight w:val="yellow"/>
              </w:rPr>
            </w:pPr>
            <w:bookmarkStart w:id="10" w:name="_Hlk140021493"/>
            <w:r w:rsidRPr="00DD4E56">
              <w:rPr>
                <w:rFonts w:ascii="Calibri" w:hAnsi="Calibri" w:cs="Calibri"/>
                <w:szCs w:val="18"/>
                <w:highlight w:val="yellow"/>
              </w:rPr>
              <w:t>16</w:t>
            </w:r>
            <w:r w:rsidR="005F7F00" w:rsidRPr="00DD4E56">
              <w:rPr>
                <w:rFonts w:ascii="Calibri" w:hAnsi="Calibri" w:cs="Calibri"/>
                <w:szCs w:val="18"/>
                <w:highlight w:val="yellow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E0DA" w14:textId="734987C1" w:rsidR="00060132" w:rsidRPr="008D105A" w:rsidRDefault="0078111F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Liuming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1BC0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="003206DE">
              <w:rPr>
                <w:rFonts w:ascii="Calibri" w:hAnsi="Calibri" w:cs="Calibri"/>
                <w:szCs w:val="18"/>
              </w:rPr>
              <w:t>.1</w:t>
            </w:r>
          </w:p>
          <w:p w14:paraId="18DFC776" w14:textId="34E4FC55" w:rsidR="003206DE" w:rsidRPr="00E56DEA" w:rsidRDefault="003206DE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A6F9" w14:textId="3BAB526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5F7F00">
              <w:rPr>
                <w:rFonts w:ascii="Calibri" w:hAnsi="Calibri" w:cs="Calibri"/>
                <w:szCs w:val="18"/>
              </w:rPr>
              <w:t>3</w:t>
            </w:r>
            <w:r>
              <w:rPr>
                <w:rFonts w:ascii="Calibri" w:hAnsi="Calibri" w:cs="Calibri"/>
                <w:szCs w:val="18"/>
              </w:rPr>
              <w:t>.50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85A2" w14:textId="532C7DD2" w:rsidR="00060132" w:rsidRPr="008D105A" w:rsidRDefault="005F7F00" w:rsidP="00060132">
            <w:pPr>
              <w:rPr>
                <w:rFonts w:ascii="Calibri" w:hAnsi="Calibri" w:cs="Calibri"/>
                <w:szCs w:val="18"/>
              </w:rPr>
            </w:pPr>
            <w:r w:rsidRPr="005F7F00">
              <w:rPr>
                <w:rFonts w:ascii="Calibri" w:hAnsi="Calibri" w:cs="Calibri"/>
                <w:szCs w:val="18"/>
              </w:rPr>
              <w:t>The channel access rules for the APs affiliated with an NSTR mobile AP MLD and STAs affiliated with a non-AP MLD associated with an NSTR mobile AP MLD need to be clarified, such as the TXOP rules, error recovery mechanism.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7642" w14:textId="44A79CC2" w:rsidR="00060132" w:rsidRPr="008D105A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8B86" w14:textId="2B248BB6" w:rsidR="00060132" w:rsidRDefault="00A02918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07FC7">
              <w:rPr>
                <w:rFonts w:ascii="Calibri" w:hAnsi="Calibri" w:cs="Calibri"/>
                <w:szCs w:val="18"/>
              </w:rPr>
              <w:t>ject</w:t>
            </w:r>
            <w:r w:rsidR="00060132">
              <w:rPr>
                <w:rFonts w:ascii="Calibri" w:hAnsi="Calibri" w:cs="Calibri"/>
                <w:szCs w:val="18"/>
              </w:rPr>
              <w:t>ed</w:t>
            </w:r>
          </w:p>
          <w:p w14:paraId="34107FF0" w14:textId="77777777" w:rsidR="005D76C2" w:rsidRDefault="005D76C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15E37A0" w14:textId="0F5F578F" w:rsidR="00060132" w:rsidRPr="001064C9" w:rsidRDefault="00074EBC" w:rsidP="0006013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</w:rPr>
              <w:t>The group could not reach consensus on a resolution that would address the comment</w:t>
            </w:r>
            <w:r>
              <w:rPr>
                <w:rFonts w:ascii="SimSun" w:eastAsia="SimSun" w:hAnsi="SimSun" w:cs="Calibri" w:hint="eastAsia"/>
                <w:lang w:eastAsia="zh-CN"/>
              </w:rPr>
              <w:t>.</w:t>
            </w:r>
          </w:p>
          <w:p w14:paraId="688DBD15" w14:textId="336A7A08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bookmarkEnd w:id="10"/>
      <w:tr w:rsidR="00060132" w:rsidRPr="00C845AD" w14:paraId="33C7493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BE68" w14:textId="70C77DB4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</w:t>
            </w:r>
            <w:r w:rsidR="003206DE">
              <w:rPr>
                <w:rFonts w:ascii="Calibri" w:hAnsi="Calibri" w:cs="Calibri"/>
                <w:szCs w:val="18"/>
              </w:rPr>
              <w:t>403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432" w14:textId="5CA507A7" w:rsidR="00060132" w:rsidRPr="008D105A" w:rsidRDefault="0078111F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Liuming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88E5" w14:textId="36C69AD7" w:rsidR="00060132" w:rsidRPr="00E56DEA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Pr="00E56DEA">
              <w:rPr>
                <w:rFonts w:ascii="Calibri" w:hAnsi="Calibri" w:cs="Calibri"/>
                <w:szCs w:val="18"/>
              </w:rPr>
              <w:t>.</w:t>
            </w:r>
            <w:r w:rsidR="003206DE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6DDE" w14:textId="06897F00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3206DE">
              <w:rPr>
                <w:rFonts w:ascii="Calibri" w:hAnsi="Calibri" w:cs="Calibri"/>
                <w:szCs w:val="18"/>
              </w:rPr>
              <w:t>3</w:t>
            </w:r>
            <w:r>
              <w:rPr>
                <w:rFonts w:ascii="Calibri" w:hAnsi="Calibri" w:cs="Calibri"/>
                <w:szCs w:val="18"/>
              </w:rPr>
              <w:t>.5</w:t>
            </w:r>
            <w:r w:rsidR="003206DE">
              <w:rPr>
                <w:rFonts w:ascii="Calibri" w:hAnsi="Calibri" w:cs="Calibri"/>
                <w:szCs w:val="18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ABB9" w14:textId="7D0C7D38" w:rsidR="00060132" w:rsidRPr="008D105A" w:rsidRDefault="003206DE" w:rsidP="00060132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</w:t>
            </w:r>
            <w:r w:rsidRPr="003206DE">
              <w:rPr>
                <w:rFonts w:ascii="Calibri" w:hAnsi="Calibri" w:cs="Calibri"/>
                <w:szCs w:val="18"/>
              </w:rPr>
              <w:t xml:space="preserve">he additional constraints are currently specified for the transmission in the nonprimary link of a NSTR mobile AP MLD, which may limit the </w:t>
            </w:r>
            <w:proofErr w:type="spellStart"/>
            <w:r w:rsidRPr="003206DE">
              <w:rPr>
                <w:rFonts w:ascii="Calibri" w:hAnsi="Calibri" w:cs="Calibri"/>
                <w:szCs w:val="18"/>
              </w:rPr>
              <w:t>efficency</w:t>
            </w:r>
            <w:proofErr w:type="spellEnd"/>
            <w:r w:rsidRPr="003206DE">
              <w:rPr>
                <w:rFonts w:ascii="Calibri" w:hAnsi="Calibri" w:cs="Calibri"/>
                <w:szCs w:val="18"/>
              </w:rPr>
              <w:t xml:space="preserve"> of frame exchanges between a NSTR mobile AP MLD and non-AP MLD. For non-AP MLD its affiliated STA can initiate its transmission by obtaining the TXOP through EDCA mechanism to become a TXOP holder or get the TXOP shared by the mobile AP MLD.  The current </w:t>
            </w:r>
            <w:proofErr w:type="spellStart"/>
            <w:r w:rsidRPr="003206DE">
              <w:rPr>
                <w:rFonts w:ascii="Calibri" w:hAnsi="Calibri" w:cs="Calibri"/>
                <w:szCs w:val="18"/>
              </w:rPr>
              <w:t>specificaiton</w:t>
            </w:r>
            <w:proofErr w:type="spellEnd"/>
            <w:r w:rsidRPr="003206DE">
              <w:rPr>
                <w:rFonts w:ascii="Calibri" w:hAnsi="Calibri" w:cs="Calibri"/>
                <w:szCs w:val="18"/>
              </w:rPr>
              <w:t xml:space="preserve"> lacks of the mechanism to allow the non-AP MLD to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request  the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AP MLD to  share its obtained TXOP with the non-AP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BC63" w14:textId="68C1D15C" w:rsidR="00060132" w:rsidRPr="008D105A" w:rsidRDefault="003206DE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S</w:t>
            </w:r>
            <w:r w:rsidRPr="003206DE">
              <w:rPr>
                <w:rFonts w:ascii="Calibri" w:hAnsi="Calibri" w:cs="Calibri"/>
                <w:szCs w:val="18"/>
              </w:rPr>
              <w:t xml:space="preserve">uggest to specify the mechanism to allow the non-AP MLD to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request  the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AP MLD to  share its obtained TXOP with the non-AP MLD. And the mechanism of synchronous transmission in two links for non-AP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MLD  by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obtaining the TXOP through EDCA to become a TXOP holder or get the TXOP shared by the Soft AP MLD needs to be considered to be specified.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58F" w14:textId="5ADFEB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C07A8">
              <w:rPr>
                <w:rFonts w:ascii="Calibri" w:hAnsi="Calibri" w:cs="Calibri"/>
                <w:szCs w:val="18"/>
              </w:rPr>
              <w:t>jecte</w:t>
            </w:r>
            <w:r>
              <w:rPr>
                <w:rFonts w:ascii="Calibri" w:hAnsi="Calibri" w:cs="Calibri"/>
                <w:szCs w:val="18"/>
              </w:rPr>
              <w:t>d</w:t>
            </w:r>
          </w:p>
          <w:p w14:paraId="047AFB3B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64D4BD1" w14:textId="25D4D3A8" w:rsidR="00060132" w:rsidRDefault="00AC07A8" w:rsidP="00060132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eastAsia="ko-KR"/>
              </w:rPr>
            </w:pPr>
            <w:r>
              <w:rPr>
                <w:rFonts w:ascii="Calibri" w:hAnsi="Calibri" w:cs="Arial"/>
                <w:szCs w:val="18"/>
              </w:rPr>
              <w:t>The additional constraints defined in the current spec text is</w:t>
            </w:r>
            <w:r w:rsidR="003B521B">
              <w:rPr>
                <w:rFonts w:ascii="Calibri" w:hAnsi="Calibri" w:cs="Arial"/>
                <w:szCs w:val="18"/>
              </w:rPr>
              <w:t xml:space="preserve"> only</w:t>
            </w:r>
            <w:r>
              <w:rPr>
                <w:rFonts w:ascii="Calibri" w:hAnsi="Calibri" w:cs="Arial"/>
                <w:szCs w:val="18"/>
              </w:rPr>
              <w:t xml:space="preserve"> for “</w:t>
            </w:r>
            <w:r w:rsidRPr="005D76C2">
              <w:rPr>
                <w:color w:val="000000"/>
                <w:sz w:val="20"/>
                <w:lang w:val="en-US" w:eastAsia="ko-KR"/>
              </w:rPr>
              <w:t>Start time sync PPDUs medium access</w:t>
            </w:r>
            <w:r>
              <w:rPr>
                <w:color w:val="000000"/>
                <w:sz w:val="20"/>
                <w:lang w:val="en-US" w:eastAsia="ko-KR"/>
              </w:rPr>
              <w:t>”.</w:t>
            </w:r>
            <w:r w:rsidR="003B521B">
              <w:rPr>
                <w:color w:val="000000"/>
                <w:sz w:val="20"/>
                <w:lang w:val="en-US" w:eastAsia="ko-KR"/>
              </w:rPr>
              <w:t xml:space="preserve"> </w:t>
            </w:r>
          </w:p>
          <w:p w14:paraId="70C890CC" w14:textId="4EA67B93" w:rsidR="003B521B" w:rsidRPr="001064C9" w:rsidRDefault="003B521B" w:rsidP="0006013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color w:val="000000"/>
                <w:sz w:val="20"/>
                <w:lang w:val="en-US" w:eastAsia="ko-KR"/>
              </w:rPr>
              <w:t>The commenter failed to identify the issue.</w:t>
            </w:r>
          </w:p>
          <w:p w14:paraId="19CEF630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B2B4C" w:rsidRPr="00C845AD" w14:paraId="79D35F96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20A4" w14:textId="3BA0A12B" w:rsidR="002B2B4C" w:rsidRPr="00DD4E56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highlight w:val="yellow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lastRenderedPageBreak/>
              <w:t>16</w:t>
            </w:r>
            <w:r w:rsidR="00060132" w:rsidRPr="00DD4E56">
              <w:rPr>
                <w:rFonts w:ascii="Calibri" w:hAnsi="Calibri" w:cs="Calibri"/>
                <w:szCs w:val="18"/>
                <w:highlight w:val="yellow"/>
              </w:rPr>
              <w:t>6</w:t>
            </w:r>
            <w:r w:rsidR="00D1710B" w:rsidRPr="00DD4E56">
              <w:rPr>
                <w:rFonts w:ascii="Calibri" w:hAnsi="Calibri" w:cs="Calibri"/>
                <w:szCs w:val="18"/>
                <w:highlight w:val="yellow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DAEB" w14:textId="3460AFB1" w:rsidR="002B2B4C" w:rsidRPr="008D105A" w:rsidRDefault="00D1710B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Qi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2AB6" w14:textId="30367376" w:rsidR="002B2B4C" w:rsidRPr="00E56DEA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4A94" w14:textId="59146DF5" w:rsidR="002B2B4C" w:rsidRDefault="00060132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D1710B">
              <w:rPr>
                <w:rFonts w:ascii="Calibri" w:hAnsi="Calibri" w:cs="Calibri"/>
                <w:szCs w:val="18"/>
              </w:rPr>
              <w:t>3.03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F8DF" w14:textId="14C64BC4" w:rsidR="00D1710B" w:rsidRPr="008B547C" w:rsidRDefault="00D1710B" w:rsidP="00D1710B">
            <w:pPr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Many legacy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STAs  operate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in 2.4 GHz. NSTR Mobile AP would benefit if it could operate NSTR link pair and in 2.4 GHz.</w:t>
            </w:r>
          </w:p>
          <w:p w14:paraId="63F5EE06" w14:textId="1C53B31C" w:rsidR="002B2B4C" w:rsidRPr="008B547C" w:rsidRDefault="002B2B4C" w:rsidP="00060132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4959" w14:textId="0F1F8095" w:rsidR="002B2B4C" w:rsidRPr="008B547C" w:rsidRDefault="00D1710B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Please allow NSTR Mobile AP to operate with NSTR Link pair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and  a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link in the 2.4 GHz.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0B8C" w14:textId="7309B6CE" w:rsidR="002B2B4C" w:rsidRDefault="000D7E0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Reject</w:t>
            </w:r>
            <w:r w:rsidR="002B2B4C">
              <w:rPr>
                <w:rFonts w:ascii="Calibri" w:hAnsi="Calibri" w:cs="Calibri"/>
                <w:szCs w:val="18"/>
              </w:rPr>
              <w:t>ed.</w:t>
            </w:r>
          </w:p>
          <w:p w14:paraId="05A12264" w14:textId="77777777" w:rsidR="002B2B4C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C31152B" w14:textId="77777777" w:rsidR="00F10266" w:rsidRPr="0058753F" w:rsidRDefault="00F10266" w:rsidP="00F1026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bookmarkStart w:id="11" w:name="_Hlk140017087"/>
            <w:r w:rsidRPr="003847FE">
              <w:rPr>
                <w:rFonts w:ascii="Calibri" w:hAnsi="Calibri" w:cs="Calibri"/>
                <w:szCs w:val="18"/>
              </w:rPr>
              <w:t xml:space="preserve">This issue was discussed in the </w:t>
            </w:r>
            <w:proofErr w:type="spellStart"/>
            <w:r w:rsidRPr="003847FE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3847FE">
              <w:rPr>
                <w:rFonts w:ascii="Calibri" w:hAnsi="Calibri" w:cs="Calibri"/>
                <w:szCs w:val="18"/>
              </w:rPr>
              <w:t xml:space="preserve"> in the past. However, there was no consensus reached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bookmarkEnd w:id="11"/>
          <w:p w14:paraId="1B3FCE20" w14:textId="316AC038" w:rsidR="005001EE" w:rsidRDefault="005001EE" w:rsidP="000D7E0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B2B4C" w:rsidRPr="00C845AD" w14:paraId="448B114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BD3" w14:textId="5CA1952B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t>18212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671" w14:textId="021EEAE5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Rubayet Shafin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042" w14:textId="0A812CCA" w:rsidR="002B2B4C" w:rsidRPr="002729F4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A55" w14:textId="447DAED7" w:rsidR="002B2B4C" w:rsidRPr="002729F4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5</w:t>
            </w:r>
            <w:r>
              <w:rPr>
                <w:rFonts w:ascii="Calibri" w:hAnsi="Calibri" w:cs="Calibri"/>
                <w:szCs w:val="18"/>
              </w:rPr>
              <w:t>7</w:t>
            </w:r>
            <w:r w:rsidR="00D1710B">
              <w:rPr>
                <w:rFonts w:ascii="Calibri" w:hAnsi="Calibri" w:cs="Calibri"/>
                <w:szCs w:val="18"/>
              </w:rPr>
              <w:t>3.03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BE38" w14:textId="43FF1A33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Simultaneous Transmission and Reception would be a key feature for Mobile AP MLD in 11be.  However, currently the mechanisms and operational procedures for STR Mobile AP MLD is missing in the spec.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6766" w14:textId="58D02D64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Please generalize the current operation of mobile AP MLD and allow STR mode of mobile AP MLD operation and provide necessary text.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48" w14:textId="33EDE35D" w:rsidR="002B2B4C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3B3273">
              <w:rPr>
                <w:rFonts w:ascii="Calibri" w:hAnsi="Calibri" w:cs="Calibri"/>
                <w:szCs w:val="18"/>
              </w:rPr>
              <w:t>ject</w:t>
            </w:r>
            <w:r>
              <w:rPr>
                <w:rFonts w:ascii="Calibri" w:hAnsi="Calibri" w:cs="Calibri"/>
                <w:szCs w:val="18"/>
              </w:rPr>
              <w:t>ed</w:t>
            </w:r>
            <w:r w:rsidR="003B3273">
              <w:rPr>
                <w:rFonts w:ascii="Calibri" w:hAnsi="Calibri" w:cs="Calibri"/>
                <w:szCs w:val="18"/>
              </w:rPr>
              <w:t>.</w:t>
            </w:r>
          </w:p>
          <w:p w14:paraId="08EE7624" w14:textId="77777777" w:rsidR="002B2B4C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9B940A" w14:textId="20DC63B8" w:rsidR="002B2B4C" w:rsidRDefault="00750BC4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</w:rPr>
              <w:t xml:space="preserve">The group could not reach consensus on a resolution that would address the comment. Please see discussion on CID 13651 in </w:t>
            </w:r>
            <w:hyperlink r:id="rId8" w:history="1">
              <w:r>
                <w:rPr>
                  <w:rStyle w:val="Hyperlink"/>
                  <w:rFonts w:ascii="Calibri" w:hAnsi="Calibri" w:cs="Calibri"/>
                </w:rPr>
                <w:t>https://mentor.ieee.org/802.11/dcn/22/11-22-0971-53-00be-ieee-802-11be-lb266-comments.xlsx</w:t>
              </w:r>
            </w:hyperlink>
          </w:p>
        </w:tc>
      </w:tr>
      <w:tr w:rsidR="0058753F" w:rsidRPr="00C845AD" w14:paraId="61C09FDE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49F5" w14:textId="76B8AD56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t>1</w:t>
            </w:r>
            <w:r w:rsidR="00D1710B" w:rsidRPr="00DD4E56">
              <w:rPr>
                <w:rFonts w:ascii="Calibri" w:hAnsi="Calibri" w:cs="Calibri"/>
                <w:szCs w:val="18"/>
                <w:highlight w:val="yellow"/>
              </w:rPr>
              <w:t>8334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FC72" w14:textId="2C219799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Peshal Nayak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5CFC" w14:textId="62772C7C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35.3.19.</w:t>
            </w:r>
            <w:r w:rsidR="0078111F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F288" w14:textId="41BBEC5E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57</w:t>
            </w:r>
            <w:r w:rsidR="0078111F">
              <w:rPr>
                <w:rFonts w:ascii="Calibri" w:hAnsi="Calibri" w:cs="Calibri"/>
                <w:szCs w:val="18"/>
              </w:rPr>
              <w:t>3</w:t>
            </w:r>
            <w:r w:rsidRPr="0058753F">
              <w:rPr>
                <w:rFonts w:ascii="Calibri" w:hAnsi="Calibri" w:cs="Calibri"/>
                <w:szCs w:val="18"/>
              </w:rPr>
              <w:t>.</w:t>
            </w:r>
            <w:r w:rsidR="0078111F">
              <w:rPr>
                <w:rFonts w:ascii="Calibri" w:hAnsi="Calibri" w:cs="Calibri"/>
                <w:szCs w:val="18"/>
              </w:rPr>
              <w:t>27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416" w14:textId="0028EDBE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There can be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a number of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scenarios in which the NSTR mobile AP MLD may want to change the primary link designation for beacon transmission.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DA07" w14:textId="086CE85B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Define a mechanism by which the NSTR Mobile AP MLD can change the primary link designation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8C94" w14:textId="7B7AC529" w:rsidR="0058753F" w:rsidRPr="0058753F" w:rsidRDefault="003B3273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3847FE">
              <w:rPr>
                <w:rFonts w:ascii="Calibri" w:hAnsi="Calibri" w:cs="Calibri"/>
                <w:szCs w:val="18"/>
              </w:rPr>
              <w:t>jecte</w:t>
            </w:r>
            <w:r w:rsidR="0058753F" w:rsidRPr="0058753F">
              <w:rPr>
                <w:rFonts w:ascii="Calibri" w:hAnsi="Calibri" w:cs="Calibri"/>
                <w:szCs w:val="18"/>
              </w:rPr>
              <w:t>d.</w:t>
            </w:r>
          </w:p>
          <w:p w14:paraId="4926E33B" w14:textId="77777777" w:rsidR="0058753F" w:rsidRP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BAB9F1F" w14:textId="057A4B3B" w:rsidR="0058753F" w:rsidRPr="0058753F" w:rsidRDefault="003847FE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3847FE">
              <w:rPr>
                <w:rFonts w:ascii="Calibri" w:hAnsi="Calibri" w:cs="Calibri"/>
                <w:szCs w:val="18"/>
              </w:rPr>
              <w:t xml:space="preserve">This issue was discussed in the </w:t>
            </w:r>
            <w:proofErr w:type="spellStart"/>
            <w:r w:rsidRPr="003847FE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3847FE">
              <w:rPr>
                <w:rFonts w:ascii="Calibri" w:hAnsi="Calibri" w:cs="Calibri"/>
                <w:szCs w:val="18"/>
              </w:rPr>
              <w:t xml:space="preserve"> in the past. However, there was no consensus reached</w:t>
            </w:r>
            <w:r w:rsidR="002A2023">
              <w:rPr>
                <w:rFonts w:ascii="Calibri" w:hAnsi="Calibri" w:cs="Calibri"/>
                <w:szCs w:val="18"/>
              </w:rPr>
              <w:t>.</w:t>
            </w:r>
          </w:p>
          <w:p w14:paraId="7A2B148F" w14:textId="77777777" w:rsid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2315D669" w14:textId="77777777" w:rsidR="009C4B02" w:rsidRPr="00CF2542" w:rsidRDefault="009C4B02" w:rsidP="006307EA">
      <w:pPr>
        <w:rPr>
          <w:rFonts w:ascii="Calibri" w:hAnsi="Calibri" w:cs="Arial"/>
          <w:szCs w:val="18"/>
        </w:rPr>
      </w:pPr>
    </w:p>
    <w:sectPr w:rsidR="009C4B02" w:rsidRPr="00CF2542" w:rsidSect="00C55313">
      <w:headerReference w:type="default" r:id="rId9"/>
      <w:footerReference w:type="default" r:id="rId10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7D718" w14:textId="77777777" w:rsidR="006442A3" w:rsidRDefault="006442A3">
      <w:r>
        <w:separator/>
      </w:r>
    </w:p>
  </w:endnote>
  <w:endnote w:type="continuationSeparator" w:id="0">
    <w:p w14:paraId="6A936319" w14:textId="77777777" w:rsidR="006442A3" w:rsidRDefault="0064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1BB05E9" w:rsidR="003573E1" w:rsidRDefault="006442A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73E1">
      <w:t>Submission</w:t>
    </w:r>
    <w:r>
      <w:fldChar w:fldCharType="end"/>
    </w:r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3F37B" w14:textId="77777777" w:rsidR="006442A3" w:rsidRDefault="006442A3">
      <w:r>
        <w:separator/>
      </w:r>
    </w:p>
  </w:footnote>
  <w:footnote w:type="continuationSeparator" w:id="0">
    <w:p w14:paraId="2602ADBB" w14:textId="77777777" w:rsidR="006442A3" w:rsidRDefault="0064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2F391AFC" w:rsidR="003573E1" w:rsidRDefault="008F2AA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9A380E">
      <w:rPr>
        <w:lang w:eastAsia="ko-KR"/>
      </w:rPr>
      <w:t xml:space="preserve">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r w:rsidR="006442A3">
      <w:fldChar w:fldCharType="begin"/>
    </w:r>
    <w:r w:rsidR="006442A3">
      <w:instrText xml:space="preserve"> TITLE  \* MERGEFORMAT </w:instrText>
    </w:r>
    <w:r w:rsidR="006442A3">
      <w:fldChar w:fldCharType="separate"/>
    </w:r>
    <w:r w:rsidR="009A380E">
      <w:t>doc.: IEEE 802.11-23/</w:t>
    </w:r>
    <w:r>
      <w:t>10</w:t>
    </w:r>
    <w:r w:rsidR="00A07FC7">
      <w:t>5</w:t>
    </w:r>
    <w:r>
      <w:t>4</w:t>
    </w:r>
    <w:r w:rsidR="009A380E">
      <w:rPr>
        <w:lang w:eastAsia="ko-KR"/>
      </w:rPr>
      <w:t>r</w:t>
    </w:r>
    <w:r w:rsidR="006442A3">
      <w:rPr>
        <w:lang w:eastAsia="ko-KR"/>
      </w:rPr>
      <w:fldChar w:fldCharType="end"/>
    </w:r>
    <w:r w:rsidR="00074EB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4EBC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E0C"/>
    <w:rsid w:val="000D7F38"/>
    <w:rsid w:val="000E0494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01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023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4B3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6DE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7FE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2DF2"/>
    <w:rsid w:val="003B3273"/>
    <w:rsid w:val="003B3B83"/>
    <w:rsid w:val="003B3C5F"/>
    <w:rsid w:val="003B4DAD"/>
    <w:rsid w:val="003B5128"/>
    <w:rsid w:val="003B521B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2849"/>
    <w:rsid w:val="0041303E"/>
    <w:rsid w:val="004138E3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2DA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1EE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6C2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5F7F00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2A3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37D05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BC4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111F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2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B76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AAA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4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07FC7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07A8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5ED1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449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794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1772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48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0B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657F"/>
    <w:rsid w:val="00D9667F"/>
    <w:rsid w:val="00D971E1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4E56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2CF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266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26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paragraph" w:customStyle="1" w:styleId="SP21258442">
    <w:name w:val="SP.21.258442"/>
    <w:basedOn w:val="Default"/>
    <w:next w:val="Default"/>
    <w:uiPriority w:val="99"/>
    <w:rsid w:val="005D76C2"/>
    <w:rPr>
      <w:color w:val="auto"/>
    </w:rPr>
  </w:style>
  <w:style w:type="paragraph" w:customStyle="1" w:styleId="SP21258453">
    <w:name w:val="SP.21.258453"/>
    <w:basedOn w:val="Default"/>
    <w:next w:val="Default"/>
    <w:uiPriority w:val="99"/>
    <w:rsid w:val="005D76C2"/>
    <w:rPr>
      <w:color w:val="auto"/>
    </w:rPr>
  </w:style>
  <w:style w:type="paragraph" w:customStyle="1" w:styleId="SP21258064">
    <w:name w:val="SP.21.258064"/>
    <w:basedOn w:val="Default"/>
    <w:next w:val="Default"/>
    <w:uiPriority w:val="99"/>
    <w:rsid w:val="005D76C2"/>
    <w:rPr>
      <w:color w:val="auto"/>
    </w:rPr>
  </w:style>
  <w:style w:type="paragraph" w:customStyle="1" w:styleId="SP21258420">
    <w:name w:val="SP.21.258420"/>
    <w:basedOn w:val="Default"/>
    <w:next w:val="Default"/>
    <w:uiPriority w:val="99"/>
    <w:rsid w:val="005D76C2"/>
    <w:rPr>
      <w:color w:val="auto"/>
    </w:rPr>
  </w:style>
  <w:style w:type="paragraph" w:customStyle="1" w:styleId="SP21258409">
    <w:name w:val="SP.21.258409"/>
    <w:basedOn w:val="Default"/>
    <w:next w:val="Default"/>
    <w:uiPriority w:val="99"/>
    <w:rsid w:val="005D76C2"/>
    <w:rPr>
      <w:color w:val="auto"/>
    </w:rPr>
  </w:style>
  <w:style w:type="character" w:customStyle="1" w:styleId="SC21323807">
    <w:name w:val="SC.21.323807"/>
    <w:uiPriority w:val="99"/>
    <w:rsid w:val="005D76C2"/>
    <w:rPr>
      <w:color w:val="208A2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mentor.ieee.org/802.11/dcn/22/11-22-0971-53-00be-ieee-802-11be-lb266-comments.xlsx__;!!CTRNKA9wMg0ARbw!kFs0XHh6N3Q6SmZNcohIGNrAMYY9AgfYO5rFt55kF7Xlf3XA_86zCjmO9mA-3-ryuIUt1VkqH9YrHT_RvMfhgg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4132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2023-07-12T14:02:00Z</dcterms:created>
  <dcterms:modified xsi:type="dcterms:W3CDTF">2023-07-12T14:02:00Z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