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33706E25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</w:t>
            </w:r>
            <w:r w:rsidR="00C40F47">
              <w:rPr>
                <w:lang w:val="en-US"/>
              </w:rPr>
              <w:t>to CID 1604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57BB3F8E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441B13">
              <w:rPr>
                <w:b w:val="0"/>
                <w:sz w:val="20"/>
                <w:lang w:val="en-US"/>
              </w:rPr>
              <w:t>3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441B13">
              <w:rPr>
                <w:b w:val="0"/>
                <w:sz w:val="20"/>
                <w:lang w:val="en-US"/>
              </w:rPr>
              <w:t>0</w:t>
            </w:r>
            <w:r w:rsidR="00231D76">
              <w:rPr>
                <w:b w:val="0"/>
                <w:sz w:val="20"/>
                <w:lang w:val="en-US"/>
              </w:rPr>
              <w:t>6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31D76">
              <w:rPr>
                <w:b w:val="0"/>
                <w:sz w:val="20"/>
                <w:lang w:val="en-US"/>
              </w:rPr>
              <w:t>23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13A2409B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LB272</w:t>
                            </w:r>
                            <w:r w:rsidR="00DA2F42">
                              <w:t xml:space="preserve"> under Instance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D1.0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1A79CA">
                              <w:t>D1.0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7B3E4BEB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5368F0">
                              <w:t xml:space="preserve">1604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61E60BB1" w14:textId="458B0BEC" w:rsidR="005A38D8" w:rsidRPr="00760140" w:rsidRDefault="005A38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13A2409B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LB272</w:t>
                      </w:r>
                      <w:r w:rsidR="00DA2F42">
                        <w:t xml:space="preserve"> under Instance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D1.0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1A79CA">
                        <w:t>D1.0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7B3E4BEB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5368F0">
                        <w:t xml:space="preserve">1604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61E60BB1" w14:textId="458B0BEC" w:rsidR="005A38D8" w:rsidRPr="00760140" w:rsidRDefault="005A38D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60849DA1" w14:textId="34BCC1A5" w:rsidR="005E4F5B" w:rsidRPr="00C40F47" w:rsidRDefault="00503297" w:rsidP="00346F0E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E4F5B" w:rsidRPr="00B236C2" w14:paraId="30032014" w14:textId="77777777" w:rsidTr="00263A71">
        <w:tc>
          <w:tcPr>
            <w:tcW w:w="656" w:type="dxa"/>
            <w:shd w:val="clear" w:color="auto" w:fill="auto"/>
          </w:tcPr>
          <w:p w14:paraId="7B586CF3" w14:textId="77777777" w:rsidR="005E4F5B" w:rsidRPr="00B236C2" w:rsidRDefault="005E4F5B" w:rsidP="00263A71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0A588D75" w14:textId="77777777" w:rsidR="005E4F5B" w:rsidRPr="00B236C2" w:rsidRDefault="005E4F5B" w:rsidP="00263A71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023779A1" w14:textId="77777777" w:rsidR="005E4F5B" w:rsidRPr="00B236C2" w:rsidRDefault="005E4F5B" w:rsidP="00263A71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541CAD7" w14:textId="77777777" w:rsidR="005E4F5B" w:rsidRPr="00B236C2" w:rsidRDefault="005E4F5B" w:rsidP="00263A71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680F5A2B" w14:textId="77777777" w:rsidR="005E4F5B" w:rsidRPr="00B236C2" w:rsidRDefault="005E4F5B" w:rsidP="00263A71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5E4F5B" w:rsidRPr="00831251" w14:paraId="5E3F7B05" w14:textId="77777777" w:rsidTr="00263A71">
        <w:tc>
          <w:tcPr>
            <w:tcW w:w="656" w:type="dxa"/>
            <w:shd w:val="clear" w:color="auto" w:fill="auto"/>
          </w:tcPr>
          <w:p w14:paraId="02F26DCB" w14:textId="77777777" w:rsidR="005E4F5B" w:rsidRPr="00831251" w:rsidRDefault="005E4F5B" w:rsidP="00263A71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1604</w:t>
            </w:r>
          </w:p>
        </w:tc>
        <w:tc>
          <w:tcPr>
            <w:tcW w:w="1342" w:type="dxa"/>
            <w:shd w:val="clear" w:color="auto" w:fill="auto"/>
          </w:tcPr>
          <w:p w14:paraId="296AC603" w14:textId="77777777" w:rsidR="005E4F5B" w:rsidRPr="00831251" w:rsidRDefault="005E4F5B" w:rsidP="00263A71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B77006">
              <w:rPr>
                <w:rFonts w:ascii="Arial" w:hAnsi="Arial" w:cs="Arial"/>
                <w:sz w:val="20"/>
              </w:rPr>
              <w:t>11.55.1.5.</w:t>
            </w:r>
            <w:r>
              <w:rPr>
                <w:rFonts w:ascii="Arial" w:hAnsi="Arial" w:cs="Arial"/>
                <w:sz w:val="20"/>
              </w:rPr>
              <w:t>2</w:t>
            </w:r>
            <w:r w:rsidRPr="00B7700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03B1C97" w14:textId="77777777" w:rsidR="005E4F5B" w:rsidRPr="00831251" w:rsidRDefault="005E4F5B" w:rsidP="00263A71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176.64</w:t>
            </w:r>
          </w:p>
        </w:tc>
        <w:tc>
          <w:tcPr>
            <w:tcW w:w="2767" w:type="dxa"/>
            <w:shd w:val="clear" w:color="auto" w:fill="auto"/>
          </w:tcPr>
          <w:p w14:paraId="76C47982" w14:textId="77777777" w:rsidR="005E4F5B" w:rsidRPr="00831251" w:rsidRDefault="005E4F5B" w:rsidP="00263A71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What if the TXOP extends outside the sensing availability window as illustrated in Figure 11-74e? shall the TXOP be contained in the sensing availability window and does not extend beyond it?</w:t>
            </w:r>
          </w:p>
        </w:tc>
        <w:tc>
          <w:tcPr>
            <w:tcW w:w="3775" w:type="dxa"/>
            <w:shd w:val="clear" w:color="auto" w:fill="auto"/>
          </w:tcPr>
          <w:p w14:paraId="6A767A52" w14:textId="77777777" w:rsidR="005E4F5B" w:rsidRPr="00831251" w:rsidRDefault="005E4F5B" w:rsidP="00263A71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whether the TXOP may extend outside the sensing availability window or not</w:t>
            </w:r>
          </w:p>
        </w:tc>
      </w:tr>
    </w:tbl>
    <w:p w14:paraId="445F69D9" w14:textId="77777777" w:rsidR="005E4F5B" w:rsidRDefault="005E4F5B" w:rsidP="005E4F5B">
      <w:pPr>
        <w:rPr>
          <w:b/>
          <w:sz w:val="28"/>
          <w:u w:val="single"/>
          <w:lang w:val="en-US"/>
        </w:rPr>
      </w:pPr>
    </w:p>
    <w:p w14:paraId="1B6C8D6A" w14:textId="77777777" w:rsidR="005E4F5B" w:rsidRDefault="005E4F5B" w:rsidP="005E4F5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Revised.</w:t>
      </w:r>
    </w:p>
    <w:p w14:paraId="2E79DE58" w14:textId="77777777" w:rsidR="005E4F5B" w:rsidRDefault="005E4F5B" w:rsidP="005E4F5B">
      <w:pPr>
        <w:rPr>
          <w:szCs w:val="22"/>
          <w:lang w:val="en-US"/>
        </w:rPr>
      </w:pPr>
    </w:p>
    <w:p w14:paraId="1453B0B6" w14:textId="77777777" w:rsidR="005E4F5B" w:rsidRDefault="005E4F5B" w:rsidP="005E4F5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69AEE851" w14:textId="77777777" w:rsidR="005E4F5B" w:rsidRDefault="005E4F5B" w:rsidP="005E4F5B">
      <w:pPr>
        <w:pStyle w:val="ListParagraph"/>
        <w:numPr>
          <w:ilvl w:val="0"/>
          <w:numId w:val="27"/>
        </w:numPr>
        <w:rPr>
          <w:szCs w:val="22"/>
          <w:lang w:val="en-US"/>
        </w:rPr>
      </w:pPr>
      <w:r w:rsidRPr="00F811A4">
        <w:rPr>
          <w:szCs w:val="22"/>
          <w:lang w:val="en-US"/>
        </w:rPr>
        <w:t>In Section 11.55.1.5.2.1, we already have the following rule:</w:t>
      </w:r>
    </w:p>
    <w:p w14:paraId="76136016" w14:textId="77777777" w:rsidR="005E4F5B" w:rsidRDefault="005E4F5B" w:rsidP="005E4F5B">
      <w:pPr>
        <w:pStyle w:val="ListParagraph"/>
        <w:rPr>
          <w:szCs w:val="22"/>
        </w:rPr>
      </w:pPr>
      <w:r w:rsidRPr="00F811A4">
        <w:rPr>
          <w:rFonts w:eastAsia="TimesNewRoman"/>
          <w:color w:val="000000"/>
          <w:szCs w:val="22"/>
        </w:rPr>
        <w:t>All TB sensing measurement instances shall take place within a sensing availability window. Each sensing availability window may consist of one or more TXOPs, and each TXOP may consist of one or more TB sensing measurement instances</w:t>
      </w:r>
      <w:r w:rsidRPr="00F811A4">
        <w:rPr>
          <w:szCs w:val="22"/>
        </w:rPr>
        <w:t>.</w:t>
      </w:r>
    </w:p>
    <w:p w14:paraId="605A2513" w14:textId="77777777" w:rsidR="005E4F5B" w:rsidRDefault="005E4F5B" w:rsidP="005E4F5B">
      <w:pPr>
        <w:pStyle w:val="ListParagraph"/>
        <w:rPr>
          <w:szCs w:val="22"/>
        </w:rPr>
      </w:pPr>
    </w:p>
    <w:p w14:paraId="7D4D381E" w14:textId="48D3FA30" w:rsidR="005E4F5B" w:rsidRPr="00227ED1" w:rsidRDefault="005E4F5B" w:rsidP="005E4F5B">
      <w:pPr>
        <w:pStyle w:val="ListParagraph"/>
        <w:numPr>
          <w:ilvl w:val="0"/>
          <w:numId w:val="27"/>
        </w:numPr>
        <w:rPr>
          <w:szCs w:val="22"/>
          <w:lang w:val="en-US"/>
        </w:rPr>
      </w:pPr>
      <w:r>
        <w:rPr>
          <w:szCs w:val="22"/>
        </w:rPr>
        <w:t xml:space="preserve">During the sensing availability window, the AP and non-AP STAs </w:t>
      </w:r>
      <w:r w:rsidR="00E24D35">
        <w:rPr>
          <w:szCs w:val="22"/>
        </w:rPr>
        <w:t>should</w:t>
      </w:r>
      <w:r>
        <w:rPr>
          <w:szCs w:val="22"/>
        </w:rPr>
        <w:t xml:space="preserve"> only do sensing-related transmission and not any other data transmissions. In 11az we have the following rules regarding ranging in availability windows. We need to add similar rules for 11bf as well.</w:t>
      </w:r>
    </w:p>
    <w:p w14:paraId="166EDE86" w14:textId="77777777" w:rsidR="005E4F5B" w:rsidRPr="001C6CAB" w:rsidRDefault="005E4F5B" w:rsidP="005E4F5B">
      <w:pPr>
        <w:pStyle w:val="ListParagraph"/>
        <w:rPr>
          <w:szCs w:val="22"/>
          <w:lang w:val="en-US"/>
        </w:rPr>
      </w:pPr>
    </w:p>
    <w:p w14:paraId="365B6577" w14:textId="77777777" w:rsidR="005E4F5B" w:rsidRDefault="005E4F5B" w:rsidP="005E4F5B">
      <w:pPr>
        <w:pStyle w:val="ListParagraph"/>
        <w:rPr>
          <w:szCs w:val="22"/>
          <w:lang w:val="en-US"/>
        </w:rPr>
      </w:pPr>
      <w:r w:rsidRPr="005E3E33">
        <w:rPr>
          <w:szCs w:val="22"/>
          <w:lang w:val="en-US"/>
        </w:rPr>
        <w:t>Within each availability window the RSTA and ISTAs shall not transmit or trigger transmission of</w:t>
      </w:r>
      <w:r>
        <w:rPr>
          <w:szCs w:val="22"/>
          <w:lang w:val="en-US"/>
        </w:rPr>
        <w:t xml:space="preserve"> </w:t>
      </w:r>
      <w:r w:rsidRPr="005E3E33">
        <w:rPr>
          <w:szCs w:val="22"/>
          <w:lang w:val="en-US"/>
        </w:rPr>
        <w:t>any Data frames; they shall only perform ranging activities related to Polling, Measurement</w:t>
      </w:r>
      <w:r w:rsidRPr="005E3E33">
        <w:rPr>
          <w:szCs w:val="22"/>
          <w:lang w:val="en-US"/>
        </w:rPr>
        <w:cr/>
        <w:t>Sounding and Measurement Reporting phases, as well as signaling of modification of availability</w:t>
      </w:r>
      <w:r w:rsidRPr="005E3E33">
        <w:rPr>
          <w:szCs w:val="22"/>
          <w:lang w:val="en-US"/>
        </w:rPr>
        <w:cr/>
        <w:t>window parameters; see 11.21.6.5.1 (Availability window parameter modification), and TB</w:t>
      </w:r>
      <w:r w:rsidRPr="005E3E33">
        <w:rPr>
          <w:szCs w:val="22"/>
          <w:lang w:val="en-US"/>
        </w:rPr>
        <w:cr/>
        <w:t>ranging session termination, see 11.21.6.6.2 (TB ranging and non-TB ranging session termination).</w:t>
      </w:r>
    </w:p>
    <w:p w14:paraId="6B505534" w14:textId="77777777" w:rsidR="005E4F5B" w:rsidRPr="00540AC5" w:rsidRDefault="005E4F5B" w:rsidP="00540AC5">
      <w:pPr>
        <w:rPr>
          <w:szCs w:val="22"/>
          <w:lang w:val="en-US"/>
        </w:rPr>
      </w:pPr>
    </w:p>
    <w:p w14:paraId="03E196F8" w14:textId="5AFDD591" w:rsidR="005E4F5B" w:rsidRDefault="005E4F5B" w:rsidP="005E4F5B">
      <w:pPr>
        <w:pStyle w:val="ListParagraph"/>
        <w:numPr>
          <w:ilvl w:val="0"/>
          <w:numId w:val="27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Once we add the rules, then it will be clear that the TXOP within an availability window </w:t>
      </w:r>
      <w:r w:rsidR="00540AC5">
        <w:rPr>
          <w:szCs w:val="22"/>
          <w:lang w:val="en-US"/>
        </w:rPr>
        <w:t xml:space="preserve">should not </w:t>
      </w:r>
      <w:r>
        <w:rPr>
          <w:szCs w:val="22"/>
          <w:lang w:val="en-US"/>
        </w:rPr>
        <w:t>exceed the sensing availability window.</w:t>
      </w:r>
    </w:p>
    <w:p w14:paraId="2B019B56" w14:textId="77777777" w:rsidR="00540AC5" w:rsidRDefault="00540AC5" w:rsidP="00540AC5">
      <w:pPr>
        <w:pStyle w:val="ListParagraph"/>
        <w:rPr>
          <w:szCs w:val="22"/>
          <w:lang w:val="en-US"/>
        </w:rPr>
      </w:pPr>
    </w:p>
    <w:p w14:paraId="7D5E3611" w14:textId="6CC1643E" w:rsidR="00540AC5" w:rsidRDefault="002065B2" w:rsidP="005E4F5B">
      <w:pPr>
        <w:pStyle w:val="ListParagraph"/>
        <w:numPr>
          <w:ilvl w:val="0"/>
          <w:numId w:val="27"/>
        </w:numPr>
        <w:rPr>
          <w:szCs w:val="22"/>
          <w:lang w:val="en-US"/>
        </w:rPr>
      </w:pPr>
      <w:r>
        <w:rPr>
          <w:szCs w:val="22"/>
          <w:lang w:val="en-US"/>
        </w:rPr>
        <w:t>We had an ad-hoc call with interested members on June 14</w:t>
      </w:r>
      <w:r w:rsidRPr="002065B2">
        <w:rPr>
          <w:szCs w:val="22"/>
          <w:vertAlign w:val="superscript"/>
          <w:lang w:val="en-US"/>
        </w:rPr>
        <w:t>th</w:t>
      </w:r>
      <w:r>
        <w:rPr>
          <w:szCs w:val="22"/>
          <w:lang w:val="en-US"/>
        </w:rPr>
        <w:t xml:space="preserve"> and we agreed with the following resolution to this CID.</w:t>
      </w:r>
    </w:p>
    <w:p w14:paraId="00694AF1" w14:textId="77777777" w:rsidR="005E4F5B" w:rsidRDefault="005E4F5B" w:rsidP="005E4F5B">
      <w:pPr>
        <w:rPr>
          <w:szCs w:val="22"/>
          <w:lang w:val="en-US"/>
        </w:rPr>
      </w:pPr>
    </w:p>
    <w:p w14:paraId="626C9E6B" w14:textId="77777777" w:rsidR="005E4F5B" w:rsidRDefault="005E4F5B" w:rsidP="005E4F5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TGbf</w:t>
      </w:r>
      <w:proofErr w:type="spellEnd"/>
      <w:r>
        <w:rPr>
          <w:b/>
          <w:bCs/>
          <w:i/>
          <w:iCs/>
        </w:rPr>
        <w:t xml:space="preserve"> editor, make the following change in D1.0:</w:t>
      </w:r>
    </w:p>
    <w:p w14:paraId="7C0668C7" w14:textId="77777777" w:rsidR="005E4F5B" w:rsidRDefault="005E4F5B" w:rsidP="005E4F5B">
      <w:pPr>
        <w:rPr>
          <w:b/>
          <w:bCs/>
          <w:i/>
          <w:iCs/>
        </w:rPr>
      </w:pPr>
      <w:r>
        <w:rPr>
          <w:b/>
          <w:bCs/>
          <w:i/>
          <w:iCs/>
        </w:rPr>
        <w:t>Add the following paragraph in Section 11.55.1.5.2.1</w:t>
      </w:r>
    </w:p>
    <w:p w14:paraId="1CEE96D4" w14:textId="77777777" w:rsidR="005E4F5B" w:rsidRPr="00540AC5" w:rsidRDefault="005E4F5B" w:rsidP="00540AC5">
      <w:pPr>
        <w:rPr>
          <w:szCs w:val="22"/>
          <w:lang w:val="en-US"/>
        </w:rPr>
      </w:pPr>
      <w:r w:rsidRPr="00540AC5">
        <w:rPr>
          <w:szCs w:val="22"/>
          <w:lang w:val="en-US"/>
        </w:rPr>
        <w:t xml:space="preserve">A sensing availability window is </w:t>
      </w:r>
      <w:proofErr w:type="gramStart"/>
      <w:r w:rsidRPr="00540AC5">
        <w:rPr>
          <w:szCs w:val="22"/>
          <w:lang w:val="en-US"/>
        </w:rPr>
        <w:t>a period of time</w:t>
      </w:r>
      <w:proofErr w:type="gramEnd"/>
      <w:r w:rsidRPr="00540AC5">
        <w:rPr>
          <w:szCs w:val="22"/>
          <w:lang w:val="en-US"/>
        </w:rPr>
        <w:t xml:space="preserve"> during which an AP and one or more STAs are assigned to participate in TB sensing measurement instance(s). All TB sensing measurement instances shall take place within a sensing availability window. Each sensing availability window may consist of one or more TXOPs, and each TXOP may consist of one or more TB sensing measurement instances.</w:t>
      </w:r>
    </w:p>
    <w:p w14:paraId="081CF24D" w14:textId="77777777" w:rsidR="005E4F5B" w:rsidRDefault="005E4F5B" w:rsidP="005E4F5B">
      <w:pPr>
        <w:rPr>
          <w:rFonts w:ascii="TimesNewRoman" w:eastAsia="TimesNewRoman" w:hAnsi="TimesNewRoman"/>
          <w:color w:val="000000"/>
          <w:szCs w:val="22"/>
        </w:rPr>
      </w:pPr>
    </w:p>
    <w:p w14:paraId="1F71C8B4" w14:textId="2A5DF93E" w:rsidR="00346F0E" w:rsidRPr="00E74D92" w:rsidRDefault="00CC28E6">
      <w:pPr>
        <w:rPr>
          <w:szCs w:val="22"/>
          <w:lang w:val="en-US"/>
        </w:rPr>
      </w:pPr>
      <w:r w:rsidRPr="00CC28E6">
        <w:rPr>
          <w:color w:val="FF0000"/>
          <w:szCs w:val="22"/>
          <w:u w:val="single"/>
          <w:lang w:val="en-US"/>
        </w:rPr>
        <w:t xml:space="preserve">Within each sensing availability </w:t>
      </w:r>
      <w:r w:rsidRPr="00CC28E6">
        <w:rPr>
          <w:color w:val="FF0000"/>
          <w:szCs w:val="22"/>
          <w:u w:val="single"/>
          <w:lang w:val="en-US"/>
        </w:rPr>
        <w:t>window,</w:t>
      </w:r>
      <w:r w:rsidRPr="00CC28E6">
        <w:rPr>
          <w:color w:val="FF0000"/>
          <w:szCs w:val="22"/>
          <w:u w:val="single"/>
          <w:lang w:val="en-US"/>
        </w:rPr>
        <w:t xml:space="preserve"> the sensing initiator and sensing responder(s) should not transmit or trigger transmission of any Data frames and instead</w:t>
      </w:r>
      <w:r w:rsidR="00CB63BF">
        <w:rPr>
          <w:color w:val="FF0000"/>
          <w:szCs w:val="22"/>
          <w:u w:val="single"/>
          <w:lang w:val="en-US"/>
        </w:rPr>
        <w:t xml:space="preserve"> </w:t>
      </w:r>
      <w:r w:rsidRPr="00CC28E6">
        <w:rPr>
          <w:color w:val="FF0000"/>
          <w:szCs w:val="22"/>
          <w:u w:val="single"/>
          <w:lang w:val="en-US"/>
        </w:rPr>
        <w:t xml:space="preserve">should only perform sensing activities related to polling, NDPA sounding, TF sounding, and reporting phases, and if required SBP reporting, see 11.55.2.3 (Reporting). </w:t>
      </w: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38482BC0" w14:textId="316F33A2" w:rsidR="00CC1573" w:rsidRPr="00E74D92" w:rsidRDefault="00544870" w:rsidP="003C007B">
      <w:r>
        <w:t>Y/N/A</w:t>
      </w:r>
    </w:p>
    <w:sectPr w:rsidR="00CC1573" w:rsidRPr="00E74D9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0270" w14:textId="77777777" w:rsidR="0065382F" w:rsidRDefault="0065382F">
      <w:r>
        <w:separator/>
      </w:r>
    </w:p>
  </w:endnote>
  <w:endnote w:type="continuationSeparator" w:id="0">
    <w:p w14:paraId="3DFD9EE2" w14:textId="77777777" w:rsidR="0065382F" w:rsidRDefault="006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231D76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C8BD" w14:textId="77777777" w:rsidR="0065382F" w:rsidRDefault="0065382F">
      <w:r>
        <w:separator/>
      </w:r>
    </w:p>
  </w:footnote>
  <w:footnote w:type="continuationSeparator" w:id="0">
    <w:p w14:paraId="120B6CC9" w14:textId="77777777" w:rsidR="0065382F" w:rsidRDefault="0065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542266EA" w:rsidR="0029020B" w:rsidRDefault="007B55DE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441B13">
      <w:t xml:space="preserve"> 2023</w:t>
    </w:r>
    <w:r w:rsidR="0029020B">
      <w:tab/>
    </w:r>
    <w:r w:rsidR="0029020B">
      <w:tab/>
    </w:r>
    <w:r w:rsidR="00231D76">
      <w:fldChar w:fldCharType="begin"/>
    </w:r>
    <w:r w:rsidR="00231D76">
      <w:instrText xml:space="preserve"> TITLE  \* MERGEFORMAT </w:instrText>
    </w:r>
    <w:r w:rsidR="00231D76">
      <w:fldChar w:fldCharType="separate"/>
    </w:r>
    <w:r w:rsidR="002661E6">
      <w:t>doc.: IEEE 802.11-23/</w:t>
    </w:r>
    <w:r w:rsidR="00231D76">
      <w:t>1044r0</w:t>
    </w:r>
    <w:r w:rsidR="00231D7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F4ED0"/>
    <w:multiLevelType w:val="hybridMultilevel"/>
    <w:tmpl w:val="F88C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164D"/>
    <w:multiLevelType w:val="hybridMultilevel"/>
    <w:tmpl w:val="635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22"/>
  </w:num>
  <w:num w:numId="2" w16cid:durableId="1655181690">
    <w:abstractNumId w:val="3"/>
  </w:num>
  <w:num w:numId="3" w16cid:durableId="2115437319">
    <w:abstractNumId w:val="4"/>
  </w:num>
  <w:num w:numId="4" w16cid:durableId="668991931">
    <w:abstractNumId w:val="11"/>
  </w:num>
  <w:num w:numId="5" w16cid:durableId="13118043">
    <w:abstractNumId w:val="8"/>
  </w:num>
  <w:num w:numId="6" w16cid:durableId="115412172">
    <w:abstractNumId w:val="18"/>
  </w:num>
  <w:num w:numId="7" w16cid:durableId="1543396427">
    <w:abstractNumId w:val="13"/>
  </w:num>
  <w:num w:numId="8" w16cid:durableId="318385523">
    <w:abstractNumId w:val="25"/>
  </w:num>
  <w:num w:numId="9" w16cid:durableId="813838249">
    <w:abstractNumId w:val="7"/>
  </w:num>
  <w:num w:numId="10" w16cid:durableId="1454860627">
    <w:abstractNumId w:val="9"/>
  </w:num>
  <w:num w:numId="11" w16cid:durableId="190919314">
    <w:abstractNumId w:val="14"/>
  </w:num>
  <w:num w:numId="12" w16cid:durableId="825246221">
    <w:abstractNumId w:val="12"/>
  </w:num>
  <w:num w:numId="13" w16cid:durableId="1030257081">
    <w:abstractNumId w:val="16"/>
  </w:num>
  <w:num w:numId="14" w16cid:durableId="67192853">
    <w:abstractNumId w:val="26"/>
  </w:num>
  <w:num w:numId="15" w16cid:durableId="1438788223">
    <w:abstractNumId w:val="1"/>
  </w:num>
  <w:num w:numId="16" w16cid:durableId="1808859230">
    <w:abstractNumId w:val="2"/>
  </w:num>
  <w:num w:numId="17" w16cid:durableId="121310852">
    <w:abstractNumId w:val="24"/>
  </w:num>
  <w:num w:numId="18" w16cid:durableId="88893946">
    <w:abstractNumId w:val="27"/>
  </w:num>
  <w:num w:numId="19" w16cid:durableId="1034497441">
    <w:abstractNumId w:val="5"/>
  </w:num>
  <w:num w:numId="20" w16cid:durableId="1456680928">
    <w:abstractNumId w:val="0"/>
  </w:num>
  <w:num w:numId="21" w16cid:durableId="517740018">
    <w:abstractNumId w:val="23"/>
  </w:num>
  <w:num w:numId="22" w16cid:durableId="389113841">
    <w:abstractNumId w:val="10"/>
  </w:num>
  <w:num w:numId="23" w16cid:durableId="1606645039">
    <w:abstractNumId w:val="17"/>
  </w:num>
  <w:num w:numId="24" w16cid:durableId="92167988">
    <w:abstractNumId w:val="19"/>
  </w:num>
  <w:num w:numId="25" w16cid:durableId="992415713">
    <w:abstractNumId w:val="6"/>
  </w:num>
  <w:num w:numId="26" w16cid:durableId="65882918">
    <w:abstractNumId w:val="15"/>
  </w:num>
  <w:num w:numId="27" w16cid:durableId="974872204">
    <w:abstractNumId w:val="20"/>
  </w:num>
  <w:num w:numId="28" w16cid:durableId="18046185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16E"/>
    <w:rsid w:val="000036BA"/>
    <w:rsid w:val="0000575E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219D"/>
    <w:rsid w:val="00024364"/>
    <w:rsid w:val="00024926"/>
    <w:rsid w:val="0002701B"/>
    <w:rsid w:val="00027772"/>
    <w:rsid w:val="0003309F"/>
    <w:rsid w:val="000335B1"/>
    <w:rsid w:val="00033F74"/>
    <w:rsid w:val="000354E7"/>
    <w:rsid w:val="000356A9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56F2E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142D"/>
    <w:rsid w:val="00071E8C"/>
    <w:rsid w:val="00072071"/>
    <w:rsid w:val="00072CB5"/>
    <w:rsid w:val="000731AC"/>
    <w:rsid w:val="000737BC"/>
    <w:rsid w:val="000751AD"/>
    <w:rsid w:val="0007595D"/>
    <w:rsid w:val="000818F7"/>
    <w:rsid w:val="00081C9B"/>
    <w:rsid w:val="00084016"/>
    <w:rsid w:val="00085804"/>
    <w:rsid w:val="00086917"/>
    <w:rsid w:val="000873FB"/>
    <w:rsid w:val="00090ACC"/>
    <w:rsid w:val="00093DBA"/>
    <w:rsid w:val="000966F9"/>
    <w:rsid w:val="000A0403"/>
    <w:rsid w:val="000A0429"/>
    <w:rsid w:val="000A1EBC"/>
    <w:rsid w:val="000A4E6A"/>
    <w:rsid w:val="000B2E8E"/>
    <w:rsid w:val="000B6316"/>
    <w:rsid w:val="000C347C"/>
    <w:rsid w:val="000C442D"/>
    <w:rsid w:val="000C540E"/>
    <w:rsid w:val="000C7675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8BC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267A6"/>
    <w:rsid w:val="00130175"/>
    <w:rsid w:val="001332AA"/>
    <w:rsid w:val="001333E0"/>
    <w:rsid w:val="00133DC8"/>
    <w:rsid w:val="00133FCA"/>
    <w:rsid w:val="00134561"/>
    <w:rsid w:val="00134D21"/>
    <w:rsid w:val="00135CCE"/>
    <w:rsid w:val="00136B33"/>
    <w:rsid w:val="00142268"/>
    <w:rsid w:val="00142D3D"/>
    <w:rsid w:val="00144DCE"/>
    <w:rsid w:val="00152A67"/>
    <w:rsid w:val="001558A5"/>
    <w:rsid w:val="001564EF"/>
    <w:rsid w:val="00156CEC"/>
    <w:rsid w:val="001603F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5F78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2AD2"/>
    <w:rsid w:val="001A2D11"/>
    <w:rsid w:val="001A3AB2"/>
    <w:rsid w:val="001A4501"/>
    <w:rsid w:val="001A497D"/>
    <w:rsid w:val="001A7671"/>
    <w:rsid w:val="001A79CA"/>
    <w:rsid w:val="001C0978"/>
    <w:rsid w:val="001C1B00"/>
    <w:rsid w:val="001C210D"/>
    <w:rsid w:val="001C36FE"/>
    <w:rsid w:val="001C6CAB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065B2"/>
    <w:rsid w:val="00210A2D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75C4"/>
    <w:rsid w:val="00227ED1"/>
    <w:rsid w:val="00231C5B"/>
    <w:rsid w:val="00231D76"/>
    <w:rsid w:val="00240090"/>
    <w:rsid w:val="00242D4C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661E6"/>
    <w:rsid w:val="00274BE2"/>
    <w:rsid w:val="002753DA"/>
    <w:rsid w:val="002762F8"/>
    <w:rsid w:val="002767FE"/>
    <w:rsid w:val="0027725A"/>
    <w:rsid w:val="00280A96"/>
    <w:rsid w:val="00282AC3"/>
    <w:rsid w:val="00283156"/>
    <w:rsid w:val="00283A4F"/>
    <w:rsid w:val="00286704"/>
    <w:rsid w:val="00286D08"/>
    <w:rsid w:val="00286F14"/>
    <w:rsid w:val="0029020B"/>
    <w:rsid w:val="00293AAB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F70"/>
    <w:rsid w:val="002C7A34"/>
    <w:rsid w:val="002D42E4"/>
    <w:rsid w:val="002D44BE"/>
    <w:rsid w:val="002D456E"/>
    <w:rsid w:val="002D4DBB"/>
    <w:rsid w:val="002D61C4"/>
    <w:rsid w:val="002D6E0A"/>
    <w:rsid w:val="002E37A3"/>
    <w:rsid w:val="002E3AF0"/>
    <w:rsid w:val="002E3C24"/>
    <w:rsid w:val="002E7E13"/>
    <w:rsid w:val="002F1E54"/>
    <w:rsid w:val="002F5CCD"/>
    <w:rsid w:val="002F7576"/>
    <w:rsid w:val="00300A1B"/>
    <w:rsid w:val="00300EA3"/>
    <w:rsid w:val="0030273F"/>
    <w:rsid w:val="00303903"/>
    <w:rsid w:val="003040A4"/>
    <w:rsid w:val="003051A7"/>
    <w:rsid w:val="00305D07"/>
    <w:rsid w:val="00311978"/>
    <w:rsid w:val="00316046"/>
    <w:rsid w:val="003212EE"/>
    <w:rsid w:val="00322AD6"/>
    <w:rsid w:val="00323AA5"/>
    <w:rsid w:val="003242A4"/>
    <w:rsid w:val="00324A4F"/>
    <w:rsid w:val="00324BB9"/>
    <w:rsid w:val="00330FBB"/>
    <w:rsid w:val="00331D2D"/>
    <w:rsid w:val="003321BF"/>
    <w:rsid w:val="00332717"/>
    <w:rsid w:val="00340605"/>
    <w:rsid w:val="00346F0E"/>
    <w:rsid w:val="003502DD"/>
    <w:rsid w:val="00351AE7"/>
    <w:rsid w:val="00354B2E"/>
    <w:rsid w:val="00354D5A"/>
    <w:rsid w:val="00356CB0"/>
    <w:rsid w:val="003613EF"/>
    <w:rsid w:val="0036153F"/>
    <w:rsid w:val="00362538"/>
    <w:rsid w:val="003647A8"/>
    <w:rsid w:val="00366B0B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2B6D"/>
    <w:rsid w:val="00384809"/>
    <w:rsid w:val="003878DF"/>
    <w:rsid w:val="00392FEE"/>
    <w:rsid w:val="00395BA7"/>
    <w:rsid w:val="00396F41"/>
    <w:rsid w:val="0039714F"/>
    <w:rsid w:val="0039777F"/>
    <w:rsid w:val="003A30D3"/>
    <w:rsid w:val="003A31C2"/>
    <w:rsid w:val="003A36A2"/>
    <w:rsid w:val="003A60C9"/>
    <w:rsid w:val="003A6684"/>
    <w:rsid w:val="003B094F"/>
    <w:rsid w:val="003B46A3"/>
    <w:rsid w:val="003B5417"/>
    <w:rsid w:val="003B703E"/>
    <w:rsid w:val="003C007B"/>
    <w:rsid w:val="003C2156"/>
    <w:rsid w:val="003C21F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25C4F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5712"/>
    <w:rsid w:val="00445C84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66FCF"/>
    <w:rsid w:val="0047161D"/>
    <w:rsid w:val="0047319E"/>
    <w:rsid w:val="00473B39"/>
    <w:rsid w:val="00475E79"/>
    <w:rsid w:val="00477B00"/>
    <w:rsid w:val="0048448E"/>
    <w:rsid w:val="00484C0D"/>
    <w:rsid w:val="00486755"/>
    <w:rsid w:val="0048700D"/>
    <w:rsid w:val="00495462"/>
    <w:rsid w:val="004965CC"/>
    <w:rsid w:val="004A0B03"/>
    <w:rsid w:val="004A2B87"/>
    <w:rsid w:val="004A2EC6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B60"/>
    <w:rsid w:val="00516FD1"/>
    <w:rsid w:val="0052179C"/>
    <w:rsid w:val="00522573"/>
    <w:rsid w:val="00526DCA"/>
    <w:rsid w:val="005279D7"/>
    <w:rsid w:val="005304C7"/>
    <w:rsid w:val="005307E4"/>
    <w:rsid w:val="00530A1C"/>
    <w:rsid w:val="0053138D"/>
    <w:rsid w:val="00532E0B"/>
    <w:rsid w:val="0053408A"/>
    <w:rsid w:val="00534746"/>
    <w:rsid w:val="005355C6"/>
    <w:rsid w:val="005368F0"/>
    <w:rsid w:val="005371D8"/>
    <w:rsid w:val="00537E10"/>
    <w:rsid w:val="00540AC5"/>
    <w:rsid w:val="00544870"/>
    <w:rsid w:val="005448B4"/>
    <w:rsid w:val="00544DB1"/>
    <w:rsid w:val="005555BF"/>
    <w:rsid w:val="00555A94"/>
    <w:rsid w:val="0055665E"/>
    <w:rsid w:val="00557E61"/>
    <w:rsid w:val="005610A7"/>
    <w:rsid w:val="00563422"/>
    <w:rsid w:val="00564239"/>
    <w:rsid w:val="0056753D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4376"/>
    <w:rsid w:val="00584E54"/>
    <w:rsid w:val="005867D6"/>
    <w:rsid w:val="005875F1"/>
    <w:rsid w:val="00587DB6"/>
    <w:rsid w:val="005919D2"/>
    <w:rsid w:val="005936D2"/>
    <w:rsid w:val="00594638"/>
    <w:rsid w:val="00597E33"/>
    <w:rsid w:val="00597F7F"/>
    <w:rsid w:val="005A1091"/>
    <w:rsid w:val="005A38D8"/>
    <w:rsid w:val="005A486B"/>
    <w:rsid w:val="005A5EA4"/>
    <w:rsid w:val="005B1887"/>
    <w:rsid w:val="005B41F7"/>
    <w:rsid w:val="005B68DC"/>
    <w:rsid w:val="005C0B7E"/>
    <w:rsid w:val="005C3533"/>
    <w:rsid w:val="005C3855"/>
    <w:rsid w:val="005C52A0"/>
    <w:rsid w:val="005D00DC"/>
    <w:rsid w:val="005D1607"/>
    <w:rsid w:val="005D1DED"/>
    <w:rsid w:val="005D2A5E"/>
    <w:rsid w:val="005D2C77"/>
    <w:rsid w:val="005D3A80"/>
    <w:rsid w:val="005D47D2"/>
    <w:rsid w:val="005E18AC"/>
    <w:rsid w:val="005E2BBB"/>
    <w:rsid w:val="005E3E33"/>
    <w:rsid w:val="005E41C1"/>
    <w:rsid w:val="005E4F5B"/>
    <w:rsid w:val="005E76A5"/>
    <w:rsid w:val="005F222D"/>
    <w:rsid w:val="005F33FF"/>
    <w:rsid w:val="005F4927"/>
    <w:rsid w:val="00601EC5"/>
    <w:rsid w:val="00612883"/>
    <w:rsid w:val="0061372A"/>
    <w:rsid w:val="00613D80"/>
    <w:rsid w:val="00614EF4"/>
    <w:rsid w:val="0061513F"/>
    <w:rsid w:val="00620B44"/>
    <w:rsid w:val="00621F4A"/>
    <w:rsid w:val="00622859"/>
    <w:rsid w:val="0062440B"/>
    <w:rsid w:val="00624730"/>
    <w:rsid w:val="006264B5"/>
    <w:rsid w:val="00626714"/>
    <w:rsid w:val="00627D92"/>
    <w:rsid w:val="0063107E"/>
    <w:rsid w:val="00633E9A"/>
    <w:rsid w:val="0063640D"/>
    <w:rsid w:val="0063753F"/>
    <w:rsid w:val="00640653"/>
    <w:rsid w:val="0065382F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90709"/>
    <w:rsid w:val="00697005"/>
    <w:rsid w:val="00697191"/>
    <w:rsid w:val="00697883"/>
    <w:rsid w:val="006A6CC8"/>
    <w:rsid w:val="006B0A04"/>
    <w:rsid w:val="006B16EE"/>
    <w:rsid w:val="006B36CB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057D"/>
    <w:rsid w:val="006D1D91"/>
    <w:rsid w:val="006D557F"/>
    <w:rsid w:val="006D7D51"/>
    <w:rsid w:val="006E011F"/>
    <w:rsid w:val="006E0E7D"/>
    <w:rsid w:val="006E145F"/>
    <w:rsid w:val="006E1D46"/>
    <w:rsid w:val="006E5B1F"/>
    <w:rsid w:val="006E6115"/>
    <w:rsid w:val="006E7561"/>
    <w:rsid w:val="006E7718"/>
    <w:rsid w:val="006F0DB5"/>
    <w:rsid w:val="006F1A1C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3102F"/>
    <w:rsid w:val="00733AF6"/>
    <w:rsid w:val="00736909"/>
    <w:rsid w:val="00737928"/>
    <w:rsid w:val="00740F61"/>
    <w:rsid w:val="00744FD0"/>
    <w:rsid w:val="0074579D"/>
    <w:rsid w:val="0074709B"/>
    <w:rsid w:val="0074768D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94CEB"/>
    <w:rsid w:val="0079734D"/>
    <w:rsid w:val="00797B43"/>
    <w:rsid w:val="007A0B55"/>
    <w:rsid w:val="007A0F96"/>
    <w:rsid w:val="007A496A"/>
    <w:rsid w:val="007B0EDB"/>
    <w:rsid w:val="007B1B49"/>
    <w:rsid w:val="007B1E47"/>
    <w:rsid w:val="007B2EE1"/>
    <w:rsid w:val="007B55DE"/>
    <w:rsid w:val="007B5F20"/>
    <w:rsid w:val="007C1F7A"/>
    <w:rsid w:val="007C294E"/>
    <w:rsid w:val="007C30D1"/>
    <w:rsid w:val="007C6589"/>
    <w:rsid w:val="007D04E3"/>
    <w:rsid w:val="007D70B8"/>
    <w:rsid w:val="007E0838"/>
    <w:rsid w:val="007E7311"/>
    <w:rsid w:val="007E7B27"/>
    <w:rsid w:val="007F1077"/>
    <w:rsid w:val="007F26FE"/>
    <w:rsid w:val="007F5B77"/>
    <w:rsid w:val="0080078A"/>
    <w:rsid w:val="00802986"/>
    <w:rsid w:val="00805F01"/>
    <w:rsid w:val="00806ED0"/>
    <w:rsid w:val="0081023A"/>
    <w:rsid w:val="00811A99"/>
    <w:rsid w:val="0081714D"/>
    <w:rsid w:val="00822EE1"/>
    <w:rsid w:val="00823E03"/>
    <w:rsid w:val="008253A0"/>
    <w:rsid w:val="0082651B"/>
    <w:rsid w:val="008275C4"/>
    <w:rsid w:val="00827AB1"/>
    <w:rsid w:val="00831251"/>
    <w:rsid w:val="008316A6"/>
    <w:rsid w:val="00833398"/>
    <w:rsid w:val="008364E1"/>
    <w:rsid w:val="00836D71"/>
    <w:rsid w:val="00836EF5"/>
    <w:rsid w:val="00837FE9"/>
    <w:rsid w:val="008425FB"/>
    <w:rsid w:val="00846683"/>
    <w:rsid w:val="00851200"/>
    <w:rsid w:val="00852C90"/>
    <w:rsid w:val="0085319A"/>
    <w:rsid w:val="00855DEC"/>
    <w:rsid w:val="00864EBB"/>
    <w:rsid w:val="00866BA8"/>
    <w:rsid w:val="00875D2E"/>
    <w:rsid w:val="0087699A"/>
    <w:rsid w:val="00877E74"/>
    <w:rsid w:val="008807BB"/>
    <w:rsid w:val="00880DA8"/>
    <w:rsid w:val="0088142F"/>
    <w:rsid w:val="00881CBA"/>
    <w:rsid w:val="00882567"/>
    <w:rsid w:val="00886760"/>
    <w:rsid w:val="00887B53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4D3D"/>
    <w:rsid w:val="008A527D"/>
    <w:rsid w:val="008A52A9"/>
    <w:rsid w:val="008B2530"/>
    <w:rsid w:val="008B5E20"/>
    <w:rsid w:val="008C2BAB"/>
    <w:rsid w:val="008D10C4"/>
    <w:rsid w:val="008D2942"/>
    <w:rsid w:val="008E15F5"/>
    <w:rsid w:val="008E494C"/>
    <w:rsid w:val="008E7637"/>
    <w:rsid w:val="008F3C3D"/>
    <w:rsid w:val="008F674F"/>
    <w:rsid w:val="008F78F8"/>
    <w:rsid w:val="0090229B"/>
    <w:rsid w:val="009029CB"/>
    <w:rsid w:val="00902A2D"/>
    <w:rsid w:val="00903263"/>
    <w:rsid w:val="00913691"/>
    <w:rsid w:val="00913B04"/>
    <w:rsid w:val="009160EA"/>
    <w:rsid w:val="00916A65"/>
    <w:rsid w:val="00917527"/>
    <w:rsid w:val="009204B0"/>
    <w:rsid w:val="00920C7E"/>
    <w:rsid w:val="00921D67"/>
    <w:rsid w:val="00922EA6"/>
    <w:rsid w:val="009252EE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423E7"/>
    <w:rsid w:val="00943B26"/>
    <w:rsid w:val="00945BBE"/>
    <w:rsid w:val="009461C2"/>
    <w:rsid w:val="009465F3"/>
    <w:rsid w:val="00951356"/>
    <w:rsid w:val="009513C8"/>
    <w:rsid w:val="00951F1B"/>
    <w:rsid w:val="009525D3"/>
    <w:rsid w:val="00956D55"/>
    <w:rsid w:val="0096154A"/>
    <w:rsid w:val="00963D5D"/>
    <w:rsid w:val="00967241"/>
    <w:rsid w:val="009673A9"/>
    <w:rsid w:val="00972384"/>
    <w:rsid w:val="00973725"/>
    <w:rsid w:val="00976C4A"/>
    <w:rsid w:val="009776B2"/>
    <w:rsid w:val="00977B8F"/>
    <w:rsid w:val="00980FAA"/>
    <w:rsid w:val="00986BF4"/>
    <w:rsid w:val="009903BF"/>
    <w:rsid w:val="009909EC"/>
    <w:rsid w:val="009911EA"/>
    <w:rsid w:val="00993E14"/>
    <w:rsid w:val="00995C78"/>
    <w:rsid w:val="009A0A2B"/>
    <w:rsid w:val="009A16B4"/>
    <w:rsid w:val="009A2E15"/>
    <w:rsid w:val="009A6D9B"/>
    <w:rsid w:val="009B0326"/>
    <w:rsid w:val="009B1D1B"/>
    <w:rsid w:val="009B1D71"/>
    <w:rsid w:val="009B252C"/>
    <w:rsid w:val="009B3634"/>
    <w:rsid w:val="009B3662"/>
    <w:rsid w:val="009B4F8A"/>
    <w:rsid w:val="009B5710"/>
    <w:rsid w:val="009C0B45"/>
    <w:rsid w:val="009C0BF1"/>
    <w:rsid w:val="009C1A61"/>
    <w:rsid w:val="009C1D7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2194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0E10"/>
    <w:rsid w:val="00A46E93"/>
    <w:rsid w:val="00A470C7"/>
    <w:rsid w:val="00A5342A"/>
    <w:rsid w:val="00A5372E"/>
    <w:rsid w:val="00A542B6"/>
    <w:rsid w:val="00A54837"/>
    <w:rsid w:val="00A56982"/>
    <w:rsid w:val="00A56EE0"/>
    <w:rsid w:val="00A5762D"/>
    <w:rsid w:val="00A676A0"/>
    <w:rsid w:val="00A71571"/>
    <w:rsid w:val="00A736FF"/>
    <w:rsid w:val="00A746CA"/>
    <w:rsid w:val="00A75218"/>
    <w:rsid w:val="00A768B1"/>
    <w:rsid w:val="00A77290"/>
    <w:rsid w:val="00A808B5"/>
    <w:rsid w:val="00A81446"/>
    <w:rsid w:val="00A81C9A"/>
    <w:rsid w:val="00A83E94"/>
    <w:rsid w:val="00A8569B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183C"/>
    <w:rsid w:val="00AA29F9"/>
    <w:rsid w:val="00AA427C"/>
    <w:rsid w:val="00AA5997"/>
    <w:rsid w:val="00AA6E29"/>
    <w:rsid w:val="00AA7DC0"/>
    <w:rsid w:val="00AB0A84"/>
    <w:rsid w:val="00AB2923"/>
    <w:rsid w:val="00AB3286"/>
    <w:rsid w:val="00AB4A13"/>
    <w:rsid w:val="00AC07D1"/>
    <w:rsid w:val="00AC266D"/>
    <w:rsid w:val="00AC2723"/>
    <w:rsid w:val="00AC46A0"/>
    <w:rsid w:val="00AC4D71"/>
    <w:rsid w:val="00AC692A"/>
    <w:rsid w:val="00AD1A80"/>
    <w:rsid w:val="00AD1B1D"/>
    <w:rsid w:val="00AD3144"/>
    <w:rsid w:val="00AD3520"/>
    <w:rsid w:val="00AD3EFD"/>
    <w:rsid w:val="00AD53D5"/>
    <w:rsid w:val="00AD6A5D"/>
    <w:rsid w:val="00AE26AE"/>
    <w:rsid w:val="00AE733F"/>
    <w:rsid w:val="00AF0552"/>
    <w:rsid w:val="00AF2B91"/>
    <w:rsid w:val="00AF5389"/>
    <w:rsid w:val="00AF7DD7"/>
    <w:rsid w:val="00B00396"/>
    <w:rsid w:val="00B01E1C"/>
    <w:rsid w:val="00B02037"/>
    <w:rsid w:val="00B03D61"/>
    <w:rsid w:val="00B047E4"/>
    <w:rsid w:val="00B0719F"/>
    <w:rsid w:val="00B1001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36C2"/>
    <w:rsid w:val="00B2479F"/>
    <w:rsid w:val="00B260E5"/>
    <w:rsid w:val="00B2692E"/>
    <w:rsid w:val="00B3072C"/>
    <w:rsid w:val="00B317A6"/>
    <w:rsid w:val="00B40975"/>
    <w:rsid w:val="00B40F7E"/>
    <w:rsid w:val="00B42259"/>
    <w:rsid w:val="00B43B4F"/>
    <w:rsid w:val="00B4449B"/>
    <w:rsid w:val="00B46D1E"/>
    <w:rsid w:val="00B50B5D"/>
    <w:rsid w:val="00B51207"/>
    <w:rsid w:val="00B53093"/>
    <w:rsid w:val="00B53E85"/>
    <w:rsid w:val="00B54EF9"/>
    <w:rsid w:val="00B55366"/>
    <w:rsid w:val="00B62610"/>
    <w:rsid w:val="00B64109"/>
    <w:rsid w:val="00B64A02"/>
    <w:rsid w:val="00B74A8E"/>
    <w:rsid w:val="00B76882"/>
    <w:rsid w:val="00B77006"/>
    <w:rsid w:val="00B946BC"/>
    <w:rsid w:val="00B955BE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347"/>
    <w:rsid w:val="00BC1963"/>
    <w:rsid w:val="00BC1F62"/>
    <w:rsid w:val="00BC2658"/>
    <w:rsid w:val="00BC365E"/>
    <w:rsid w:val="00BC4CC6"/>
    <w:rsid w:val="00BC5214"/>
    <w:rsid w:val="00BC5C1E"/>
    <w:rsid w:val="00BC66E2"/>
    <w:rsid w:val="00BC7956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42C"/>
    <w:rsid w:val="00BF2639"/>
    <w:rsid w:val="00BF3FE5"/>
    <w:rsid w:val="00BF4C5A"/>
    <w:rsid w:val="00BF5953"/>
    <w:rsid w:val="00BF743D"/>
    <w:rsid w:val="00C0014F"/>
    <w:rsid w:val="00C01580"/>
    <w:rsid w:val="00C01882"/>
    <w:rsid w:val="00C02818"/>
    <w:rsid w:val="00C03BFA"/>
    <w:rsid w:val="00C041B1"/>
    <w:rsid w:val="00C058F5"/>
    <w:rsid w:val="00C06459"/>
    <w:rsid w:val="00C15C35"/>
    <w:rsid w:val="00C17458"/>
    <w:rsid w:val="00C21281"/>
    <w:rsid w:val="00C242DC"/>
    <w:rsid w:val="00C248ED"/>
    <w:rsid w:val="00C2704D"/>
    <w:rsid w:val="00C273A0"/>
    <w:rsid w:val="00C2788E"/>
    <w:rsid w:val="00C30351"/>
    <w:rsid w:val="00C30431"/>
    <w:rsid w:val="00C30E94"/>
    <w:rsid w:val="00C3105A"/>
    <w:rsid w:val="00C34636"/>
    <w:rsid w:val="00C36EB4"/>
    <w:rsid w:val="00C37EA0"/>
    <w:rsid w:val="00C40F47"/>
    <w:rsid w:val="00C44118"/>
    <w:rsid w:val="00C45E6F"/>
    <w:rsid w:val="00C465E2"/>
    <w:rsid w:val="00C50CDF"/>
    <w:rsid w:val="00C52E46"/>
    <w:rsid w:val="00C53013"/>
    <w:rsid w:val="00C53E4F"/>
    <w:rsid w:val="00C54111"/>
    <w:rsid w:val="00C60362"/>
    <w:rsid w:val="00C613A5"/>
    <w:rsid w:val="00C6184F"/>
    <w:rsid w:val="00C6188E"/>
    <w:rsid w:val="00C6298A"/>
    <w:rsid w:val="00C6564E"/>
    <w:rsid w:val="00C74AB6"/>
    <w:rsid w:val="00C759D4"/>
    <w:rsid w:val="00C76127"/>
    <w:rsid w:val="00C76624"/>
    <w:rsid w:val="00C80597"/>
    <w:rsid w:val="00C805B0"/>
    <w:rsid w:val="00C81C4C"/>
    <w:rsid w:val="00C827A6"/>
    <w:rsid w:val="00C83B27"/>
    <w:rsid w:val="00C83B2B"/>
    <w:rsid w:val="00C83EA6"/>
    <w:rsid w:val="00C87E97"/>
    <w:rsid w:val="00C94D89"/>
    <w:rsid w:val="00C95A01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D17"/>
    <w:rsid w:val="00CA7A61"/>
    <w:rsid w:val="00CB5198"/>
    <w:rsid w:val="00CB63BF"/>
    <w:rsid w:val="00CC0D4B"/>
    <w:rsid w:val="00CC100E"/>
    <w:rsid w:val="00CC1185"/>
    <w:rsid w:val="00CC1573"/>
    <w:rsid w:val="00CC2084"/>
    <w:rsid w:val="00CC26C9"/>
    <w:rsid w:val="00CC28E6"/>
    <w:rsid w:val="00CC2A13"/>
    <w:rsid w:val="00CC3A7F"/>
    <w:rsid w:val="00CD25E9"/>
    <w:rsid w:val="00CD268B"/>
    <w:rsid w:val="00CD338D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1922"/>
    <w:rsid w:val="00D1314B"/>
    <w:rsid w:val="00D13221"/>
    <w:rsid w:val="00D13F2C"/>
    <w:rsid w:val="00D154CE"/>
    <w:rsid w:val="00D23147"/>
    <w:rsid w:val="00D246DB"/>
    <w:rsid w:val="00D31C26"/>
    <w:rsid w:val="00D31F02"/>
    <w:rsid w:val="00D31F41"/>
    <w:rsid w:val="00D33071"/>
    <w:rsid w:val="00D351F8"/>
    <w:rsid w:val="00D35879"/>
    <w:rsid w:val="00D409E1"/>
    <w:rsid w:val="00D45DF4"/>
    <w:rsid w:val="00D46F43"/>
    <w:rsid w:val="00D47729"/>
    <w:rsid w:val="00D5018F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9A"/>
    <w:rsid w:val="00D6031E"/>
    <w:rsid w:val="00D60A5B"/>
    <w:rsid w:val="00D60BB8"/>
    <w:rsid w:val="00D640FE"/>
    <w:rsid w:val="00D6517B"/>
    <w:rsid w:val="00D66915"/>
    <w:rsid w:val="00D67585"/>
    <w:rsid w:val="00D72BA3"/>
    <w:rsid w:val="00D732E8"/>
    <w:rsid w:val="00D76383"/>
    <w:rsid w:val="00D76AB2"/>
    <w:rsid w:val="00D80ACF"/>
    <w:rsid w:val="00D81007"/>
    <w:rsid w:val="00D852BE"/>
    <w:rsid w:val="00D90BF0"/>
    <w:rsid w:val="00D91D5F"/>
    <w:rsid w:val="00D922B2"/>
    <w:rsid w:val="00D9265B"/>
    <w:rsid w:val="00D939E9"/>
    <w:rsid w:val="00D9546A"/>
    <w:rsid w:val="00DA247D"/>
    <w:rsid w:val="00DA2857"/>
    <w:rsid w:val="00DA2F42"/>
    <w:rsid w:val="00DA5F53"/>
    <w:rsid w:val="00DB091C"/>
    <w:rsid w:val="00DB59D3"/>
    <w:rsid w:val="00DB6B5A"/>
    <w:rsid w:val="00DB6C10"/>
    <w:rsid w:val="00DB724E"/>
    <w:rsid w:val="00DC12FF"/>
    <w:rsid w:val="00DC1F54"/>
    <w:rsid w:val="00DC494B"/>
    <w:rsid w:val="00DC5A7B"/>
    <w:rsid w:val="00DD12EF"/>
    <w:rsid w:val="00DD3DA3"/>
    <w:rsid w:val="00DD7919"/>
    <w:rsid w:val="00DE1AB5"/>
    <w:rsid w:val="00DE493F"/>
    <w:rsid w:val="00DF062F"/>
    <w:rsid w:val="00DF0730"/>
    <w:rsid w:val="00DF0BB0"/>
    <w:rsid w:val="00DF6202"/>
    <w:rsid w:val="00E01466"/>
    <w:rsid w:val="00E0208B"/>
    <w:rsid w:val="00E02CC3"/>
    <w:rsid w:val="00E07FD6"/>
    <w:rsid w:val="00E15417"/>
    <w:rsid w:val="00E1618F"/>
    <w:rsid w:val="00E20765"/>
    <w:rsid w:val="00E21E9E"/>
    <w:rsid w:val="00E22C25"/>
    <w:rsid w:val="00E24D35"/>
    <w:rsid w:val="00E307E4"/>
    <w:rsid w:val="00E334EF"/>
    <w:rsid w:val="00E36511"/>
    <w:rsid w:val="00E36701"/>
    <w:rsid w:val="00E36E98"/>
    <w:rsid w:val="00E40807"/>
    <w:rsid w:val="00E40BD8"/>
    <w:rsid w:val="00E50695"/>
    <w:rsid w:val="00E5264B"/>
    <w:rsid w:val="00E543E6"/>
    <w:rsid w:val="00E54EFA"/>
    <w:rsid w:val="00E569CD"/>
    <w:rsid w:val="00E56CEE"/>
    <w:rsid w:val="00E63700"/>
    <w:rsid w:val="00E658BD"/>
    <w:rsid w:val="00E65E2F"/>
    <w:rsid w:val="00E71046"/>
    <w:rsid w:val="00E71813"/>
    <w:rsid w:val="00E71CD1"/>
    <w:rsid w:val="00E74D92"/>
    <w:rsid w:val="00E75DEE"/>
    <w:rsid w:val="00E7609E"/>
    <w:rsid w:val="00E86FDF"/>
    <w:rsid w:val="00E871E2"/>
    <w:rsid w:val="00E91BD2"/>
    <w:rsid w:val="00E927E5"/>
    <w:rsid w:val="00E931B6"/>
    <w:rsid w:val="00E93FB1"/>
    <w:rsid w:val="00E96B34"/>
    <w:rsid w:val="00E9787C"/>
    <w:rsid w:val="00E97C51"/>
    <w:rsid w:val="00EA0602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D06C3"/>
    <w:rsid w:val="00ED306B"/>
    <w:rsid w:val="00ED3C12"/>
    <w:rsid w:val="00ED6C35"/>
    <w:rsid w:val="00ED6FCA"/>
    <w:rsid w:val="00EE0FFF"/>
    <w:rsid w:val="00EE1F58"/>
    <w:rsid w:val="00EE225F"/>
    <w:rsid w:val="00EE6297"/>
    <w:rsid w:val="00EF0974"/>
    <w:rsid w:val="00EF142D"/>
    <w:rsid w:val="00EF189F"/>
    <w:rsid w:val="00EF1E54"/>
    <w:rsid w:val="00EF2790"/>
    <w:rsid w:val="00F0079B"/>
    <w:rsid w:val="00F01CB8"/>
    <w:rsid w:val="00F03961"/>
    <w:rsid w:val="00F04853"/>
    <w:rsid w:val="00F05C92"/>
    <w:rsid w:val="00F0647B"/>
    <w:rsid w:val="00F1183E"/>
    <w:rsid w:val="00F12675"/>
    <w:rsid w:val="00F165E4"/>
    <w:rsid w:val="00F21FB9"/>
    <w:rsid w:val="00F23CF1"/>
    <w:rsid w:val="00F3206B"/>
    <w:rsid w:val="00F3380D"/>
    <w:rsid w:val="00F34EFF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6027D"/>
    <w:rsid w:val="00F64D33"/>
    <w:rsid w:val="00F67B4F"/>
    <w:rsid w:val="00F717C7"/>
    <w:rsid w:val="00F71C00"/>
    <w:rsid w:val="00F723F1"/>
    <w:rsid w:val="00F725F2"/>
    <w:rsid w:val="00F74942"/>
    <w:rsid w:val="00F7546C"/>
    <w:rsid w:val="00F75D72"/>
    <w:rsid w:val="00F811A4"/>
    <w:rsid w:val="00F81C02"/>
    <w:rsid w:val="00F82F93"/>
    <w:rsid w:val="00F90E27"/>
    <w:rsid w:val="00F91194"/>
    <w:rsid w:val="00F930A7"/>
    <w:rsid w:val="00F9389F"/>
    <w:rsid w:val="00F952CD"/>
    <w:rsid w:val="00F955C5"/>
    <w:rsid w:val="00F969D0"/>
    <w:rsid w:val="00F97852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868"/>
    <w:rsid w:val="00FB6451"/>
    <w:rsid w:val="00FB74E9"/>
    <w:rsid w:val="00FC15F5"/>
    <w:rsid w:val="00FC2639"/>
    <w:rsid w:val="00FC315B"/>
    <w:rsid w:val="00FC4596"/>
    <w:rsid w:val="00FC7A05"/>
    <w:rsid w:val="00FD2E6D"/>
    <w:rsid w:val="00FD4B0D"/>
    <w:rsid w:val="00FD4C00"/>
    <w:rsid w:val="00FD503C"/>
    <w:rsid w:val="00FD60F2"/>
    <w:rsid w:val="00FE0351"/>
    <w:rsid w:val="00FE08E2"/>
    <w:rsid w:val="00FE2F15"/>
    <w:rsid w:val="00FE426D"/>
    <w:rsid w:val="00FE5943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21</cp:revision>
  <cp:lastPrinted>1900-01-01T08:00:00Z</cp:lastPrinted>
  <dcterms:created xsi:type="dcterms:W3CDTF">2023-05-17T15:13:00Z</dcterms:created>
  <dcterms:modified xsi:type="dcterms:W3CDTF">2023-06-22T23:41:00Z</dcterms:modified>
</cp:coreProperties>
</file>