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6521140E"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3A69EE">
              <w:rPr>
                <w:b w:val="0"/>
                <w:sz w:val="20"/>
              </w:rPr>
              <w:t>05</w:t>
            </w:r>
            <w:r w:rsidR="004C39DB">
              <w:rPr>
                <w:b w:val="0"/>
                <w:sz w:val="20"/>
              </w:rPr>
              <w:t>-</w:t>
            </w:r>
            <w:r w:rsidR="00945903">
              <w:rPr>
                <w:b w:val="0"/>
                <w:sz w:val="20"/>
              </w:rPr>
              <w:t>26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B47FC3" w:rsidRDefault="00B47FC3">
                            <w:pPr>
                              <w:pStyle w:val="T1"/>
                              <w:spacing w:after="120"/>
                            </w:pPr>
                            <w:r>
                              <w:t>Abstract</w:t>
                            </w:r>
                          </w:p>
                          <w:p w14:paraId="62DD9F26" w14:textId="6761EB6F" w:rsidR="00B47FC3" w:rsidRDefault="00B47FC3" w:rsidP="006832AA">
                            <w:pPr>
                              <w:jc w:val="both"/>
                            </w:pPr>
                            <w:r>
                              <w:t>This submission proposes resolutions for various CIDs on 11me/D3.0.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47FC3" w:rsidRPr="001B4791" w:rsidRDefault="00B47FC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B47FC3" w:rsidRDefault="00B47FC3">
                      <w:pPr>
                        <w:pStyle w:val="T1"/>
                        <w:spacing w:after="120"/>
                      </w:pPr>
                      <w:r>
                        <w:t>Abstract</w:t>
                      </w:r>
                    </w:p>
                    <w:p w14:paraId="62DD9F26" w14:textId="6761EB6F" w:rsidR="00B47FC3" w:rsidRDefault="00B47FC3" w:rsidP="006832AA">
                      <w:pPr>
                        <w:jc w:val="both"/>
                      </w:pPr>
                      <w:r>
                        <w:t>This submission proposes resolutions for various CIDs on 11me/D3.0.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B47FC3" w:rsidRPr="001B4791" w:rsidRDefault="00B47FC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Authentication-Ack refers to an Authentication frame with the Authentication</w:t>
            </w:r>
          </w:p>
          <w:p w14:paraId="33FBDC01" w14:textId="28AC7776" w:rsidR="003A69EE" w:rsidRPr="002C1619" w:rsidRDefault="003A69EE" w:rsidP="003A69EE">
            <w:r>
              <w:t>Transaction Sequence Number field equal to 4. " --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Authentication-Ack ***frame*** refers to an Authentication frame with the Authentication</w:t>
            </w:r>
            <w:r w:rsidRPr="003A69EE">
              <w:rPr>
                <w:szCs w:val="22"/>
              </w:rPr>
              <w:br/>
              <w:t>Transaction Sequence Number field equal to 4. ", keeping the insertion roman.  At 1307.36 change "Clause 13" to "Subclause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Authentication-Ack</w:t>
      </w:r>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r>
        <w:t>and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r w:rsidRPr="00CC5CA6">
        <w:rPr>
          <w:highlight w:val="yellow"/>
          <w:u w:val="single"/>
        </w:rPr>
        <w:t>Subclause</w:t>
      </w:r>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22725CA1" w:rsidR="003A69EE" w:rsidRDefault="00CD5B7E" w:rsidP="003A69EE">
      <w:r>
        <w:t>ACCEPTED</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i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3-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The Average SNR of Space-Time Stream i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Each Address field contains a</w:t>
      </w:r>
      <w:r w:rsidR="0099314A" w:rsidRPr="0099314A">
        <w:rPr>
          <w:u w:val="single"/>
        </w:rPr>
        <w:t>n</w:t>
      </w:r>
      <w:r w:rsidRPr="0099314A">
        <w:rPr>
          <w:strike/>
        </w:rPr>
        <w:t xml:space="preserve"> 48-bit</w:t>
      </w:r>
      <w:r>
        <w:t xml:space="preserve"> address</w:t>
      </w:r>
      <w:r w:rsidR="0099314A">
        <w:t xml:space="preserve"> </w:t>
      </w:r>
      <w:r w:rsidR="0099314A" w:rsidRPr="0099314A">
        <w:t>as defined in Clause 8 of IEEE Std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Ack Parameter Set field is 2 octets." in 9.4.1.13, "The</w:t>
            </w:r>
            <w:r w:rsidRPr="00BC2FB8">
              <w:br/>
              <w:t>length of the Block Ack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r>
        <w:t>573.46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PHY-RXEND.indication primitive, shall be interpreted as successful response, permitting the frame exchange sequence to continue(#109).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7798F128" w14:textId="393D084E" w:rsidR="00E24116" w:rsidRDefault="00E24116" w:rsidP="00E24116">
      <w:r>
        <w:t>Note also at 1796.1: “</w:t>
      </w:r>
      <w:r w:rsidRPr="00E24116">
        <w:t xml:space="preserve">3) The </w:t>
      </w:r>
      <w:r w:rsidRPr="00E24116">
        <w:rPr>
          <w:highlight w:val="yellow"/>
        </w:rPr>
        <w:t>recognition</w:t>
      </w:r>
      <w:r w:rsidRPr="00E24116">
        <w:t xml:space="preserve"> of a </w:t>
      </w:r>
      <w:r w:rsidRPr="00E24116">
        <w:rPr>
          <w:highlight w:val="yellow"/>
        </w:rPr>
        <w:t>valid</w:t>
      </w:r>
      <w:r w:rsidRPr="00E24116">
        <w:t xml:space="preserve"> S1G RTS frame</w:t>
      </w:r>
      <w:r>
        <w:t>” and at 1794.53: “</w:t>
      </w:r>
      <w:r>
        <w:t xml:space="preserve">If the STA </w:t>
      </w:r>
      <w:r w:rsidRPr="00E24116">
        <w:rPr>
          <w:highlight w:val="yellow"/>
        </w:rPr>
        <w:t>recognizes</w:t>
      </w:r>
      <w:r>
        <w:t xml:space="preserve"> a </w:t>
      </w:r>
      <w:r w:rsidRPr="00E24116">
        <w:rPr>
          <w:highlight w:val="yellow"/>
        </w:rPr>
        <w:t>valid</w:t>
      </w:r>
      <w:r>
        <w:t xml:space="preserve"> Ack frame addressed to the STA </w:t>
      </w:r>
      <w:r>
        <w:t xml:space="preserve">and corresponding to this PHY-RXEND.indication primitive, this </w:t>
      </w:r>
      <w:r w:rsidRPr="00E24116">
        <w:rPr>
          <w:highlight w:val="yellow"/>
        </w:rPr>
        <w:t>recognition</w:t>
      </w:r>
      <w:r>
        <w:t xml:space="preserve"> shall be interpreted as successful</w:t>
      </w:r>
      <w:r>
        <w:t xml:space="preserve"> </w:t>
      </w:r>
      <w:r>
        <w:t>acknowledgment.</w:t>
      </w:r>
      <w:r>
        <w:t>” and at 1896.18: “</w:t>
      </w:r>
      <w:r>
        <w:t>the STA shall wait for the corresponding PHY-RXEND.indication</w:t>
      </w:r>
      <w:r>
        <w:t xml:space="preserve"> </w:t>
      </w:r>
      <w:r>
        <w:t xml:space="preserve">primitive to </w:t>
      </w:r>
      <w:r w:rsidRPr="00E24116">
        <w:rPr>
          <w:highlight w:val="yellow"/>
        </w:rPr>
        <w:t>recognize</w:t>
      </w:r>
      <w:r>
        <w:t xml:space="preserve"> a </w:t>
      </w:r>
      <w:r w:rsidRPr="00E24116">
        <w:rPr>
          <w:highlight w:val="yellow"/>
        </w:rPr>
        <w:t>valid</w:t>
      </w:r>
      <w:r>
        <w:t xml:space="preserve"> response MPDU(#109) that either does not have a TA field or is</w:t>
      </w:r>
      <w:r>
        <w:t xml:space="preserve"> </w:t>
      </w:r>
      <w:r>
        <w:t>sent by the recipient of the MPDU requiring a response</w:t>
      </w:r>
      <w:r>
        <w:t>”.</w:t>
      </w:r>
    </w:p>
    <w:p w14:paraId="72D7F561" w14:textId="77777777" w:rsidR="00E24116" w:rsidRDefault="00E24116" w:rsidP="00E24116"/>
    <w:p w14:paraId="1D4C16B2" w14:textId="77777777" w:rsidR="00E7152B" w:rsidRPr="00FF305B" w:rsidRDefault="00E7152B" w:rsidP="00E7152B">
      <w:pPr>
        <w:rPr>
          <w:u w:val="single"/>
        </w:rPr>
      </w:pPr>
      <w:r w:rsidRPr="00FF305B">
        <w:rPr>
          <w:u w:val="single"/>
        </w:rPr>
        <w:t>Proposed resolution:</w:t>
      </w:r>
    </w:p>
    <w:p w14:paraId="0B0F6C9B" w14:textId="77777777" w:rsidR="00E7152B" w:rsidRDefault="00E7152B" w:rsidP="00E7152B">
      <w:pPr>
        <w:rPr>
          <w:b/>
          <w:sz w:val="24"/>
        </w:rPr>
      </w:pPr>
    </w:p>
    <w:p w14:paraId="69C623CA" w14:textId="157AC93D" w:rsidR="00E7152B" w:rsidRDefault="00E7152B" w:rsidP="00E7152B">
      <w:r>
        <w:t>ACCEPTED</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"FC—MPDU Frame Control field, with the following modifications:" for BIP should be just "FC—MPDU Frame Control field, with:" and then  for all cases (CCMP, BIP, GCMP) the last subbullet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r>
        <w:t>i) (#486)The 3 LSBs of the Subtype subfield (bits 4 5 6) in a Data frame (#1951)masked out.</w:t>
      </w:r>
    </w:p>
    <w:p w14:paraId="4CE435B9" w14:textId="77777777" w:rsidR="00982868" w:rsidRDefault="00982868" w:rsidP="00982868">
      <w:pPr>
        <w:ind w:left="720" w:firstLine="720"/>
      </w:pPr>
      <w:r>
        <w:t>Bit 7 is not modified</w:t>
      </w:r>
    </w:p>
    <w:p w14:paraId="69EDE7C0" w14:textId="77777777" w:rsidR="00982868" w:rsidRDefault="00982868" w:rsidP="00982868">
      <w:pPr>
        <w:ind w:left="720"/>
      </w:pPr>
      <w:r>
        <w:t>ii) Retry subfield (bit 11) (#1951)masked out</w:t>
      </w:r>
    </w:p>
    <w:p w14:paraId="66E0A004" w14:textId="77777777" w:rsidR="00982868" w:rsidRDefault="00982868" w:rsidP="00982868">
      <w:pPr>
        <w:ind w:left="720"/>
      </w:pPr>
      <w:r>
        <w:t>iii) Power Management subfield (bit 12) (#1951)masked out</w:t>
      </w:r>
    </w:p>
    <w:p w14:paraId="5267AF8A" w14:textId="77777777" w:rsidR="00982868" w:rsidRDefault="00982868" w:rsidP="00982868">
      <w:pPr>
        <w:ind w:left="720"/>
      </w:pPr>
      <w:r>
        <w:t>iv) More Data subfield (bit 13) (#1951)masked out</w:t>
      </w:r>
    </w:p>
    <w:p w14:paraId="6EC62529" w14:textId="77777777" w:rsidR="00982868" w:rsidRDefault="00982868" w:rsidP="00982868">
      <w:pPr>
        <w:ind w:left="720"/>
      </w:pPr>
      <w:r>
        <w:t>v) Protected Frame subfield (bit 14) (#1951)not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(#1951)Masked out in all Data frames containing a QoS Control field</w:t>
      </w:r>
    </w:p>
    <w:p w14:paraId="6CE9A5C7" w14:textId="77777777" w:rsidR="00982868" w:rsidRDefault="00982868" w:rsidP="00982868">
      <w:pPr>
        <w:ind w:left="1440"/>
      </w:pPr>
      <w:r>
        <w:t>— (#1951)Not modified otherwise</w:t>
      </w:r>
    </w:p>
    <w:p w14:paraId="271CCE88" w14:textId="675B5D19" w:rsidR="00545390" w:rsidRPr="00545390" w:rsidRDefault="00982868" w:rsidP="00982868">
      <w:pPr>
        <w:ind w:left="720"/>
      </w:pPr>
      <w:r>
        <w:t xml:space="preserve">vii) </w:t>
      </w:r>
      <w:r>
        <w:rPr>
          <w:u w:val="single"/>
        </w:rPr>
        <w:t>No modifications to o</w:t>
      </w:r>
      <w:r w:rsidRPr="00982868">
        <w:rPr>
          <w:strike/>
        </w:rPr>
        <w:t>O</w:t>
      </w:r>
      <w:r>
        <w:t>ther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r w:rsidRPr="00982868">
        <w:t>i) Power Management subfield (bit 10) (#1951)masked out</w:t>
      </w:r>
    </w:p>
    <w:p w14:paraId="3D53B5AE" w14:textId="77777777" w:rsidR="00982868" w:rsidRPr="00982868" w:rsidRDefault="00982868" w:rsidP="00982868">
      <w:pPr>
        <w:ind w:left="720"/>
      </w:pPr>
      <w:r w:rsidRPr="00982868">
        <w:t>ii) More Data subfield (bit 11) (#1951)masked out</w:t>
      </w:r>
    </w:p>
    <w:p w14:paraId="4F6DA55C" w14:textId="77777777" w:rsidR="00982868" w:rsidRPr="00982868" w:rsidRDefault="00982868" w:rsidP="00982868">
      <w:pPr>
        <w:ind w:left="720"/>
      </w:pPr>
      <w:r w:rsidRPr="00982868">
        <w:t>iii) Protected Frame subfield (bit 12) (#1951)not modified (left as 1)</w:t>
      </w:r>
    </w:p>
    <w:p w14:paraId="3C6D8966" w14:textId="77777777" w:rsidR="00982868" w:rsidRPr="00982868" w:rsidRDefault="00982868" w:rsidP="00982868">
      <w:pPr>
        <w:ind w:left="720"/>
      </w:pPr>
      <w:r w:rsidRPr="00982868">
        <w:t>iv) EOSP subfield (bit 13) (#1951)masked out</w:t>
      </w:r>
    </w:p>
    <w:p w14:paraId="513CD2C3" w14:textId="77777777" w:rsidR="00982868" w:rsidRPr="00982868" w:rsidRDefault="00982868" w:rsidP="00982868">
      <w:pPr>
        <w:ind w:left="720"/>
      </w:pPr>
      <w:r w:rsidRPr="00982868">
        <w:t>v) Relayed Frame subfield (bit 14) (#1951)masked out</w:t>
      </w:r>
    </w:p>
    <w:p w14:paraId="256E7256" w14:textId="77777777" w:rsidR="00982868" w:rsidRPr="00982868" w:rsidRDefault="00982868" w:rsidP="00982868">
      <w:pPr>
        <w:ind w:left="720"/>
      </w:pPr>
      <w:r w:rsidRPr="00982868">
        <w:t>vi) Ack Policy Indicator subfield (bit 15) (#1951)masked out</w:t>
      </w:r>
    </w:p>
    <w:p w14:paraId="17A99681" w14:textId="3684C786" w:rsidR="00982868" w:rsidRPr="00982868" w:rsidRDefault="00982868" w:rsidP="00982868">
      <w:pPr>
        <w:ind w:left="720"/>
      </w:pPr>
      <w:r w:rsidRPr="00982868">
        <w:t xml:space="preserve">vii) </w:t>
      </w:r>
      <w:r>
        <w:rPr>
          <w:u w:val="single"/>
        </w:rPr>
        <w:t>No modifications to o</w:t>
      </w:r>
      <w:r w:rsidRPr="00982868">
        <w:rPr>
          <w:strike/>
        </w:rPr>
        <w:t>O</w:t>
      </w:r>
      <w:r>
        <w:t>ther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(#1951)masked out</w:t>
      </w:r>
    </w:p>
    <w:p w14:paraId="6063D87C" w14:textId="77777777" w:rsidR="00982868" w:rsidRPr="00982868" w:rsidRDefault="00982868" w:rsidP="00982868">
      <w:pPr>
        <w:ind w:left="720"/>
      </w:pPr>
      <w:r w:rsidRPr="00982868">
        <w:t>2) Power Management subfield (bit 12) (#1951)masked out</w:t>
      </w:r>
    </w:p>
    <w:p w14:paraId="7174FB57" w14:textId="77777777" w:rsidR="00982868" w:rsidRPr="00982868" w:rsidRDefault="00982868" w:rsidP="00982868">
      <w:pPr>
        <w:ind w:left="720"/>
      </w:pPr>
      <w:r w:rsidRPr="00982868">
        <w:t>3) More Data subfield (bit 13) (#1951)masked out</w:t>
      </w:r>
    </w:p>
    <w:p w14:paraId="3D52F5C4" w14:textId="05DEA175" w:rsidR="00982868" w:rsidRPr="00982868" w:rsidRDefault="00982868" w:rsidP="00982868">
      <w:pPr>
        <w:ind w:left="720"/>
      </w:pPr>
      <w:r w:rsidRPr="00982868">
        <w:t xml:space="preserve">4) </w:t>
      </w:r>
      <w:r>
        <w:rPr>
          <w:u w:val="single"/>
        </w:rPr>
        <w:t>No modifications to o</w:t>
      </w:r>
      <w:r w:rsidRPr="00982868">
        <w:rPr>
          <w:strike/>
        </w:rPr>
        <w:t>O</w:t>
      </w:r>
      <w:r>
        <w:t>ther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(#3266)AKM 00-0F-AC:7(TPK handshake)" -- what if it includes &gt;1 AKM?  Ditto "indicate a negotiated AKM" for FT (but maybe that's OK because it's in the assoc req where you can only have a single AKM -- but is that specified anywhere and what about 2975.42, 2977.54, 2980.9?)</w:t>
            </w:r>
          </w:p>
        </w:tc>
        <w:tc>
          <w:tcPr>
            <w:tcW w:w="3384" w:type="dxa"/>
          </w:tcPr>
          <w:p w14:paraId="42BAB2A2" w14:textId="71FA285E" w:rsidR="002138DB" w:rsidRPr="002C1619" w:rsidRDefault="002138DB" w:rsidP="00A74B28">
            <w:r w:rsidRPr="002138DB">
              <w:t>Change the former to "indicate the single (#3266)AKM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(#3488)the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(#3241)Suite Count field shall be set to 1.</w:t>
      </w:r>
      <w:r>
        <w:t>”)</w:t>
      </w:r>
    </w:p>
    <w:p w14:paraId="7ABAF318" w14:textId="54D45331" w:rsidR="002138DB" w:rsidRDefault="002138DB" w:rsidP="002138DB"/>
    <w:p w14:paraId="708864ED" w14:textId="75054124" w:rsidR="002138DB" w:rsidRDefault="002138DB" w:rsidP="002138DB">
      <w:r>
        <w:t>Therefore it seems better to reduce the attack surface by being clear that only :7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(#3488)the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A5D7668" w14:textId="49928E53" w:rsidR="002138DB" w:rsidRDefault="002138DB" w:rsidP="002138DB">
      <w:pPr>
        <w:ind w:left="720"/>
      </w:pPr>
      <w:r>
        <w:t>2975.42: If the contents of the MDE received by the AP do not match the contents advertised in the Beacon and Probe Response frames, the AP shall reject the Authentication frame with status code 54 (“Invalid MDE”). If an MDE is present in the Authentication frame and (#3488)</w:t>
      </w:r>
      <w:r w:rsidRPr="002138DB">
        <w:rPr>
          <w:highlight w:val="yellow"/>
        </w:rPr>
        <w:t>the RSNE does not indicate AKM(#3266) 00-0F-AC:16 or 00-0F-AC:17 (Fast BSS Transition over FILS)</w:t>
      </w:r>
      <w:r>
        <w:t>, the AP shall reject the Authentication frame with</w:t>
      </w:r>
      <w:r w:rsidR="000E5B3E">
        <w:t xml:space="preserve"> </w:t>
      </w:r>
      <w:r>
        <w:t>status code 43 (“Invalid AKMP”).</w:t>
      </w:r>
    </w:p>
    <w:p w14:paraId="12615D0A" w14:textId="24954445" w:rsidR="002138DB" w:rsidRDefault="002138DB" w:rsidP="002138DB"/>
    <w:p w14:paraId="0D68C54A" w14:textId="035A2C97" w:rsidR="002138DB" w:rsidRDefault="002138DB" w:rsidP="002138DB">
      <w:pPr>
        <w:ind w:left="720"/>
      </w:pPr>
      <w:r>
        <w:t>2977.54: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r w:rsidRPr="002138DB">
        <w:rPr>
          <w:highlight w:val="yellow"/>
        </w:rPr>
        <w:t>the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r>
        <w:t>2980.9: If the contents of the MDE received by the target AP do not match the contents advertised in the Beacon and Probe Response frames, the target AP shall reject the FT Request frame with status code STATUS_INVALID_MDE. If (#3488)</w:t>
      </w:r>
      <w:r w:rsidRPr="002138DB">
        <w:rPr>
          <w:highlight w:val="yellow"/>
        </w:rPr>
        <w:t>the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23148688" w:rsidR="002138DB" w:rsidRDefault="007E6391" w:rsidP="002138DB">
      <w:r>
        <w:t>Should these also be explicitly “single AKM”?</w:t>
      </w:r>
    </w:p>
    <w:p w14:paraId="38646BBC" w14:textId="77777777" w:rsidR="002138DB" w:rsidRDefault="002138DB" w:rsidP="002138DB"/>
    <w:p w14:paraId="62BB2943" w14:textId="77777777" w:rsidR="002138DB" w:rsidRDefault="002138DB" w:rsidP="002138DB">
      <w:pPr>
        <w:rPr>
          <w:u w:val="single"/>
        </w:rPr>
      </w:pPr>
      <w:r>
        <w:rPr>
          <w:u w:val="single"/>
        </w:rPr>
        <w:t>Proposed changes</w:t>
      </w:r>
      <w:r w:rsidRPr="00F70C97">
        <w:rPr>
          <w:u w:val="single"/>
        </w:rPr>
        <w:t>:</w:t>
      </w:r>
    </w:p>
    <w:p w14:paraId="412AE4C1" w14:textId="77777777" w:rsidR="002138DB" w:rsidRDefault="002138DB" w:rsidP="002138DB">
      <w:pPr>
        <w:rPr>
          <w:u w:val="single"/>
        </w:rPr>
      </w:pPr>
    </w:p>
    <w:p w14:paraId="25968BCB" w14:textId="77777777"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lastRenderedPageBreak/>
        <w:t>REVISED</w:t>
      </w:r>
    </w:p>
    <w:p w14:paraId="1BFA2A2A" w14:textId="77777777" w:rsidR="002138DB" w:rsidRDefault="002138DB" w:rsidP="002138DB"/>
    <w:p w14:paraId="67304693" w14:textId="7D58F126" w:rsidR="00124664" w:rsidRDefault="002138DB" w:rsidP="002138DB">
      <w:r>
        <w:t>Make the changes shown unde</w:t>
      </w:r>
      <w:r w:rsidR="00124664">
        <w:t>r “Proposed changes” for CID 4225</w:t>
      </w:r>
      <w:r>
        <w:t xml:space="preserve"> in &lt;this document&gt;, which xxx </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"GNoStations--" in Figure 12-53--Authenticator state machines, part 2 at 2938.13 should be "GNoStations--".  Ditto "GKeyDoneStation--".  Ditto "GKeyDoneStations -"</w:t>
            </w:r>
          </w:p>
        </w:tc>
        <w:tc>
          <w:tcPr>
            <w:tcW w:w="3384" w:type="dxa"/>
          </w:tcPr>
          <w:p w14:paraId="4A83C74C" w14:textId="6B5732FC" w:rsidR="00124664" w:rsidRPr="002C1619" w:rsidRDefault="00124664" w:rsidP="00A74B28">
            <w:r w:rsidRPr="00124664">
              <w:t>At 2938.13 change "GNoStations--" to "GNoStations--".  At 2938.22 change "GKeyDoneStation--" to "GKeyDoneStations--" (2 fixes). At 2940.34 change "GKeyDoneStations --" to "GKeyDoneStations--".  At 2934.14 and 2938.20 change "Keycount" to "keycount"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03DA2046" w:rsidR="00124664" w:rsidRDefault="001603DD" w:rsidP="00124664">
      <w:r>
        <w:t>Somehow the comment and proposed change got garbled a bit!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At 2932.14 should be keycount not Keycount:</w:t>
      </w:r>
    </w:p>
    <w:p w14:paraId="220DF989" w14:textId="0EB1692A" w:rsidR="009E3EFE" w:rsidRDefault="009E3EFE" w:rsidP="00124664">
      <w:r w:rsidRPr="009E3EFE">
        <w:rPr>
          <w:noProof/>
          <w:lang w:eastAsia="ja-JP"/>
        </w:rPr>
        <w:lastRenderedPageBreak/>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At 2938.20 should be keycount not Keycount: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737292A7" w:rsidR="00124664" w:rsidRDefault="00902453" w:rsidP="00124664">
      <w:r>
        <w:t>ACCEPTED</w:t>
      </w:r>
    </w:p>
    <w:p w14:paraId="38D323FD" w14:textId="77777777" w:rsidR="00124664" w:rsidRDefault="00124664" w:rsidP="00124664"/>
    <w:p w14:paraId="17187AE7" w14:textId="06A644DE" w:rsidR="00124664" w:rsidRDefault="00902453" w:rsidP="00124664">
      <w:r>
        <w:t>Note to the Editor: change given as at 2934.14 is actually at 2932.14.</w:t>
      </w:r>
    </w:p>
    <w:p w14:paraId="6FA08D48" w14:textId="5D4FD77C" w:rsidR="00A27383" w:rsidRDefault="00A27383">
      <w:r>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At the start of 12.6.17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(#1951)masked out</w:t>
      </w:r>
    </w:p>
    <w:p w14:paraId="02D64DD1" w14:textId="77777777" w:rsidR="00A27383" w:rsidRDefault="00A27383" w:rsidP="00A27383">
      <w:pPr>
        <w:ind w:left="1440"/>
      </w:pPr>
      <w:r>
        <w:t>2) Power Management subfield (bit 12) (#1951)masked out</w:t>
      </w:r>
    </w:p>
    <w:p w14:paraId="7273F2DC" w14:textId="77777777" w:rsidR="00A27383" w:rsidRDefault="00A27383" w:rsidP="00A27383">
      <w:pPr>
        <w:ind w:left="1440"/>
      </w:pPr>
      <w:r>
        <w:t>3) More Data subfield (bit 13) (#1951)masked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36D94D2D" w:rsidR="00A27383" w:rsidRDefault="00A27383" w:rsidP="00A27383">
      <w:r>
        <w:t>Furthermore the PV1 MAC header doesn’t have explicit Address 1-3 fields, it has A1-A3 fields, and these don’t always contain a MAC address</w:t>
      </w:r>
      <w:r w:rsidR="00542E57">
        <w:t xml:space="preserve"> anyway</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496F3DA4" w:rsidR="00A27383" w:rsidRP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Deauthentication,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t>REVISED</w:t>
      </w:r>
    </w:p>
    <w:p w14:paraId="2326EED6" w14:textId="77777777" w:rsidR="00A27383" w:rsidRDefault="00A27383" w:rsidP="00A27383"/>
    <w:p w14:paraId="5B0AA276" w14:textId="72187ADF"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negotiated, an S1G STA shall not transmit group addressed robust PV1 Management frames.</w:t>
      </w:r>
      <w:r>
        <w:t>”.</w:t>
      </w:r>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In general the security clauses use “receiver” not “recipient”</w:t>
      </w:r>
      <w:r w:rsidR="00682233">
        <w:t xml:space="preserve"> when discussing 802.11-specific functionality</w:t>
      </w:r>
      <w:r w:rsidR="008021C6">
        <w:t xml:space="preserve">.  However, </w:t>
      </w:r>
      <w:r w:rsidR="007A4E03">
        <w:t xml:space="preserve">some of </w:t>
      </w:r>
      <w:r w:rsidR="008021C6">
        <w:t>the clause numbers are wrong, and the Clause 14 subclause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r w:rsidR="00682233">
        <w:t>rec</w:t>
      </w:r>
      <w:r>
        <w:t>ipient”s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1—The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(#166)TPKSA, GTKSA, (#1627)mesh PTKSA, and mesh GTKSA(#239). (#1508)The </w:t>
      </w:r>
      <w:r w:rsidRPr="00B04983">
        <w:rPr>
          <w:highlight w:val="green"/>
        </w:rPr>
        <w:t>receiver</w:t>
      </w:r>
      <w:r>
        <w:t xml:space="preserve"> initializes these replay counters to 0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(#171)NOTE 2—For the purpose of replay detection, non-QoS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(#3573)PV0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(#3573)NOTE 3—QMF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of the replay counter that is associated with the TA(#3573),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TA(#3573),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1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f) For MSDUs or A-MSDUs sent using the block ack feature, reordering of received MSDUs or</w:t>
      </w:r>
      <w:r w:rsidR="00B04983">
        <w:t xml:space="preserve"> </w:t>
      </w:r>
      <w:r w:rsidRPr="00A74B28">
        <w:t xml:space="preserve">A-MSDUs according to the block ack </w:t>
      </w:r>
      <w:r w:rsidRPr="00B04983">
        <w:rPr>
          <w:highlight w:val="green"/>
        </w:rPr>
        <w:t>receiver</w:t>
      </w:r>
      <w:r w:rsidRPr="00A74B28">
        <w:t xml:space="preserve"> operation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(MME(#1517)))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5229AF7D" w14:textId="3BB65714" w:rsidR="00932242" w:rsidRPr="001E5869" w:rsidRDefault="00932242" w:rsidP="00932242">
      <w:pPr>
        <w:ind w:left="720"/>
        <w:rPr>
          <w:i/>
        </w:rPr>
      </w:pPr>
      <w:r w:rsidRPr="001E5869">
        <w:rPr>
          <w:i/>
        </w:rPr>
        <w:t>[same as 12.5.2.4.4 PN and replay detection above]</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r w:rsidR="00E9690C" w:rsidRPr="00E9690C">
        <w:t>A “MGTK recipient” is a mesh STA receiving the MGTK being sent by the MGTK Source.</w:t>
      </w:r>
      <w:r w:rsidR="00E9690C">
        <w:t>”</w:t>
      </w:r>
      <w:r>
        <w:t>)</w:t>
      </w:r>
      <w:r w:rsidR="00932242">
        <w:t>.</w:t>
      </w:r>
    </w:p>
    <w:p w14:paraId="53D88FE1" w14:textId="57B23F3B" w:rsidR="00E9690C" w:rsidRDefault="00E9690C" w:rsidP="00A74B28"/>
    <w:p w14:paraId="6C309911" w14:textId="05E7F84A" w:rsidR="00E9690C" w:rsidRDefault="00E9690C" w:rsidP="00A74B28">
      <w:r>
        <w:t>At 3038.57, 3044.63 change “MGTK Source” to “MGTK source”.</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Source”s</w:t>
      </w:r>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"NOTE--When RLQP is transmitted between the GDD enabling STA and the RLSS, it uses [...]" -- it's not clear all this is stated normatively elsewhere.  Also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(#2186)EtherType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(#2186)EtherType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This NOTE seems to actually mostly be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(#3370)it uses MSDUs with (#2186)EtherType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(#2186)EtherType 89-0d. In some regulatory domains, the GDD enabling STA may be required to have secured connection with the RLSS.(#399)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The commenter’s proposed change was to make most of the text normative, and in the informative bit make it a might not a may:</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(#3370)MSDUs with (#2186)EtherType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(#2186)EtherType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1131.44 (“</w:t>
      </w:r>
      <w:r w:rsidRPr="00260A4F">
        <w:t>The Advertisement protocol ID value 221 is reserved</w:t>
      </w:r>
      <w:r>
        <w:t xml:space="preserve">”).  But anyway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(2x)</w:t>
      </w:r>
    </w:p>
    <w:p w14:paraId="1BD6C34E" w14:textId="379D695F" w:rsidR="00260A4F" w:rsidRDefault="00260A4F" w:rsidP="00260A4F">
      <w:r>
        <w:t>- before “secured connection” in the NOTE add “a ”</w:t>
      </w:r>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9.6.4.1 says "When Block Ack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9.6.4.1 Block Ack Action field(#3729)</w:t>
      </w:r>
    </w:p>
    <w:p w14:paraId="22880536" w14:textId="2ED3B001" w:rsidR="00B47FC3" w:rsidRDefault="00B47FC3" w:rsidP="00B47FC3">
      <w:r>
        <w:t xml:space="preserve">ADDBA Request and ADDBA Response frames are used to set up or to modify block ack operation(#3518) for a specific TC, TS, or GCR group address. (#3172)When Block Ack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10.25.2 Setup and modification of the block ack parameters</w:t>
      </w:r>
    </w:p>
    <w:p w14:paraId="02D8F3D8" w14:textId="5AA2D06B" w:rsidR="00B47FC3" w:rsidRDefault="00B47FC3" w:rsidP="00B47FC3">
      <w:r>
        <w:t xml:space="preserve">(#1807)A block ack agreement may be modified by the originator by sending an ADDBA Request frame ((#3174)see 11.5.2 (Setup and modification of the block ack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11.5 Block ack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ack agreements may be set up, modified by the originator, or deleted from the MAC (see 10.25.2 (Setup and modification of the block ack parameters)) or from the SME. The setup, modification by the originator and deletion of block ack agreements from the SME is described in this subclause.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Block Ack Parameter Set, which contains A-MSDU Supported, Block Ack Policy, TID and Buffer Size subfields</w:t>
      </w:r>
    </w:p>
    <w:p w14:paraId="47F9014E" w14:textId="120A99D9" w:rsidR="00B47FC3" w:rsidRDefault="00B47FC3" w:rsidP="00B47FC3">
      <w:pPr>
        <w:ind w:left="720"/>
      </w:pPr>
      <w:r>
        <w:t>Block Ack Timeout Value</w:t>
      </w:r>
    </w:p>
    <w:p w14:paraId="36B3FA82" w14:textId="47DBBBCC" w:rsidR="00B47FC3" w:rsidRDefault="00B47FC3" w:rsidP="00B47FC3">
      <w:pPr>
        <w:ind w:left="720"/>
      </w:pPr>
      <w:r>
        <w:t>Block Ack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r w:rsidRPr="00B47FC3">
        <w:rPr>
          <w:b/>
        </w:rPr>
        <w:t>Q1: is it really OK for all of these to be modified?</w:t>
      </w:r>
      <w:r w:rsidR="002A4C4D">
        <w:rPr>
          <w:b/>
        </w:rPr>
        <w:t xml:space="preserve">  E.g. change A-MSDU support</w:t>
      </w:r>
      <w:r w:rsidR="005C755A">
        <w:rPr>
          <w:b/>
        </w:rPr>
        <w:t xml:space="preserve"> or GCR address</w:t>
      </w:r>
      <w:r w:rsidR="002A4C4D">
        <w:rPr>
          <w:b/>
        </w:rPr>
        <w:t xml:space="preserve"> or TCLAS or fragmentation or Multi-band/EDMG/SAR config?</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Block Ack Parameter Set</w:t>
      </w:r>
    </w:p>
    <w:p w14:paraId="42BF15C5" w14:textId="77777777" w:rsidR="00B47FC3" w:rsidRDefault="00B47FC3" w:rsidP="00B47FC3">
      <w:pPr>
        <w:ind w:left="720"/>
      </w:pPr>
      <w:r>
        <w:t>Block Ack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 xml:space="preserve">Q2: </w:t>
      </w:r>
      <w:r w:rsidRPr="002A4C4D">
        <w:rPr>
          <w:b/>
        </w:rPr>
        <w:t>is it really OK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77777777" w:rsidR="002A4C4D" w:rsidRDefault="002A4C4D"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457DCEF1" w14:textId="77777777" w:rsidR="00B47FC3" w:rsidRDefault="00B47FC3" w:rsidP="00B47FC3">
      <w:pPr>
        <w:rPr>
          <w:u w:val="single"/>
        </w:rPr>
      </w:pPr>
    </w:p>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77777777" w:rsidR="00B47FC3" w:rsidRDefault="00B47FC3" w:rsidP="00B47FC3">
      <w:r>
        <w:t xml:space="preserve">Make the changes shown under “Proposed changes” for CID xxx in &lt;this document&gt;, which xxx </w:t>
      </w:r>
    </w:p>
    <w:p w14:paraId="6E18BDD2" w14:textId="193700CC" w:rsidR="00AD5AF4" w:rsidRDefault="00AD5AF4">
      <w:r>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0BB8997B" w14:textId="77777777" w:rsidR="00D307AE" w:rsidRPr="004A0904" w:rsidRDefault="00D307AE">
      <w:pPr>
        <w:rPr>
          <w:strike/>
          <w:sz w:val="24"/>
        </w:rPr>
      </w:pPr>
      <w:r w:rsidRPr="004A0904">
        <w:rPr>
          <w:strike/>
          <w:sz w:val="24"/>
        </w:rPr>
        <w:t>4212 recipient v receiver in some specific subclauses</w:t>
      </w:r>
    </w:p>
    <w:p w14:paraId="595D65E0" w14:textId="51B0EE73"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4664A0F6" w14:textId="77777777" w:rsidR="00724AD3" w:rsidRDefault="00724AD3"/>
    <w:sectPr w:rsidR="00724AD3" w:rsidSect="009E579C">
      <w:headerReference w:type="default" r:id="rId17"/>
      <w:footerReference w:type="default" r:id="rId1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BBBF" w14:textId="77777777" w:rsidR="00D12D97" w:rsidRDefault="00D12D97">
      <w:r>
        <w:separator/>
      </w:r>
    </w:p>
  </w:endnote>
  <w:endnote w:type="continuationSeparator" w:id="0">
    <w:p w14:paraId="76FBAF52" w14:textId="77777777" w:rsidR="00D12D97" w:rsidRDefault="00D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9D92231" w:rsidR="00B47FC3" w:rsidRDefault="00B47F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7E07">
      <w:rPr>
        <w:noProof/>
      </w:rPr>
      <w:t>20</w:t>
    </w:r>
    <w:r>
      <w:rPr>
        <w:noProof/>
      </w:rPr>
      <w:fldChar w:fldCharType="end"/>
    </w:r>
    <w:r>
      <w:tab/>
    </w:r>
    <w:fldSimple w:instr=" COMMENTS  \* MERGEFORMAT ">
      <w:r>
        <w:t>Mark RISON (Samsung)</w:t>
      </w:r>
    </w:fldSimple>
  </w:p>
  <w:p w14:paraId="38435E49" w14:textId="77777777" w:rsidR="00B47FC3" w:rsidRDefault="00B47F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BDC1" w14:textId="77777777" w:rsidR="00D12D97" w:rsidRDefault="00D12D97">
      <w:r>
        <w:separator/>
      </w:r>
    </w:p>
  </w:footnote>
  <w:footnote w:type="continuationSeparator" w:id="0">
    <w:p w14:paraId="559187E7" w14:textId="77777777" w:rsidR="00D12D97" w:rsidRDefault="00D1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1D54DB0" w:rsidR="00B47FC3" w:rsidRDefault="00B47FC3">
    <w:pPr>
      <w:pStyle w:val="Header"/>
      <w:tabs>
        <w:tab w:val="clear" w:pos="6480"/>
        <w:tab w:val="center" w:pos="4680"/>
        <w:tab w:val="right" w:pos="9360"/>
      </w:tabs>
    </w:pPr>
    <w:fldSimple w:instr=" KEYWORDS  \* MERGEFORMAT ">
      <w:r w:rsidR="002B7E07">
        <w:t>July 2023</w:t>
      </w:r>
    </w:fldSimple>
    <w:r>
      <w:tab/>
    </w:r>
    <w:r>
      <w:tab/>
    </w:r>
    <w:fldSimple w:instr=" TITLE  \* MERGEFORMAT ">
      <w:r w:rsidR="00945903">
        <w:t>doc.: IEEE 802.11-23/0933r0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2"/>
  </w:num>
  <w:num w:numId="7">
    <w:abstractNumId w:val="17"/>
  </w:num>
  <w:num w:numId="8">
    <w:abstractNumId w:val="4"/>
  </w:num>
  <w:num w:numId="9">
    <w:abstractNumId w:val="6"/>
  </w:num>
  <w:num w:numId="10">
    <w:abstractNumId w:val="18"/>
  </w:num>
  <w:num w:numId="11">
    <w:abstractNumId w:val="15"/>
  </w:num>
  <w:num w:numId="12">
    <w:abstractNumId w:val="19"/>
  </w:num>
  <w:num w:numId="13">
    <w:abstractNumId w:val="1"/>
  </w:num>
  <w:num w:numId="14">
    <w:abstractNumId w:val="11"/>
  </w:num>
  <w:num w:numId="15">
    <w:abstractNumId w:val="10"/>
  </w:num>
  <w:num w:numId="16">
    <w:abstractNumId w:val="5"/>
  </w:num>
  <w:num w:numId="17">
    <w:abstractNumId w:val="8"/>
  </w:num>
  <w:num w:numId="18">
    <w:abstractNumId w:val="21"/>
  </w:num>
  <w:num w:numId="19">
    <w:abstractNumId w:val="7"/>
  </w:num>
  <w:num w:numId="20">
    <w:abstractNumId w:val="2"/>
  </w:num>
  <w:num w:numId="21">
    <w:abstractNumId w:val="20"/>
  </w:num>
  <w:num w:numId="22">
    <w:abstractNumId w:val="12"/>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43A"/>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5869"/>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19A"/>
    <w:rsid w:val="003573F9"/>
    <w:rsid w:val="003577B5"/>
    <w:rsid w:val="00357D4A"/>
    <w:rsid w:val="00357DFA"/>
    <w:rsid w:val="00360221"/>
    <w:rsid w:val="00360EB7"/>
    <w:rsid w:val="00360EC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DA5"/>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453"/>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3CE"/>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41CA"/>
    <w:rsid w:val="00C64AE3"/>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5F61"/>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4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AB908-DFFB-48EC-8E5B-5C92CF5E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54648</TotalTime>
  <Pages>22</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802.11-23/0933r0</dc:title>
  <dc:subject>Submission</dc:subject>
  <dc:creator>Mark RISON</dc:creator>
  <cp:keywords>July 2023</cp:keywords>
  <dc:description/>
  <cp:lastModifiedBy>Mark Rison</cp:lastModifiedBy>
  <cp:revision>208</cp:revision>
  <cp:lastPrinted>2015-09-03T00:05:00Z</cp:lastPrinted>
  <dcterms:created xsi:type="dcterms:W3CDTF">2022-12-16T20:45:00Z</dcterms:created>
  <dcterms:modified xsi:type="dcterms:W3CDTF">2023-05-26T13:59:00Z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