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540" w14:textId="77777777" w:rsidR="00CA09B2" w:rsidRPr="002359B4" w:rsidRDefault="00CA09B2">
      <w:pPr>
        <w:pStyle w:val="T1"/>
        <w:pBdr>
          <w:bottom w:val="single" w:sz="6" w:space="0" w:color="auto"/>
        </w:pBdr>
        <w:spacing w:after="240"/>
        <w:rPr>
          <w:rFonts w:ascii="Calibri" w:hAnsi="Calibri" w:cs="Calibri"/>
        </w:rPr>
      </w:pPr>
      <w:r w:rsidRPr="002359B4">
        <w:rPr>
          <w:rFonts w:ascii="Calibri" w:hAnsi="Calibri" w:cs="Calibri"/>
        </w:rPr>
        <w:t>IEEE P802.11</w:t>
      </w:r>
      <w:r w:rsidRPr="002359B4">
        <w:rPr>
          <w:rFonts w:ascii="Calibri" w:hAnsi="Calibri" w:cs="Calibr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4"/>
        <w:gridCol w:w="1818"/>
      </w:tblGrid>
      <w:tr w:rsidR="00CA09B2" w14:paraId="58FE1BFE" w14:textId="77777777">
        <w:trPr>
          <w:trHeight w:val="485"/>
          <w:jc w:val="center"/>
        </w:trPr>
        <w:tc>
          <w:tcPr>
            <w:tcW w:w="9576" w:type="dxa"/>
            <w:gridSpan w:val="5"/>
            <w:vAlign w:val="center"/>
          </w:tcPr>
          <w:p w14:paraId="4B9CC9FF" w14:textId="69604D9D" w:rsidR="00CA09B2" w:rsidRPr="002359B4" w:rsidRDefault="00EE4186">
            <w:pPr>
              <w:pStyle w:val="T2"/>
              <w:rPr>
                <w:rFonts w:ascii="Calibri" w:hAnsi="Calibri" w:cs="Calibri"/>
              </w:rPr>
            </w:pPr>
            <w:proofErr w:type="spellStart"/>
            <w:r w:rsidRPr="00EE4186">
              <w:rPr>
                <w:rFonts w:ascii="Calibri" w:hAnsi="Calibri" w:cs="Calibri"/>
              </w:rPr>
              <w:t>REVme</w:t>
            </w:r>
            <w:proofErr w:type="spellEnd"/>
            <w:r w:rsidRPr="00EE4186">
              <w:rPr>
                <w:rFonts w:ascii="Calibri" w:hAnsi="Calibri" w:cs="Calibri"/>
              </w:rPr>
              <w:t xml:space="preserve"> LB2</w:t>
            </w:r>
            <w:r w:rsidR="00C24692">
              <w:rPr>
                <w:rFonts w:ascii="Calibri" w:hAnsi="Calibri" w:cs="Calibri"/>
              </w:rPr>
              <w:t>70</w:t>
            </w:r>
            <w:r w:rsidRPr="00EE4186">
              <w:rPr>
                <w:rFonts w:ascii="Calibri" w:hAnsi="Calibri" w:cs="Calibri"/>
              </w:rPr>
              <w:t xml:space="preserve"> CR for</w:t>
            </w:r>
            <w:r w:rsidR="00C24692">
              <w:rPr>
                <w:rFonts w:ascii="Calibri" w:hAnsi="Calibri" w:cs="Calibri"/>
              </w:rPr>
              <w:t xml:space="preserve"> 4047 4048</w:t>
            </w:r>
          </w:p>
        </w:tc>
      </w:tr>
      <w:tr w:rsidR="00CA09B2" w14:paraId="2D227827" w14:textId="77777777">
        <w:trPr>
          <w:trHeight w:val="359"/>
          <w:jc w:val="center"/>
        </w:trPr>
        <w:tc>
          <w:tcPr>
            <w:tcW w:w="9576" w:type="dxa"/>
            <w:gridSpan w:val="5"/>
            <w:vAlign w:val="center"/>
          </w:tcPr>
          <w:p w14:paraId="2784CFBE" w14:textId="7772E14F" w:rsidR="00CA09B2" w:rsidRPr="002359B4" w:rsidRDefault="00CA09B2">
            <w:pPr>
              <w:pStyle w:val="T2"/>
              <w:ind w:left="0"/>
              <w:rPr>
                <w:rFonts w:ascii="Calibri" w:hAnsi="Calibri" w:cs="Calibri"/>
                <w:sz w:val="20"/>
              </w:rPr>
            </w:pPr>
            <w:r w:rsidRPr="002359B4">
              <w:rPr>
                <w:rFonts w:ascii="Calibri" w:hAnsi="Calibri" w:cs="Calibri"/>
                <w:sz w:val="20"/>
              </w:rPr>
              <w:t>Date:</w:t>
            </w:r>
            <w:r w:rsidRPr="002359B4">
              <w:rPr>
                <w:rFonts w:ascii="Calibri" w:hAnsi="Calibri" w:cs="Calibri"/>
                <w:b w:val="0"/>
                <w:sz w:val="20"/>
              </w:rPr>
              <w:t xml:space="preserve">  </w:t>
            </w:r>
            <w:r w:rsidR="00E24061" w:rsidRPr="002359B4">
              <w:rPr>
                <w:rFonts w:ascii="Calibri" w:hAnsi="Calibri" w:cs="Calibri"/>
                <w:b w:val="0"/>
                <w:sz w:val="20"/>
              </w:rPr>
              <w:t>202</w:t>
            </w:r>
            <w:r w:rsidR="004B6E8F">
              <w:rPr>
                <w:rFonts w:ascii="Calibri" w:hAnsi="Calibri" w:cs="Calibri"/>
                <w:b w:val="0"/>
                <w:sz w:val="20"/>
              </w:rPr>
              <w:t>3-05-1</w:t>
            </w:r>
            <w:r w:rsidR="00027E6D">
              <w:rPr>
                <w:rFonts w:ascii="Calibri" w:hAnsi="Calibri" w:cs="Calibri"/>
                <w:b w:val="0"/>
                <w:sz w:val="20"/>
              </w:rPr>
              <w:t>7</w:t>
            </w:r>
          </w:p>
        </w:tc>
      </w:tr>
      <w:tr w:rsidR="00CA09B2" w14:paraId="1F511E68" w14:textId="77777777">
        <w:trPr>
          <w:cantSplit/>
          <w:jc w:val="center"/>
        </w:trPr>
        <w:tc>
          <w:tcPr>
            <w:tcW w:w="9576" w:type="dxa"/>
            <w:gridSpan w:val="5"/>
            <w:vAlign w:val="center"/>
          </w:tcPr>
          <w:p w14:paraId="1E6838A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Author(s):</w:t>
            </w:r>
          </w:p>
        </w:tc>
      </w:tr>
      <w:tr w:rsidR="00CA09B2" w14:paraId="57929FB5" w14:textId="77777777" w:rsidTr="004B6E8F">
        <w:trPr>
          <w:jc w:val="center"/>
        </w:trPr>
        <w:tc>
          <w:tcPr>
            <w:tcW w:w="1336" w:type="dxa"/>
            <w:vAlign w:val="center"/>
          </w:tcPr>
          <w:p w14:paraId="06082BD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Name</w:t>
            </w:r>
          </w:p>
        </w:tc>
        <w:tc>
          <w:tcPr>
            <w:tcW w:w="2064" w:type="dxa"/>
            <w:vAlign w:val="center"/>
          </w:tcPr>
          <w:p w14:paraId="02858E9A" w14:textId="77777777" w:rsidR="00CA09B2" w:rsidRPr="002359B4" w:rsidRDefault="0062440B">
            <w:pPr>
              <w:pStyle w:val="T2"/>
              <w:spacing w:after="0"/>
              <w:ind w:left="0" w:right="0"/>
              <w:jc w:val="left"/>
              <w:rPr>
                <w:rFonts w:ascii="Calibri" w:hAnsi="Calibri" w:cs="Calibri"/>
                <w:sz w:val="20"/>
              </w:rPr>
            </w:pPr>
            <w:r w:rsidRPr="002359B4">
              <w:rPr>
                <w:rFonts w:ascii="Calibri" w:hAnsi="Calibri" w:cs="Calibri"/>
                <w:sz w:val="20"/>
              </w:rPr>
              <w:t>Affiliation</w:t>
            </w:r>
          </w:p>
        </w:tc>
        <w:tc>
          <w:tcPr>
            <w:tcW w:w="2814" w:type="dxa"/>
            <w:vAlign w:val="center"/>
          </w:tcPr>
          <w:p w14:paraId="58BC5AB9"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Address</w:t>
            </w:r>
          </w:p>
        </w:tc>
        <w:tc>
          <w:tcPr>
            <w:tcW w:w="1544" w:type="dxa"/>
            <w:vAlign w:val="center"/>
          </w:tcPr>
          <w:p w14:paraId="4CF14E9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Phone</w:t>
            </w:r>
          </w:p>
        </w:tc>
        <w:tc>
          <w:tcPr>
            <w:tcW w:w="1818" w:type="dxa"/>
            <w:vAlign w:val="center"/>
          </w:tcPr>
          <w:p w14:paraId="605FD59C"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email</w:t>
            </w:r>
          </w:p>
        </w:tc>
      </w:tr>
      <w:tr w:rsidR="00CA09B2" w14:paraId="7317B0AF" w14:textId="77777777" w:rsidTr="004B6E8F">
        <w:trPr>
          <w:jc w:val="center"/>
        </w:trPr>
        <w:tc>
          <w:tcPr>
            <w:tcW w:w="1336" w:type="dxa"/>
            <w:vAlign w:val="center"/>
          </w:tcPr>
          <w:p w14:paraId="2F05BB05" w14:textId="3DBDC1CE"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Seán Coffey</w:t>
            </w:r>
          </w:p>
        </w:tc>
        <w:tc>
          <w:tcPr>
            <w:tcW w:w="2064" w:type="dxa"/>
            <w:vAlign w:val="center"/>
          </w:tcPr>
          <w:p w14:paraId="09E4879C" w14:textId="30A92068"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Realtek</w:t>
            </w:r>
          </w:p>
        </w:tc>
        <w:tc>
          <w:tcPr>
            <w:tcW w:w="2814" w:type="dxa"/>
            <w:vAlign w:val="center"/>
          </w:tcPr>
          <w:p w14:paraId="1F332884" w14:textId="77777777" w:rsidR="00CA09B2" w:rsidRPr="002359B4" w:rsidRDefault="00CA09B2">
            <w:pPr>
              <w:pStyle w:val="T2"/>
              <w:spacing w:after="0"/>
              <w:ind w:left="0" w:right="0"/>
              <w:rPr>
                <w:rFonts w:ascii="Calibri" w:hAnsi="Calibri" w:cs="Calibri"/>
                <w:b w:val="0"/>
                <w:sz w:val="20"/>
              </w:rPr>
            </w:pPr>
          </w:p>
        </w:tc>
        <w:tc>
          <w:tcPr>
            <w:tcW w:w="1544" w:type="dxa"/>
            <w:vAlign w:val="center"/>
          </w:tcPr>
          <w:p w14:paraId="08A61651" w14:textId="77777777" w:rsidR="00CA09B2" w:rsidRPr="002359B4" w:rsidRDefault="00CA09B2">
            <w:pPr>
              <w:pStyle w:val="T2"/>
              <w:spacing w:after="0"/>
              <w:ind w:left="0" w:right="0"/>
              <w:rPr>
                <w:rFonts w:ascii="Calibri" w:hAnsi="Calibri" w:cs="Calibri"/>
                <w:b w:val="0"/>
                <w:sz w:val="20"/>
              </w:rPr>
            </w:pPr>
          </w:p>
        </w:tc>
        <w:tc>
          <w:tcPr>
            <w:tcW w:w="1818" w:type="dxa"/>
            <w:vAlign w:val="center"/>
          </w:tcPr>
          <w:p w14:paraId="66B2C40A" w14:textId="4B6A5191" w:rsidR="00CA09B2" w:rsidRPr="004B6E8F" w:rsidRDefault="00E24061">
            <w:pPr>
              <w:pStyle w:val="T2"/>
              <w:spacing w:after="0"/>
              <w:ind w:left="0" w:right="0"/>
              <w:rPr>
                <w:rFonts w:ascii="Calibri" w:hAnsi="Calibri" w:cs="Calibri"/>
                <w:b w:val="0"/>
                <w:sz w:val="20"/>
              </w:rPr>
            </w:pPr>
            <w:proofErr w:type="spellStart"/>
            <w:r w:rsidRPr="004B6E8F">
              <w:rPr>
                <w:rFonts w:ascii="Calibri" w:hAnsi="Calibri" w:cs="Calibri"/>
                <w:b w:val="0"/>
                <w:sz w:val="20"/>
              </w:rPr>
              <w:t>coffey</w:t>
            </w:r>
            <w:proofErr w:type="spellEnd"/>
            <w:r w:rsidRPr="004B6E8F">
              <w:rPr>
                <w:rFonts w:ascii="Calibri" w:hAnsi="Calibri" w:cs="Calibri"/>
                <w:b w:val="0"/>
                <w:sz w:val="20"/>
              </w:rPr>
              <w:t xml:space="preserve"> (at) ieee.org</w:t>
            </w:r>
          </w:p>
        </w:tc>
      </w:tr>
      <w:tr w:rsidR="00CA09B2" w14:paraId="619AABE6" w14:textId="77777777" w:rsidTr="004B6E8F">
        <w:trPr>
          <w:jc w:val="center"/>
        </w:trPr>
        <w:tc>
          <w:tcPr>
            <w:tcW w:w="1336" w:type="dxa"/>
            <w:vAlign w:val="center"/>
          </w:tcPr>
          <w:p w14:paraId="6EE22FD8" w14:textId="77777777" w:rsidR="00CA09B2" w:rsidRDefault="00CA09B2">
            <w:pPr>
              <w:pStyle w:val="T2"/>
              <w:spacing w:after="0"/>
              <w:ind w:left="0" w:right="0"/>
              <w:rPr>
                <w:b w:val="0"/>
                <w:sz w:val="20"/>
              </w:rPr>
            </w:pPr>
          </w:p>
        </w:tc>
        <w:tc>
          <w:tcPr>
            <w:tcW w:w="2064" w:type="dxa"/>
            <w:vAlign w:val="center"/>
          </w:tcPr>
          <w:p w14:paraId="76525E7D" w14:textId="77777777" w:rsidR="00CA09B2" w:rsidRDefault="00CA09B2">
            <w:pPr>
              <w:pStyle w:val="T2"/>
              <w:spacing w:after="0"/>
              <w:ind w:left="0" w:right="0"/>
              <w:rPr>
                <w:b w:val="0"/>
                <w:sz w:val="20"/>
              </w:rPr>
            </w:pPr>
          </w:p>
        </w:tc>
        <w:tc>
          <w:tcPr>
            <w:tcW w:w="2814" w:type="dxa"/>
            <w:vAlign w:val="center"/>
          </w:tcPr>
          <w:p w14:paraId="50FFC656" w14:textId="77777777" w:rsidR="00CA09B2" w:rsidRDefault="00CA09B2">
            <w:pPr>
              <w:pStyle w:val="T2"/>
              <w:spacing w:after="0"/>
              <w:ind w:left="0" w:right="0"/>
              <w:rPr>
                <w:b w:val="0"/>
                <w:sz w:val="20"/>
              </w:rPr>
            </w:pPr>
          </w:p>
        </w:tc>
        <w:tc>
          <w:tcPr>
            <w:tcW w:w="1544" w:type="dxa"/>
            <w:vAlign w:val="center"/>
          </w:tcPr>
          <w:p w14:paraId="7F68C4DA" w14:textId="77777777" w:rsidR="00CA09B2" w:rsidRDefault="00CA09B2">
            <w:pPr>
              <w:pStyle w:val="T2"/>
              <w:spacing w:after="0"/>
              <w:ind w:left="0" w:right="0"/>
              <w:rPr>
                <w:b w:val="0"/>
                <w:sz w:val="20"/>
              </w:rPr>
            </w:pPr>
          </w:p>
        </w:tc>
        <w:tc>
          <w:tcPr>
            <w:tcW w:w="1818" w:type="dxa"/>
            <w:vAlign w:val="center"/>
          </w:tcPr>
          <w:p w14:paraId="7154E9CF" w14:textId="77777777" w:rsidR="00CA09B2" w:rsidRDefault="00CA09B2">
            <w:pPr>
              <w:pStyle w:val="T2"/>
              <w:spacing w:after="0"/>
              <w:ind w:left="0" w:right="0"/>
              <w:rPr>
                <w:b w:val="0"/>
                <w:sz w:val="16"/>
              </w:rPr>
            </w:pPr>
          </w:p>
        </w:tc>
      </w:tr>
    </w:tbl>
    <w:p w14:paraId="05C18095" w14:textId="77777777" w:rsidR="00CA09B2" w:rsidRDefault="00000000">
      <w:pPr>
        <w:pStyle w:val="T1"/>
        <w:spacing w:after="120"/>
        <w:rPr>
          <w:sz w:val="22"/>
        </w:rPr>
      </w:pPr>
      <w:r>
        <w:rPr>
          <w:noProof/>
        </w:rPr>
        <w:pict w14:anchorId="618A26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723B975" w14:textId="77777777" w:rsidR="0029020B" w:rsidRPr="002359B4" w:rsidRDefault="0029020B">
                  <w:pPr>
                    <w:pStyle w:val="T1"/>
                    <w:spacing w:after="120"/>
                    <w:rPr>
                      <w:rFonts w:ascii="Calibri" w:hAnsi="Calibri" w:cs="Calibri"/>
                      <w:sz w:val="24"/>
                      <w:szCs w:val="24"/>
                    </w:rPr>
                  </w:pPr>
                  <w:r w:rsidRPr="002359B4">
                    <w:rPr>
                      <w:rFonts w:ascii="Calibri" w:hAnsi="Calibri" w:cs="Calibri"/>
                      <w:sz w:val="24"/>
                      <w:szCs w:val="24"/>
                    </w:rPr>
                    <w:t>Abstract</w:t>
                  </w:r>
                </w:p>
                <w:p w14:paraId="2560971E" w14:textId="3748A392" w:rsidR="00E24061" w:rsidRPr="002359B4" w:rsidRDefault="00E24061" w:rsidP="00E24061">
                  <w:pPr>
                    <w:jc w:val="both"/>
                    <w:rPr>
                      <w:rFonts w:ascii="Calibri" w:hAnsi="Calibri" w:cs="Calibri"/>
                      <w:sz w:val="24"/>
                      <w:szCs w:val="24"/>
                    </w:rPr>
                  </w:pPr>
                  <w:r w:rsidRPr="002359B4">
                    <w:rPr>
                      <w:rFonts w:ascii="Calibri" w:hAnsi="Calibri" w:cs="Calibri"/>
                      <w:sz w:val="24"/>
                      <w:szCs w:val="24"/>
                    </w:rPr>
                    <w:t>This document contains proposed resolution</w:t>
                  </w:r>
                  <w:r w:rsidR="00313155" w:rsidRPr="002359B4">
                    <w:rPr>
                      <w:rFonts w:ascii="Calibri" w:hAnsi="Calibri" w:cs="Calibri"/>
                      <w:sz w:val="24"/>
                      <w:szCs w:val="24"/>
                    </w:rPr>
                    <w:t>s</w:t>
                  </w:r>
                  <w:r w:rsidRPr="002359B4">
                    <w:rPr>
                      <w:rFonts w:ascii="Calibri" w:hAnsi="Calibri" w:cs="Calibri"/>
                      <w:sz w:val="24"/>
                      <w:szCs w:val="24"/>
                    </w:rPr>
                    <w:t xml:space="preserve"> for CIDs</w:t>
                  </w:r>
                  <w:r w:rsidR="00F97DEB" w:rsidRPr="002359B4">
                    <w:rPr>
                      <w:rFonts w:ascii="Calibri" w:hAnsi="Calibri" w:cs="Calibri"/>
                      <w:sz w:val="24"/>
                      <w:szCs w:val="24"/>
                    </w:rPr>
                    <w:t xml:space="preserve"> </w:t>
                  </w:r>
                  <w:r w:rsidR="00C24692">
                    <w:rPr>
                      <w:rFonts w:ascii="Calibri" w:hAnsi="Calibri" w:cs="Calibri"/>
                      <w:sz w:val="24"/>
                      <w:szCs w:val="24"/>
                    </w:rPr>
                    <w:t>4047, 4048</w:t>
                  </w:r>
                  <w:r w:rsidRPr="002359B4">
                    <w:rPr>
                      <w:rFonts w:ascii="Calibri" w:hAnsi="Calibri" w:cs="Calibri"/>
                      <w:sz w:val="24"/>
                      <w:szCs w:val="24"/>
                    </w:rPr>
                    <w:t xml:space="preserve"> from LB 2</w:t>
                  </w:r>
                  <w:r w:rsidR="00C24692">
                    <w:rPr>
                      <w:rFonts w:ascii="Calibri" w:hAnsi="Calibri" w:cs="Calibri"/>
                      <w:sz w:val="24"/>
                      <w:szCs w:val="24"/>
                    </w:rPr>
                    <w:t>70</w:t>
                  </w:r>
                  <w:r w:rsidRPr="002359B4">
                    <w:rPr>
                      <w:rFonts w:ascii="Calibri" w:hAnsi="Calibri" w:cs="Calibri"/>
                      <w:sz w:val="24"/>
                      <w:szCs w:val="24"/>
                    </w:rPr>
                    <w:t xml:space="preserve"> on IEEE P802.11-REVme/D</w:t>
                  </w:r>
                  <w:r w:rsidR="00C24692">
                    <w:rPr>
                      <w:rFonts w:ascii="Calibri" w:hAnsi="Calibri" w:cs="Calibri"/>
                      <w:sz w:val="24"/>
                      <w:szCs w:val="24"/>
                    </w:rPr>
                    <w:t>3</w:t>
                  </w:r>
                  <w:r w:rsidRPr="002359B4">
                    <w:rPr>
                      <w:rFonts w:ascii="Calibri" w:hAnsi="Calibri" w:cs="Calibri"/>
                      <w:sz w:val="24"/>
                      <w:szCs w:val="24"/>
                    </w:rPr>
                    <w:t>.0.</w:t>
                  </w:r>
                </w:p>
                <w:p w14:paraId="0592147F" w14:textId="77777777" w:rsidR="00E24061" w:rsidRPr="002359B4" w:rsidRDefault="00E24061" w:rsidP="00E24061">
                  <w:pPr>
                    <w:jc w:val="both"/>
                    <w:rPr>
                      <w:rFonts w:ascii="Calibri" w:hAnsi="Calibri" w:cs="Calibri"/>
                      <w:sz w:val="24"/>
                      <w:szCs w:val="24"/>
                    </w:rPr>
                  </w:pPr>
                </w:p>
                <w:p w14:paraId="50290143" w14:textId="77777777" w:rsidR="00E24061" w:rsidRPr="002359B4" w:rsidRDefault="00E24061" w:rsidP="00E24061">
                  <w:pPr>
                    <w:jc w:val="both"/>
                    <w:rPr>
                      <w:rFonts w:ascii="Calibri" w:hAnsi="Calibri" w:cs="Calibri"/>
                      <w:sz w:val="24"/>
                      <w:szCs w:val="24"/>
                    </w:rPr>
                  </w:pPr>
                </w:p>
                <w:p w14:paraId="502238DC" w14:textId="77777777" w:rsidR="00E24061" w:rsidRPr="002359B4" w:rsidRDefault="00E24061" w:rsidP="00E24061">
                  <w:pPr>
                    <w:jc w:val="both"/>
                    <w:rPr>
                      <w:rFonts w:ascii="Calibri" w:hAnsi="Calibri" w:cs="Calibri"/>
                      <w:sz w:val="24"/>
                      <w:szCs w:val="24"/>
                    </w:rPr>
                  </w:pPr>
                </w:p>
                <w:p w14:paraId="4BEC41BD" w14:textId="77777777" w:rsidR="00E24061" w:rsidRPr="002359B4" w:rsidRDefault="00E24061" w:rsidP="00E24061">
                  <w:pPr>
                    <w:jc w:val="both"/>
                    <w:rPr>
                      <w:rFonts w:ascii="Calibri" w:hAnsi="Calibri" w:cs="Calibri"/>
                      <w:sz w:val="24"/>
                      <w:szCs w:val="24"/>
                    </w:rPr>
                  </w:pPr>
                </w:p>
                <w:p w14:paraId="41A2C621" w14:textId="6830843E" w:rsidR="00E24061" w:rsidRPr="002359B4" w:rsidRDefault="00E24061" w:rsidP="00E24061">
                  <w:pPr>
                    <w:jc w:val="both"/>
                    <w:rPr>
                      <w:rFonts w:ascii="Calibri" w:hAnsi="Calibri" w:cs="Calibri"/>
                      <w:sz w:val="24"/>
                      <w:szCs w:val="24"/>
                    </w:rPr>
                  </w:pPr>
                  <w:r w:rsidRPr="002359B4">
                    <w:rPr>
                      <w:rFonts w:ascii="Calibri" w:hAnsi="Calibri" w:cs="Calibri"/>
                      <w:sz w:val="24"/>
                      <w:szCs w:val="24"/>
                    </w:rPr>
                    <w:t>References to page and line numbers are to D</w:t>
                  </w:r>
                  <w:r w:rsidR="0077590E" w:rsidRPr="002359B4">
                    <w:rPr>
                      <w:rFonts w:ascii="Calibri" w:hAnsi="Calibri" w:cs="Calibri"/>
                      <w:sz w:val="24"/>
                      <w:szCs w:val="24"/>
                    </w:rPr>
                    <w:t>1</w:t>
                  </w:r>
                  <w:r w:rsidRPr="002359B4">
                    <w:rPr>
                      <w:rFonts w:ascii="Calibri" w:hAnsi="Calibri" w:cs="Calibri"/>
                      <w:sz w:val="24"/>
                      <w:szCs w:val="24"/>
                    </w:rPr>
                    <w:t>.0.</w:t>
                  </w:r>
                </w:p>
                <w:p w14:paraId="1C97AAFE" w14:textId="77777777" w:rsidR="00E24061" w:rsidRPr="002359B4" w:rsidRDefault="00E24061" w:rsidP="00E24061">
                  <w:pPr>
                    <w:jc w:val="both"/>
                    <w:rPr>
                      <w:rFonts w:ascii="Calibri" w:hAnsi="Calibri" w:cs="Calibri"/>
                      <w:sz w:val="24"/>
                      <w:szCs w:val="24"/>
                    </w:rPr>
                  </w:pPr>
                  <w:r w:rsidRPr="002359B4">
                    <w:rPr>
                      <w:rFonts w:ascii="Calibri" w:hAnsi="Calibri" w:cs="Calibri"/>
                      <w:sz w:val="24"/>
                      <w:szCs w:val="24"/>
                    </w:rPr>
                    <w:t>Change history:</w:t>
                  </w:r>
                </w:p>
                <w:p w14:paraId="008E6898" w14:textId="3BB24CC5" w:rsidR="0029020B" w:rsidRPr="002359B4" w:rsidRDefault="00E24061" w:rsidP="00E24061">
                  <w:pPr>
                    <w:jc w:val="both"/>
                    <w:rPr>
                      <w:rFonts w:ascii="Calibri" w:hAnsi="Calibri" w:cs="Calibri"/>
                      <w:sz w:val="24"/>
                      <w:szCs w:val="24"/>
                    </w:rPr>
                  </w:pPr>
                  <w:r w:rsidRPr="002359B4">
                    <w:rPr>
                      <w:rFonts w:ascii="Calibri" w:hAnsi="Calibri" w:cs="Calibri"/>
                      <w:sz w:val="24"/>
                      <w:szCs w:val="24"/>
                    </w:rPr>
                    <w:t>r0 (202</w:t>
                  </w:r>
                  <w:r w:rsidR="00C24692">
                    <w:rPr>
                      <w:rFonts w:ascii="Calibri" w:hAnsi="Calibri" w:cs="Calibri"/>
                      <w:sz w:val="24"/>
                      <w:szCs w:val="24"/>
                    </w:rPr>
                    <w:t>3</w:t>
                  </w:r>
                  <w:r w:rsidRPr="002359B4">
                    <w:rPr>
                      <w:rFonts w:ascii="Calibri" w:hAnsi="Calibri" w:cs="Calibri"/>
                      <w:sz w:val="24"/>
                      <w:szCs w:val="24"/>
                    </w:rPr>
                    <w:t>-</w:t>
                  </w:r>
                  <w:r w:rsidR="00B32BCD">
                    <w:rPr>
                      <w:rFonts w:ascii="Calibri" w:hAnsi="Calibri" w:cs="Calibri"/>
                      <w:sz w:val="24"/>
                      <w:szCs w:val="24"/>
                    </w:rPr>
                    <w:t>0</w:t>
                  </w:r>
                  <w:r w:rsidR="00C24692">
                    <w:rPr>
                      <w:rFonts w:ascii="Calibri" w:hAnsi="Calibri" w:cs="Calibri"/>
                      <w:sz w:val="24"/>
                      <w:szCs w:val="24"/>
                    </w:rPr>
                    <w:t>5-16</w:t>
                  </w:r>
                  <w:r w:rsidRPr="002359B4">
                    <w:rPr>
                      <w:rFonts w:ascii="Calibri" w:hAnsi="Calibri" w:cs="Calibri"/>
                      <w:sz w:val="24"/>
                      <w:szCs w:val="24"/>
                    </w:rPr>
                    <w:t>):</w:t>
                  </w:r>
                  <w:r w:rsidRPr="002359B4">
                    <w:rPr>
                      <w:rFonts w:ascii="Calibri" w:hAnsi="Calibri" w:cs="Calibri"/>
                      <w:sz w:val="24"/>
                      <w:szCs w:val="24"/>
                    </w:rPr>
                    <w:tab/>
                    <w:t>Initial draft.</w:t>
                  </w:r>
                </w:p>
              </w:txbxContent>
            </v:textbox>
          </v:shape>
        </w:pict>
      </w:r>
    </w:p>
    <w:p w14:paraId="762B8901" w14:textId="77777777" w:rsidR="00500B3C" w:rsidRDefault="00CA09B2" w:rsidP="0077590E">
      <w: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350"/>
        <w:gridCol w:w="3150"/>
        <w:gridCol w:w="3287"/>
      </w:tblGrid>
      <w:tr w:rsidR="002359B4" w:rsidRPr="00F86050" w14:paraId="7708E930" w14:textId="77777777" w:rsidTr="001226B2">
        <w:trPr>
          <w:trHeight w:val="373"/>
          <w:jc w:val="center"/>
        </w:trPr>
        <w:tc>
          <w:tcPr>
            <w:tcW w:w="1488" w:type="dxa"/>
            <w:shd w:val="clear" w:color="auto" w:fill="auto"/>
          </w:tcPr>
          <w:p w14:paraId="5E5493EB" w14:textId="77777777" w:rsidR="00500B3C" w:rsidRDefault="00500B3C" w:rsidP="002359B4">
            <w:pPr>
              <w:autoSpaceDE w:val="0"/>
              <w:autoSpaceDN w:val="0"/>
              <w:adjustRightInd w:val="0"/>
              <w:rPr>
                <w:rFonts w:ascii="Calibri" w:hAnsi="Calibri" w:cs="Calibri"/>
                <w:b/>
                <w:bCs/>
                <w:color w:val="000000"/>
                <w:szCs w:val="22"/>
                <w:lang w:eastAsia="ko-KR"/>
              </w:rPr>
            </w:pPr>
            <w:bookmarkStart w:id="0" w:name="_Hlk107981029"/>
            <w:r w:rsidRPr="002359B4">
              <w:rPr>
                <w:rFonts w:ascii="Calibri" w:hAnsi="Calibri" w:cs="Calibri"/>
                <w:b/>
                <w:bCs/>
                <w:color w:val="000000"/>
                <w:szCs w:val="22"/>
                <w:lang w:eastAsia="ko-KR"/>
              </w:rPr>
              <w:t>CID</w:t>
            </w:r>
          </w:p>
          <w:p w14:paraId="7F33EF62" w14:textId="6CF8D1FF" w:rsidR="00D762D3" w:rsidRPr="002359B4" w:rsidRDefault="00D762D3" w:rsidP="002359B4">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350" w:type="dxa"/>
            <w:shd w:val="clear" w:color="auto" w:fill="auto"/>
          </w:tcPr>
          <w:p w14:paraId="067384E8" w14:textId="1A5D0FE8"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sidR="006F3D93">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150" w:type="dxa"/>
            <w:shd w:val="clear" w:color="auto" w:fill="auto"/>
          </w:tcPr>
          <w:p w14:paraId="18BE66F7"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5B80CB6D"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2359B4" w:rsidRPr="00F86050" w14:paraId="44478655" w14:textId="77777777" w:rsidTr="001226B2">
        <w:trPr>
          <w:trHeight w:val="1002"/>
          <w:jc w:val="center"/>
        </w:trPr>
        <w:tc>
          <w:tcPr>
            <w:tcW w:w="1488" w:type="dxa"/>
            <w:shd w:val="clear" w:color="auto" w:fill="auto"/>
          </w:tcPr>
          <w:p w14:paraId="6E6A703B" w14:textId="1DF0A4D9" w:rsidR="00500B3C" w:rsidRDefault="00453ED4" w:rsidP="00F2264D">
            <w:pPr>
              <w:rPr>
                <w:rFonts w:ascii="Calibri" w:hAnsi="Calibri" w:cs="Calibri"/>
                <w:b/>
                <w:color w:val="000000"/>
                <w:szCs w:val="22"/>
              </w:rPr>
            </w:pPr>
            <w:r>
              <w:rPr>
                <w:rFonts w:ascii="Calibri" w:hAnsi="Calibri" w:cs="Calibri"/>
                <w:b/>
                <w:color w:val="000000"/>
                <w:szCs w:val="22"/>
              </w:rPr>
              <w:t>4047</w:t>
            </w:r>
          </w:p>
          <w:p w14:paraId="1F160872" w14:textId="77777777" w:rsidR="00D762D3" w:rsidRDefault="00D762D3" w:rsidP="00F2264D">
            <w:pPr>
              <w:rPr>
                <w:rFonts w:ascii="Calibri" w:hAnsi="Calibri" w:cs="Calibri"/>
                <w:b/>
                <w:color w:val="000000"/>
                <w:szCs w:val="22"/>
              </w:rPr>
            </w:pPr>
          </w:p>
          <w:p w14:paraId="76DDBFA6" w14:textId="772772A0" w:rsidR="00D762D3" w:rsidRDefault="00D762D3" w:rsidP="00F2264D">
            <w:pPr>
              <w:rPr>
                <w:rFonts w:ascii="Calibri" w:hAnsi="Calibri" w:cs="Calibri"/>
                <w:b/>
                <w:color w:val="000000"/>
                <w:szCs w:val="22"/>
              </w:rPr>
            </w:pPr>
            <w:r>
              <w:rPr>
                <w:rFonts w:ascii="Calibri" w:hAnsi="Calibri" w:cs="Calibri"/>
                <w:b/>
                <w:color w:val="000000"/>
                <w:szCs w:val="22"/>
              </w:rPr>
              <w:t>(</w:t>
            </w:r>
            <w:r w:rsidR="00453ED4">
              <w:rPr>
                <w:rFonts w:ascii="Calibri" w:hAnsi="Calibri" w:cs="Calibri"/>
                <w:b/>
                <w:color w:val="000000"/>
                <w:szCs w:val="22"/>
              </w:rPr>
              <w:t>John Coffey</w:t>
            </w:r>
            <w:r>
              <w:rPr>
                <w:rFonts w:ascii="Calibri" w:hAnsi="Calibri" w:cs="Calibri"/>
                <w:b/>
                <w:color w:val="000000"/>
                <w:szCs w:val="22"/>
              </w:rPr>
              <w:t>)</w:t>
            </w:r>
          </w:p>
          <w:p w14:paraId="2BE6D96A" w14:textId="5DC8AE90" w:rsidR="00D762D3" w:rsidRPr="002359B4" w:rsidRDefault="00D762D3" w:rsidP="00F2264D">
            <w:pPr>
              <w:rPr>
                <w:rFonts w:ascii="Calibri" w:hAnsi="Calibri" w:cs="Calibri"/>
                <w:b/>
                <w:color w:val="000000"/>
                <w:szCs w:val="22"/>
              </w:rPr>
            </w:pPr>
          </w:p>
        </w:tc>
        <w:tc>
          <w:tcPr>
            <w:tcW w:w="1350" w:type="dxa"/>
            <w:shd w:val="clear" w:color="auto" w:fill="auto"/>
          </w:tcPr>
          <w:p w14:paraId="522F7E77" w14:textId="29B35C4D" w:rsidR="00500B3C" w:rsidRPr="002359B4" w:rsidRDefault="00500B3C" w:rsidP="00F2264D">
            <w:pPr>
              <w:rPr>
                <w:rFonts w:ascii="Calibri" w:hAnsi="Calibri" w:cs="Calibri"/>
                <w:color w:val="000000"/>
                <w:szCs w:val="22"/>
              </w:rPr>
            </w:pPr>
          </w:p>
          <w:p w14:paraId="596E229E" w14:textId="77777777" w:rsidR="001226B2" w:rsidRDefault="00036D33" w:rsidP="00F2264D">
            <w:pPr>
              <w:rPr>
                <w:rFonts w:ascii="Calibri" w:hAnsi="Calibri" w:cs="Calibri"/>
                <w:color w:val="000000"/>
                <w:szCs w:val="22"/>
              </w:rPr>
            </w:pPr>
            <w:r w:rsidRPr="00036D33">
              <w:rPr>
                <w:rFonts w:ascii="Calibri" w:hAnsi="Calibri" w:cs="Calibri"/>
                <w:color w:val="000000"/>
                <w:szCs w:val="22"/>
              </w:rPr>
              <w:t>10.41.10.3.1</w:t>
            </w:r>
            <w:r w:rsidR="001226B2">
              <w:rPr>
                <w:rFonts w:ascii="Calibri" w:hAnsi="Calibri" w:cs="Calibri"/>
                <w:color w:val="000000"/>
                <w:szCs w:val="22"/>
              </w:rPr>
              <w:t xml:space="preserve"> / </w:t>
            </w:r>
          </w:p>
          <w:p w14:paraId="03137599" w14:textId="726CF7DF" w:rsidR="00500B3C" w:rsidRPr="002359B4" w:rsidRDefault="001226B2" w:rsidP="00F2264D">
            <w:pPr>
              <w:rPr>
                <w:rFonts w:ascii="Calibri" w:hAnsi="Calibri" w:cs="Calibri"/>
                <w:color w:val="000000"/>
                <w:szCs w:val="22"/>
              </w:rPr>
            </w:pPr>
            <w:r>
              <w:rPr>
                <w:rFonts w:ascii="Calibri" w:hAnsi="Calibri" w:cs="Calibri"/>
                <w:color w:val="000000"/>
                <w:szCs w:val="22"/>
              </w:rPr>
              <w:t>2211.29</w:t>
            </w:r>
          </w:p>
          <w:p w14:paraId="1C93244F" w14:textId="77777777" w:rsidR="00500B3C" w:rsidRPr="002359B4" w:rsidRDefault="00500B3C" w:rsidP="00F2264D">
            <w:pPr>
              <w:rPr>
                <w:rFonts w:ascii="Calibri" w:hAnsi="Calibri" w:cs="Calibri"/>
                <w:color w:val="000000"/>
                <w:szCs w:val="22"/>
              </w:rPr>
            </w:pPr>
          </w:p>
        </w:tc>
        <w:tc>
          <w:tcPr>
            <w:tcW w:w="3150" w:type="dxa"/>
            <w:shd w:val="clear" w:color="auto" w:fill="auto"/>
          </w:tcPr>
          <w:p w14:paraId="4A04C05D" w14:textId="23680EF5" w:rsidR="00453ED4" w:rsidRPr="002359B4" w:rsidRDefault="009514C4" w:rsidP="00453ED4">
            <w:pPr>
              <w:rPr>
                <w:rFonts w:ascii="Calibri" w:hAnsi="Calibri" w:cs="Calibri"/>
                <w:color w:val="000000"/>
                <w:szCs w:val="22"/>
              </w:rPr>
            </w:pPr>
            <w:r w:rsidRPr="009514C4">
              <w:rPr>
                <w:rFonts w:ascii="Calibri" w:hAnsi="Calibri" w:cs="Calibri"/>
                <w:color w:val="000000"/>
                <w:szCs w:val="22"/>
              </w:rPr>
              <w:t xml:space="preserve">"An asymmetric link is present between a pair of STAs when in one STA the difference between the maximum receive antenna gain and the quasi-omni receive antenna gain is higher than 15 dB, while for the other STA this difference is at most 15 </w:t>
            </w:r>
            <w:proofErr w:type="spellStart"/>
            <w:r w:rsidRPr="009514C4">
              <w:rPr>
                <w:rFonts w:ascii="Calibri" w:hAnsi="Calibri" w:cs="Calibri"/>
                <w:color w:val="000000"/>
                <w:szCs w:val="22"/>
              </w:rPr>
              <w:t>dB.</w:t>
            </w:r>
            <w:proofErr w:type="spellEnd"/>
            <w:r w:rsidRPr="009514C4">
              <w:rPr>
                <w:rFonts w:ascii="Calibri" w:hAnsi="Calibri" w:cs="Calibri"/>
                <w:color w:val="000000"/>
                <w:szCs w:val="22"/>
              </w:rPr>
              <w:t>" The wording here is odd. Certainly, when the conditions in the latter part of the sentence hold true, the link may be said to be asymmetric. But there are many other ways in which links can be said to be asymmetric. Something more needs to be said.</w:t>
            </w:r>
          </w:p>
          <w:p w14:paraId="05F0DD61" w14:textId="4E7A4267" w:rsidR="00500B3C" w:rsidRPr="002359B4" w:rsidRDefault="00500B3C" w:rsidP="006D6A35">
            <w:pPr>
              <w:rPr>
                <w:rFonts w:ascii="Calibri" w:hAnsi="Calibri" w:cs="Calibri"/>
                <w:color w:val="000000"/>
                <w:szCs w:val="22"/>
              </w:rPr>
            </w:pPr>
          </w:p>
        </w:tc>
        <w:tc>
          <w:tcPr>
            <w:tcW w:w="3287" w:type="dxa"/>
            <w:shd w:val="clear" w:color="auto" w:fill="auto"/>
          </w:tcPr>
          <w:p w14:paraId="0DBAEF48" w14:textId="1A18B101" w:rsidR="00BD6DD3" w:rsidRPr="002359B4" w:rsidRDefault="00EB4133" w:rsidP="00BD6DD3">
            <w:pPr>
              <w:rPr>
                <w:rFonts w:ascii="Calibri" w:hAnsi="Calibri" w:cs="Calibri"/>
                <w:szCs w:val="22"/>
                <w:lang w:val="en-US"/>
              </w:rPr>
            </w:pPr>
            <w:r w:rsidRPr="00EB4133">
              <w:rPr>
                <w:rFonts w:ascii="Calibri" w:hAnsi="Calibri" w:cs="Calibri"/>
                <w:szCs w:val="22"/>
                <w:lang w:val="en-US"/>
              </w:rPr>
              <w:t>Change "An asymmetric link is present" to "For purposes of this subclause, an asymmetric link is present".</w:t>
            </w:r>
          </w:p>
          <w:p w14:paraId="5DD15F72" w14:textId="77777777" w:rsidR="00500B3C" w:rsidRPr="002359B4" w:rsidRDefault="00500B3C" w:rsidP="001C461D">
            <w:pPr>
              <w:rPr>
                <w:rFonts w:ascii="Calibri" w:hAnsi="Calibri" w:cs="Calibri"/>
                <w:szCs w:val="22"/>
              </w:rPr>
            </w:pPr>
          </w:p>
        </w:tc>
      </w:tr>
      <w:bookmarkEnd w:id="0"/>
    </w:tbl>
    <w:p w14:paraId="51AC2393" w14:textId="11975884" w:rsidR="00CA09B2" w:rsidRDefault="00CA09B2" w:rsidP="0077590E"/>
    <w:p w14:paraId="53DD9B9D" w14:textId="77777777" w:rsidR="00CA09B2" w:rsidRDefault="00CA09B2"/>
    <w:p w14:paraId="77A7AE5F" w14:textId="2A22F5F8" w:rsidR="00CA09B2" w:rsidRDefault="0080142E">
      <w:pPr>
        <w:rPr>
          <w:rFonts w:ascii="Calibri" w:hAnsi="Calibri" w:cs="Calibri"/>
          <w:u w:val="single"/>
        </w:rPr>
      </w:pPr>
      <w:r>
        <w:rPr>
          <w:rFonts w:ascii="Calibri" w:hAnsi="Calibri" w:cs="Calibri"/>
          <w:u w:val="single"/>
        </w:rPr>
        <w:t>Discussion:</w:t>
      </w:r>
    </w:p>
    <w:p w14:paraId="14D11CA6" w14:textId="77777777" w:rsidR="0080142E" w:rsidRDefault="0080142E">
      <w:pPr>
        <w:rPr>
          <w:rFonts w:ascii="Calibri" w:hAnsi="Calibri" w:cs="Calibri"/>
        </w:rPr>
      </w:pPr>
    </w:p>
    <w:p w14:paraId="5252ADE7" w14:textId="053F8AB5" w:rsidR="00FD4A81" w:rsidRDefault="00693274">
      <w:pPr>
        <w:rPr>
          <w:rFonts w:ascii="Calibri" w:hAnsi="Calibri" w:cs="Calibri"/>
        </w:rPr>
      </w:pPr>
      <w:r>
        <w:rPr>
          <w:rFonts w:ascii="Calibri" w:hAnsi="Calibri" w:cs="Calibri"/>
        </w:rPr>
        <w:t>This is a minor matter of style</w:t>
      </w:r>
      <w:r w:rsidR="0087616A">
        <w:rPr>
          <w:rFonts w:ascii="Calibri" w:hAnsi="Calibri" w:cs="Calibri"/>
        </w:rPr>
        <w:t>. However, it seems neater to accept the proposed change.</w:t>
      </w:r>
    </w:p>
    <w:p w14:paraId="41BF2CC8" w14:textId="77777777" w:rsidR="00186D41" w:rsidRDefault="00186D41"/>
    <w:p w14:paraId="260E0469" w14:textId="312DB680" w:rsidR="00C0276F" w:rsidRPr="0087616A" w:rsidRDefault="00C0276F">
      <w:r>
        <w:rPr>
          <w:rFonts w:ascii="Calibri" w:hAnsi="Calibri" w:cs="Calibri"/>
          <w:szCs w:val="22"/>
          <w:u w:val="single"/>
        </w:rPr>
        <w:t>Proposed resolution:</w:t>
      </w:r>
    </w:p>
    <w:p w14:paraId="70B50083" w14:textId="6AE1A071" w:rsidR="00C0276F" w:rsidRDefault="00C0276F">
      <w:pPr>
        <w:rPr>
          <w:rFonts w:ascii="Calibri" w:hAnsi="Calibri" w:cs="Calibri"/>
          <w:szCs w:val="22"/>
        </w:rPr>
      </w:pPr>
    </w:p>
    <w:p w14:paraId="6A2651A2" w14:textId="20F4D485" w:rsidR="007A01F5" w:rsidRDefault="0087616A">
      <w:pPr>
        <w:rPr>
          <w:rFonts w:ascii="Calibri" w:hAnsi="Calibri" w:cs="Calibri"/>
          <w:szCs w:val="22"/>
        </w:rPr>
      </w:pPr>
      <w:bookmarkStart w:id="1" w:name="_Hlk107981645"/>
      <w:r>
        <w:rPr>
          <w:rFonts w:ascii="Calibri" w:hAnsi="Calibri" w:cs="Calibri"/>
          <w:szCs w:val="22"/>
        </w:rPr>
        <w:t>ACCEPTED.</w:t>
      </w:r>
    </w:p>
    <w:bookmarkEnd w:id="1"/>
    <w:p w14:paraId="2AE9DBB6" w14:textId="5B16922F" w:rsidR="008D7CC7" w:rsidRDefault="007A01F5">
      <w:pPr>
        <w:rPr>
          <w:rFonts w:ascii="Calibri" w:hAnsi="Calibri" w:cs="Calibri"/>
          <w:szCs w:val="22"/>
        </w:rPr>
      </w:pPr>
      <w:r>
        <w:rPr>
          <w:rFonts w:ascii="Calibri" w:hAnsi="Calibri" w:cs="Calibri"/>
          <w:szCs w:val="22"/>
        </w:rPr>
        <w:br w:type="page"/>
      </w:r>
      <w:r w:rsidR="008D7CC7">
        <w:rPr>
          <w:rFonts w:ascii="Calibri" w:hAnsi="Calibri" w:cs="Calibri"/>
          <w:szCs w:val="22"/>
        </w:rPr>
        <w:lastRenderedPageBreak/>
        <w:t xml:space="preserv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40"/>
        <w:gridCol w:w="3060"/>
        <w:gridCol w:w="3287"/>
      </w:tblGrid>
      <w:tr w:rsidR="007A01F5" w:rsidRPr="00F86050" w14:paraId="4E859A64" w14:textId="77777777" w:rsidTr="006D4D48">
        <w:trPr>
          <w:trHeight w:val="373"/>
          <w:jc w:val="center"/>
        </w:trPr>
        <w:tc>
          <w:tcPr>
            <w:tcW w:w="1488" w:type="dxa"/>
            <w:shd w:val="clear" w:color="auto" w:fill="auto"/>
          </w:tcPr>
          <w:p w14:paraId="2EB786E2" w14:textId="77777777" w:rsidR="007A01F5" w:rsidRDefault="007A01F5" w:rsidP="009E6F58">
            <w:pPr>
              <w:autoSpaceDE w:val="0"/>
              <w:autoSpaceDN w:val="0"/>
              <w:adjustRightInd w:val="0"/>
              <w:rPr>
                <w:rFonts w:ascii="Calibri" w:hAnsi="Calibri" w:cs="Calibri"/>
                <w:b/>
                <w:bCs/>
                <w:color w:val="000000"/>
                <w:szCs w:val="22"/>
                <w:lang w:eastAsia="ko-KR"/>
              </w:rPr>
            </w:pPr>
            <w:bookmarkStart w:id="2" w:name="_Hlk107982448"/>
            <w:r w:rsidRPr="002359B4">
              <w:rPr>
                <w:rFonts w:ascii="Calibri" w:hAnsi="Calibri" w:cs="Calibri"/>
                <w:b/>
                <w:bCs/>
                <w:color w:val="000000"/>
                <w:szCs w:val="22"/>
                <w:lang w:eastAsia="ko-KR"/>
              </w:rPr>
              <w:t>CID</w:t>
            </w:r>
          </w:p>
          <w:p w14:paraId="51BE4918" w14:textId="77777777" w:rsidR="007A01F5" w:rsidRPr="002359B4" w:rsidRDefault="007A01F5"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440" w:type="dxa"/>
            <w:shd w:val="clear" w:color="auto" w:fill="auto"/>
          </w:tcPr>
          <w:p w14:paraId="0C06F204"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060" w:type="dxa"/>
            <w:shd w:val="clear" w:color="auto" w:fill="auto"/>
          </w:tcPr>
          <w:p w14:paraId="017F4432"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A67E33F"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7A01F5" w:rsidRPr="00F86050" w14:paraId="48903901" w14:textId="77777777" w:rsidTr="006D4D48">
        <w:trPr>
          <w:trHeight w:val="1002"/>
          <w:jc w:val="center"/>
        </w:trPr>
        <w:tc>
          <w:tcPr>
            <w:tcW w:w="1488" w:type="dxa"/>
            <w:shd w:val="clear" w:color="auto" w:fill="auto"/>
          </w:tcPr>
          <w:p w14:paraId="1E2AC7EF" w14:textId="02464625" w:rsidR="007A01F5" w:rsidRDefault="00186D41" w:rsidP="009E6F58">
            <w:pPr>
              <w:rPr>
                <w:rFonts w:ascii="Calibri" w:hAnsi="Calibri" w:cs="Calibri"/>
                <w:b/>
                <w:color w:val="000000"/>
                <w:szCs w:val="22"/>
              </w:rPr>
            </w:pPr>
            <w:r>
              <w:rPr>
                <w:rFonts w:ascii="Calibri" w:hAnsi="Calibri" w:cs="Calibri"/>
                <w:b/>
                <w:color w:val="000000"/>
                <w:szCs w:val="22"/>
              </w:rPr>
              <w:t>4048</w:t>
            </w:r>
          </w:p>
          <w:p w14:paraId="094A3749" w14:textId="77777777" w:rsidR="00186D41" w:rsidRDefault="00186D41" w:rsidP="009E6F58">
            <w:pPr>
              <w:rPr>
                <w:rFonts w:ascii="Calibri" w:hAnsi="Calibri" w:cs="Calibri"/>
                <w:b/>
                <w:color w:val="000000"/>
                <w:szCs w:val="22"/>
              </w:rPr>
            </w:pPr>
          </w:p>
          <w:p w14:paraId="12547FE6" w14:textId="7EA0AC39" w:rsidR="00186D41" w:rsidRDefault="00186D41" w:rsidP="009E6F58">
            <w:pPr>
              <w:rPr>
                <w:rFonts w:ascii="Calibri" w:hAnsi="Calibri" w:cs="Calibri"/>
                <w:b/>
                <w:color w:val="000000"/>
                <w:szCs w:val="22"/>
              </w:rPr>
            </w:pPr>
            <w:r>
              <w:rPr>
                <w:rFonts w:ascii="Calibri" w:hAnsi="Calibri" w:cs="Calibri"/>
                <w:b/>
                <w:color w:val="000000"/>
                <w:szCs w:val="22"/>
              </w:rPr>
              <w:t>(John Coffey)</w:t>
            </w:r>
          </w:p>
          <w:p w14:paraId="6A44ECE5" w14:textId="77777777" w:rsidR="007A01F5" w:rsidRPr="002359B4" w:rsidRDefault="007A01F5" w:rsidP="009E6F58">
            <w:pPr>
              <w:rPr>
                <w:rFonts w:ascii="Calibri" w:hAnsi="Calibri" w:cs="Calibri"/>
                <w:b/>
                <w:color w:val="000000"/>
                <w:szCs w:val="22"/>
              </w:rPr>
            </w:pPr>
          </w:p>
        </w:tc>
        <w:tc>
          <w:tcPr>
            <w:tcW w:w="1440" w:type="dxa"/>
            <w:shd w:val="clear" w:color="auto" w:fill="auto"/>
          </w:tcPr>
          <w:p w14:paraId="7140FB8F" w14:textId="372C710A" w:rsidR="007A01F5" w:rsidRDefault="006D4D48" w:rsidP="009E6F58">
            <w:pPr>
              <w:rPr>
                <w:rFonts w:ascii="Calibri" w:hAnsi="Calibri" w:cs="Calibri"/>
                <w:color w:val="000000"/>
                <w:szCs w:val="22"/>
              </w:rPr>
            </w:pPr>
            <w:r w:rsidRPr="006D4D48">
              <w:rPr>
                <w:rFonts w:ascii="Calibri" w:hAnsi="Calibri" w:cs="Calibri"/>
                <w:color w:val="000000"/>
                <w:szCs w:val="22"/>
              </w:rPr>
              <w:t>11.22.3.3.17</w:t>
            </w:r>
          </w:p>
          <w:p w14:paraId="006A06CE" w14:textId="7E93CB3F" w:rsidR="006D4D48" w:rsidRDefault="006D4D48" w:rsidP="009E6F58">
            <w:pPr>
              <w:rPr>
                <w:rFonts w:ascii="Calibri" w:hAnsi="Calibri" w:cs="Calibri"/>
                <w:color w:val="000000"/>
                <w:szCs w:val="22"/>
              </w:rPr>
            </w:pPr>
            <w:r>
              <w:rPr>
                <w:rFonts w:ascii="Calibri" w:hAnsi="Calibri" w:cs="Calibri"/>
                <w:color w:val="000000"/>
                <w:szCs w:val="22"/>
              </w:rPr>
              <w:t>/</w:t>
            </w:r>
          </w:p>
          <w:p w14:paraId="3CAA0E1C" w14:textId="739562DF" w:rsidR="006D4D48" w:rsidRPr="002359B4" w:rsidRDefault="006D4D48" w:rsidP="009E6F58">
            <w:pPr>
              <w:rPr>
                <w:rFonts w:ascii="Calibri" w:hAnsi="Calibri" w:cs="Calibri"/>
                <w:color w:val="000000"/>
                <w:szCs w:val="22"/>
              </w:rPr>
            </w:pPr>
            <w:r>
              <w:rPr>
                <w:rFonts w:ascii="Calibri" w:hAnsi="Calibri" w:cs="Calibri"/>
                <w:color w:val="000000"/>
                <w:szCs w:val="22"/>
              </w:rPr>
              <w:t>2645.7</w:t>
            </w:r>
          </w:p>
          <w:p w14:paraId="64FF8C24" w14:textId="77777777" w:rsidR="007A01F5" w:rsidRPr="002359B4" w:rsidRDefault="007A01F5" w:rsidP="009E6F58">
            <w:pPr>
              <w:rPr>
                <w:rFonts w:ascii="Calibri" w:hAnsi="Calibri" w:cs="Calibri"/>
                <w:color w:val="000000"/>
                <w:szCs w:val="22"/>
              </w:rPr>
            </w:pPr>
          </w:p>
          <w:p w14:paraId="3AB03033" w14:textId="77777777" w:rsidR="007A01F5" w:rsidRPr="002359B4" w:rsidRDefault="007A01F5" w:rsidP="009E6F58">
            <w:pPr>
              <w:rPr>
                <w:rFonts w:ascii="Calibri" w:hAnsi="Calibri" w:cs="Calibri"/>
                <w:color w:val="000000"/>
                <w:szCs w:val="22"/>
              </w:rPr>
            </w:pPr>
          </w:p>
        </w:tc>
        <w:tc>
          <w:tcPr>
            <w:tcW w:w="3060" w:type="dxa"/>
            <w:shd w:val="clear" w:color="auto" w:fill="auto"/>
          </w:tcPr>
          <w:p w14:paraId="69692328" w14:textId="5075C668" w:rsidR="007A01F5" w:rsidRDefault="009221A5" w:rsidP="007A01F5">
            <w:pPr>
              <w:rPr>
                <w:rFonts w:ascii="Calibri" w:hAnsi="Calibri" w:cs="Calibri"/>
                <w:lang w:val="en-US"/>
              </w:rPr>
            </w:pPr>
            <w:r w:rsidRPr="009221A5">
              <w:rPr>
                <w:rFonts w:ascii="Calibri" w:hAnsi="Calibri" w:cs="Calibri"/>
                <w:lang w:val="en-US"/>
              </w:rPr>
              <w:t>"A Credential Types Tuple subfield shall be ignored if the value in the Validation, Category Group and/or Category Type subfield is reserved." There are hundreds of statements like this scattered throughout the spec, and we have discussed various aspects of this in previous letter ballots. This comment concerns what it means for a STA to "ignore" a bit or a subfield, here and in all other cases where "ignore" is used. Under long tradition, it is not the case that a STA that takes account of reserved bits or subfields in some way are considered non-compliant with the IEEE standard. But in that case, what does "ignore" mean? The spec should include a definition of this term.</w:t>
            </w:r>
          </w:p>
          <w:p w14:paraId="4E55AE11" w14:textId="49E31434" w:rsidR="007A01F5" w:rsidRDefault="007A01F5" w:rsidP="009E6F58">
            <w:pPr>
              <w:rPr>
                <w:rFonts w:ascii="Calibri" w:hAnsi="Calibri" w:cs="Calibri"/>
                <w:color w:val="000000"/>
                <w:szCs w:val="22"/>
              </w:rPr>
            </w:pPr>
          </w:p>
        </w:tc>
        <w:tc>
          <w:tcPr>
            <w:tcW w:w="3287" w:type="dxa"/>
            <w:shd w:val="clear" w:color="auto" w:fill="auto"/>
          </w:tcPr>
          <w:p w14:paraId="4803A4EE" w14:textId="5D06BB22" w:rsidR="007A01F5" w:rsidRPr="002359B4" w:rsidRDefault="0085054D" w:rsidP="009E6F58">
            <w:pPr>
              <w:rPr>
                <w:rFonts w:ascii="Calibri" w:hAnsi="Calibri" w:cs="Calibri"/>
                <w:szCs w:val="22"/>
                <w:lang w:val="en-US"/>
              </w:rPr>
            </w:pPr>
            <w:r w:rsidRPr="0085054D">
              <w:rPr>
                <w:rFonts w:ascii="Calibri" w:hAnsi="Calibri" w:cs="Calibri"/>
                <w:szCs w:val="22"/>
                <w:lang w:val="en-US"/>
              </w:rPr>
              <w:t xml:space="preserve">At the end of Clause 1.4 (Word usage) (173.29), add new paragraph "A construction of the form "a [bit / subfield] shall be ignored" (for example, by a receiving STA) is to be understood as meaning that the set of normative requirements for the STA immediately after reception of the bit or subfield is the same as the set of normative </w:t>
            </w:r>
            <w:proofErr w:type="spellStart"/>
            <w:r w:rsidRPr="0085054D">
              <w:rPr>
                <w:rFonts w:ascii="Calibri" w:hAnsi="Calibri" w:cs="Calibri"/>
                <w:szCs w:val="22"/>
                <w:lang w:val="en-US"/>
              </w:rPr>
              <w:t>requirememts</w:t>
            </w:r>
            <w:proofErr w:type="spellEnd"/>
            <w:r w:rsidRPr="0085054D">
              <w:rPr>
                <w:rFonts w:ascii="Calibri" w:hAnsi="Calibri" w:cs="Calibri"/>
                <w:szCs w:val="22"/>
                <w:lang w:val="en-US"/>
              </w:rPr>
              <w:t xml:space="preserve"> for the STA immediately before reception."</w:t>
            </w:r>
          </w:p>
          <w:p w14:paraId="4EDB27BC" w14:textId="77777777" w:rsidR="007A01F5" w:rsidRPr="002359B4" w:rsidRDefault="007A01F5" w:rsidP="009E6F58">
            <w:pPr>
              <w:rPr>
                <w:rFonts w:ascii="Calibri" w:hAnsi="Calibri" w:cs="Calibri"/>
                <w:szCs w:val="22"/>
              </w:rPr>
            </w:pPr>
          </w:p>
        </w:tc>
      </w:tr>
      <w:bookmarkEnd w:id="2"/>
    </w:tbl>
    <w:p w14:paraId="0FF5BE17" w14:textId="6554DBF6" w:rsidR="00CA09B2" w:rsidRDefault="00CA09B2"/>
    <w:p w14:paraId="038762FC" w14:textId="3C6EB9DA" w:rsidR="007A01F5" w:rsidRDefault="007A01F5">
      <w:pPr>
        <w:rPr>
          <w:rFonts w:ascii="Calibri" w:hAnsi="Calibri" w:cs="Calibri"/>
          <w:u w:val="single"/>
        </w:rPr>
      </w:pPr>
      <w:r>
        <w:rPr>
          <w:rFonts w:ascii="Calibri" w:hAnsi="Calibri" w:cs="Calibri"/>
          <w:u w:val="single"/>
        </w:rPr>
        <w:t>Discussion:</w:t>
      </w:r>
    </w:p>
    <w:p w14:paraId="7EDCBC34" w14:textId="752D1930" w:rsidR="007A01F5" w:rsidRDefault="007A01F5">
      <w:pPr>
        <w:rPr>
          <w:rFonts w:ascii="Calibri" w:hAnsi="Calibri" w:cs="Calibri"/>
        </w:rPr>
      </w:pPr>
    </w:p>
    <w:p w14:paraId="79258FCE" w14:textId="11FA3C8B" w:rsidR="001443F2" w:rsidRDefault="0085054D" w:rsidP="0085054D">
      <w:pPr>
        <w:rPr>
          <w:rFonts w:ascii="Calibri" w:hAnsi="Calibri" w:cs="Calibri"/>
        </w:rPr>
      </w:pPr>
      <w:r>
        <w:rPr>
          <w:rFonts w:ascii="Calibri" w:hAnsi="Calibri" w:cs="Calibri"/>
        </w:rPr>
        <w:t xml:space="preserve">It might be important for some </w:t>
      </w:r>
      <w:proofErr w:type="spellStart"/>
      <w:r>
        <w:rPr>
          <w:rFonts w:ascii="Calibri" w:hAnsi="Calibri" w:cs="Calibri"/>
        </w:rPr>
        <w:t>prurposes</w:t>
      </w:r>
      <w:proofErr w:type="spellEnd"/>
      <w:r w:rsidR="0008036A">
        <w:rPr>
          <w:rFonts w:ascii="Calibri" w:hAnsi="Calibri" w:cs="Calibri"/>
        </w:rPr>
        <w:t xml:space="preserve"> to be able to determine whether a given device is compliant with the IEEE spec.</w:t>
      </w:r>
      <w:r w:rsidR="00CC4832">
        <w:rPr>
          <w:rFonts w:ascii="Calibri" w:hAnsi="Calibri" w:cs="Calibri"/>
        </w:rPr>
        <w:t xml:space="preserve"> Since </w:t>
      </w:r>
      <w:r w:rsidR="004E4617">
        <w:rPr>
          <w:rFonts w:ascii="Calibri" w:hAnsi="Calibri" w:cs="Calibri"/>
        </w:rPr>
        <w:t xml:space="preserve">in the IEEE spec, </w:t>
      </w:r>
      <w:r w:rsidR="00CC4832" w:rsidRPr="00CC4832">
        <w:rPr>
          <w:rFonts w:ascii="Calibri" w:hAnsi="Calibri" w:cs="Calibri"/>
        </w:rPr>
        <w:t xml:space="preserve">the word </w:t>
      </w:r>
      <w:r w:rsidR="00CC4832" w:rsidRPr="00CC4832">
        <w:rPr>
          <w:rFonts w:ascii="Calibri" w:hAnsi="Calibri" w:cs="Calibri"/>
          <w:i/>
          <w:iCs/>
        </w:rPr>
        <w:t>shall</w:t>
      </w:r>
      <w:r w:rsidR="00CC4832" w:rsidRPr="00CC4832">
        <w:rPr>
          <w:rFonts w:ascii="Calibri" w:hAnsi="Calibri" w:cs="Calibri"/>
        </w:rPr>
        <w:t xml:space="preserve"> is used to indicate a mandatory requirement</w:t>
      </w:r>
      <w:r w:rsidR="004E4617">
        <w:rPr>
          <w:rFonts w:ascii="Calibri" w:hAnsi="Calibri" w:cs="Calibri"/>
        </w:rPr>
        <w:t xml:space="preserve"> (1.4 (Word usage))</w:t>
      </w:r>
      <w:r w:rsidR="00625AC6">
        <w:rPr>
          <w:rFonts w:ascii="Calibri" w:hAnsi="Calibri" w:cs="Calibri"/>
        </w:rPr>
        <w:t xml:space="preserve">, a compliant device </w:t>
      </w:r>
      <w:r w:rsidR="00E23041">
        <w:rPr>
          <w:rFonts w:ascii="Calibri" w:hAnsi="Calibri" w:cs="Calibri"/>
        </w:rPr>
        <w:t>has to follow all shall statements.</w:t>
      </w:r>
    </w:p>
    <w:p w14:paraId="1359E4A9" w14:textId="77777777" w:rsidR="00E23041" w:rsidRDefault="00E23041" w:rsidP="0085054D">
      <w:pPr>
        <w:rPr>
          <w:rFonts w:ascii="Calibri" w:hAnsi="Calibri" w:cs="Calibri"/>
        </w:rPr>
      </w:pPr>
    </w:p>
    <w:p w14:paraId="4BC9C0A5" w14:textId="1BC4A91E" w:rsidR="00E23041" w:rsidRDefault="00E23041" w:rsidP="0085054D">
      <w:pPr>
        <w:rPr>
          <w:rFonts w:ascii="Calibri" w:hAnsi="Calibri" w:cs="Calibri"/>
        </w:rPr>
      </w:pPr>
      <w:r>
        <w:rPr>
          <w:rFonts w:ascii="Calibri" w:hAnsi="Calibri" w:cs="Calibri"/>
        </w:rPr>
        <w:t>In many places, as in the cited example, the phrase “</w:t>
      </w:r>
      <w:r w:rsidR="0005486B">
        <w:rPr>
          <w:rFonts w:ascii="Calibri" w:hAnsi="Calibri" w:cs="Calibri"/>
        </w:rPr>
        <w:t xml:space="preserve">shall be ignored” crops up. What exactly does this mean, and what kind of </w:t>
      </w:r>
      <w:proofErr w:type="spellStart"/>
      <w:r w:rsidR="0005486B">
        <w:rPr>
          <w:rFonts w:ascii="Calibri" w:hAnsi="Calibri" w:cs="Calibri"/>
        </w:rPr>
        <w:t>behavior</w:t>
      </w:r>
      <w:proofErr w:type="spellEnd"/>
      <w:r w:rsidR="0005486B">
        <w:rPr>
          <w:rFonts w:ascii="Calibri" w:hAnsi="Calibri" w:cs="Calibri"/>
        </w:rPr>
        <w:t xml:space="preserve"> would mean that a given device does </w:t>
      </w:r>
      <w:r w:rsidR="0005486B" w:rsidRPr="008B11EE">
        <w:rPr>
          <w:rFonts w:ascii="Calibri" w:hAnsi="Calibri" w:cs="Calibri"/>
          <w:i/>
          <w:iCs/>
        </w:rPr>
        <w:t xml:space="preserve">not </w:t>
      </w:r>
      <w:r w:rsidR="0005486B">
        <w:rPr>
          <w:rFonts w:ascii="Calibri" w:hAnsi="Calibri" w:cs="Calibri"/>
        </w:rPr>
        <w:t xml:space="preserve">comply </w:t>
      </w:r>
      <w:r w:rsidR="008B11EE">
        <w:rPr>
          <w:rFonts w:ascii="Calibri" w:hAnsi="Calibri" w:cs="Calibri"/>
        </w:rPr>
        <w:t>with the spec?</w:t>
      </w:r>
    </w:p>
    <w:p w14:paraId="12F12FAE" w14:textId="77777777" w:rsidR="008B11EE" w:rsidRDefault="008B11EE" w:rsidP="0085054D">
      <w:pPr>
        <w:rPr>
          <w:rFonts w:ascii="Calibri" w:hAnsi="Calibri" w:cs="Calibri"/>
        </w:rPr>
      </w:pPr>
    </w:p>
    <w:p w14:paraId="3A3EE046" w14:textId="5ACF83B0" w:rsidR="008B11EE" w:rsidRDefault="008B11EE" w:rsidP="0085054D">
      <w:pPr>
        <w:rPr>
          <w:rFonts w:ascii="Calibri" w:hAnsi="Calibri" w:cs="Calibri"/>
        </w:rPr>
      </w:pPr>
      <w:r>
        <w:rPr>
          <w:rFonts w:ascii="Calibri" w:hAnsi="Calibri" w:cs="Calibri"/>
        </w:rPr>
        <w:t xml:space="preserve">This is not </w:t>
      </w:r>
      <w:r w:rsidR="00DA7EFC">
        <w:rPr>
          <w:rFonts w:ascii="Calibri" w:hAnsi="Calibri" w:cs="Calibri"/>
        </w:rPr>
        <w:t>completely straightforward. Here are some issues:</w:t>
      </w:r>
    </w:p>
    <w:p w14:paraId="57E22803" w14:textId="77777777" w:rsidR="00DA7EFC" w:rsidRDefault="00DA7EFC" w:rsidP="0085054D">
      <w:pPr>
        <w:rPr>
          <w:rFonts w:ascii="Calibri" w:hAnsi="Calibri" w:cs="Calibri"/>
        </w:rPr>
      </w:pPr>
    </w:p>
    <w:p w14:paraId="3766ABA5" w14:textId="5BDCBBC1" w:rsidR="00DA7EFC" w:rsidRDefault="005D0731" w:rsidP="00DA7EFC">
      <w:pPr>
        <w:numPr>
          <w:ilvl w:val="0"/>
          <w:numId w:val="1"/>
        </w:numPr>
        <w:rPr>
          <w:rFonts w:ascii="Calibri" w:hAnsi="Calibri" w:cs="Calibri"/>
        </w:rPr>
      </w:pPr>
      <w:r>
        <w:rPr>
          <w:rFonts w:ascii="Calibri" w:hAnsi="Calibri" w:cs="Calibri"/>
        </w:rPr>
        <w:t xml:space="preserve">A subfield contains a reserved value. </w:t>
      </w:r>
      <w:r w:rsidR="00CA1B38">
        <w:rPr>
          <w:rFonts w:ascii="Calibri" w:hAnsi="Calibri" w:cs="Calibri"/>
        </w:rPr>
        <w:t xml:space="preserve">In computing the FCS, the STA takes account of the </w:t>
      </w:r>
      <w:r w:rsidR="00817AD5">
        <w:rPr>
          <w:rFonts w:ascii="Calibri" w:hAnsi="Calibri" w:cs="Calibri"/>
        </w:rPr>
        <w:t xml:space="preserve">reserved value. Does this mean that the STA has not ignored the </w:t>
      </w:r>
      <w:r w:rsidR="001467E1">
        <w:rPr>
          <w:rFonts w:ascii="Calibri" w:hAnsi="Calibri" w:cs="Calibri"/>
        </w:rPr>
        <w:t>reserved value?</w:t>
      </w:r>
    </w:p>
    <w:p w14:paraId="49CE513B" w14:textId="77777777" w:rsidR="001467E1" w:rsidRDefault="001467E1" w:rsidP="001467E1">
      <w:pPr>
        <w:rPr>
          <w:rFonts w:ascii="Calibri" w:hAnsi="Calibri" w:cs="Calibri"/>
        </w:rPr>
      </w:pPr>
    </w:p>
    <w:p w14:paraId="60C9756A" w14:textId="78E5501D" w:rsidR="001467E1" w:rsidRDefault="001467E1" w:rsidP="001467E1">
      <w:pPr>
        <w:ind w:left="720"/>
        <w:rPr>
          <w:rFonts w:ascii="Calibri" w:hAnsi="Calibri" w:cs="Calibri"/>
        </w:rPr>
      </w:pPr>
      <w:r>
        <w:rPr>
          <w:rFonts w:ascii="Calibri" w:hAnsi="Calibri" w:cs="Calibri"/>
        </w:rPr>
        <w:t>(Answer: “Of course not. That’s not what is meant by “ignore”.)</w:t>
      </w:r>
    </w:p>
    <w:p w14:paraId="78488EBB" w14:textId="77777777" w:rsidR="001467E1" w:rsidRDefault="001467E1" w:rsidP="001467E1">
      <w:pPr>
        <w:ind w:left="720"/>
        <w:rPr>
          <w:rFonts w:ascii="Calibri" w:hAnsi="Calibri" w:cs="Calibri"/>
        </w:rPr>
      </w:pPr>
    </w:p>
    <w:p w14:paraId="20B442B7" w14:textId="77777777" w:rsidR="00B15D79" w:rsidRDefault="00D61B7A" w:rsidP="001467E1">
      <w:pPr>
        <w:numPr>
          <w:ilvl w:val="0"/>
          <w:numId w:val="1"/>
        </w:numPr>
        <w:rPr>
          <w:rFonts w:ascii="Calibri" w:hAnsi="Calibri" w:cs="Calibri"/>
        </w:rPr>
      </w:pPr>
      <w:r>
        <w:rPr>
          <w:rFonts w:ascii="Calibri" w:hAnsi="Calibri" w:cs="Calibri"/>
        </w:rPr>
        <w:t xml:space="preserve">A </w:t>
      </w:r>
      <w:r w:rsidR="0006758A">
        <w:rPr>
          <w:rFonts w:ascii="Calibri" w:hAnsi="Calibri" w:cs="Calibri"/>
        </w:rPr>
        <w:t xml:space="preserve">subfield </w:t>
      </w:r>
      <w:r w:rsidR="00356C00">
        <w:rPr>
          <w:rFonts w:ascii="Calibri" w:hAnsi="Calibri" w:cs="Calibri"/>
        </w:rPr>
        <w:t xml:space="preserve">might </w:t>
      </w:r>
      <w:r w:rsidR="0006758A">
        <w:rPr>
          <w:rFonts w:ascii="Calibri" w:hAnsi="Calibri" w:cs="Calibri"/>
        </w:rPr>
        <w:t>contain a non-</w:t>
      </w:r>
      <w:proofErr w:type="spellStart"/>
      <w:r w:rsidR="0006758A">
        <w:rPr>
          <w:rFonts w:ascii="Calibri" w:hAnsi="Calibri" w:cs="Calibri"/>
        </w:rPr>
        <w:t>resreved</w:t>
      </w:r>
      <w:proofErr w:type="spellEnd"/>
      <w:r w:rsidR="0006758A">
        <w:rPr>
          <w:rFonts w:ascii="Calibri" w:hAnsi="Calibri" w:cs="Calibri"/>
        </w:rPr>
        <w:t xml:space="preserve"> value that signals “do X” and another </w:t>
      </w:r>
      <w:r w:rsidR="00CC13AC">
        <w:rPr>
          <w:rFonts w:ascii="Calibri" w:hAnsi="Calibri" w:cs="Calibri"/>
        </w:rPr>
        <w:t xml:space="preserve">non-reserved value that signals “do Y”, where </w:t>
      </w:r>
      <w:r w:rsidR="006D0DD4">
        <w:rPr>
          <w:rFonts w:ascii="Calibri" w:hAnsi="Calibri" w:cs="Calibri"/>
        </w:rPr>
        <w:t>X and Y together cover all possibilities. (</w:t>
      </w:r>
      <w:r w:rsidR="00224AF4">
        <w:rPr>
          <w:rFonts w:ascii="Calibri" w:hAnsi="Calibri" w:cs="Calibri"/>
        </w:rPr>
        <w:t xml:space="preserve">Previous discussions in </w:t>
      </w:r>
      <w:proofErr w:type="spellStart"/>
      <w:r w:rsidR="00224AF4">
        <w:rPr>
          <w:rFonts w:ascii="Calibri" w:hAnsi="Calibri" w:cs="Calibri"/>
        </w:rPr>
        <w:t>REVme</w:t>
      </w:r>
      <w:proofErr w:type="spellEnd"/>
      <w:r w:rsidR="00224AF4">
        <w:rPr>
          <w:rFonts w:ascii="Calibri" w:hAnsi="Calibri" w:cs="Calibri"/>
        </w:rPr>
        <w:t xml:space="preserve"> have referred to examples of this.)</w:t>
      </w:r>
      <w:r w:rsidR="00356C00">
        <w:rPr>
          <w:rFonts w:ascii="Calibri" w:hAnsi="Calibri" w:cs="Calibri"/>
        </w:rPr>
        <w:t xml:space="preserve"> A STA receives a </w:t>
      </w:r>
      <w:r w:rsidR="00CB4614">
        <w:rPr>
          <w:rFonts w:ascii="Calibri" w:hAnsi="Calibri" w:cs="Calibri"/>
        </w:rPr>
        <w:t>PPDU in which the subfield has a reserved value.</w:t>
      </w:r>
      <w:r w:rsidR="00B15D79">
        <w:rPr>
          <w:rFonts w:ascii="Calibri" w:hAnsi="Calibri" w:cs="Calibri"/>
        </w:rPr>
        <w:t xml:space="preserve"> How does the STA “ignore” the reserved value?</w:t>
      </w:r>
    </w:p>
    <w:p w14:paraId="40CED2E6" w14:textId="77777777" w:rsidR="006A3144" w:rsidRDefault="006A3144" w:rsidP="006A3144">
      <w:pPr>
        <w:rPr>
          <w:rFonts w:ascii="Calibri" w:hAnsi="Calibri" w:cs="Calibri"/>
        </w:rPr>
      </w:pPr>
    </w:p>
    <w:p w14:paraId="43A25926" w14:textId="4EB7A7E9" w:rsidR="006A3144" w:rsidRDefault="006A3144" w:rsidP="006A3144">
      <w:pPr>
        <w:ind w:left="720"/>
        <w:rPr>
          <w:rFonts w:ascii="Calibri" w:hAnsi="Calibri" w:cs="Calibri"/>
        </w:rPr>
      </w:pPr>
      <w:r>
        <w:rPr>
          <w:rFonts w:ascii="Calibri" w:hAnsi="Calibri" w:cs="Calibri"/>
        </w:rPr>
        <w:lastRenderedPageBreak/>
        <w:t>(Answer: “</w:t>
      </w:r>
      <w:r w:rsidR="00FA75CD">
        <w:rPr>
          <w:rFonts w:ascii="Calibri" w:hAnsi="Calibri" w:cs="Calibri"/>
        </w:rPr>
        <w:t>A</w:t>
      </w:r>
      <w:r w:rsidR="009F6B25">
        <w:rPr>
          <w:rFonts w:ascii="Calibri" w:hAnsi="Calibri" w:cs="Calibri"/>
        </w:rPr>
        <w:t xml:space="preserve"> device cannot be</w:t>
      </w:r>
      <w:r w:rsidR="00C4096F">
        <w:rPr>
          <w:rFonts w:ascii="Calibri" w:hAnsi="Calibri" w:cs="Calibri"/>
        </w:rPr>
        <w:t xml:space="preserve"> </w:t>
      </w:r>
      <w:r w:rsidR="009F6B25">
        <w:rPr>
          <w:rFonts w:ascii="Calibri" w:hAnsi="Calibri" w:cs="Calibri"/>
        </w:rPr>
        <w:t xml:space="preserve">considered non-compliant if there is no possible </w:t>
      </w:r>
      <w:proofErr w:type="spellStart"/>
      <w:r w:rsidR="009F6B25">
        <w:rPr>
          <w:rFonts w:ascii="Calibri" w:hAnsi="Calibri" w:cs="Calibri"/>
        </w:rPr>
        <w:t>behavior</w:t>
      </w:r>
      <w:proofErr w:type="spellEnd"/>
      <w:r w:rsidR="009F6B25">
        <w:rPr>
          <w:rFonts w:ascii="Calibri" w:hAnsi="Calibri" w:cs="Calibri"/>
        </w:rPr>
        <w:t xml:space="preserve"> that would render it compliant</w:t>
      </w:r>
      <w:r w:rsidR="00C4096F">
        <w:rPr>
          <w:rFonts w:ascii="Calibri" w:hAnsi="Calibri" w:cs="Calibri"/>
        </w:rPr>
        <w:t xml:space="preserve">. So the device </w:t>
      </w:r>
      <w:r w:rsidR="00A13B79">
        <w:rPr>
          <w:rFonts w:ascii="Calibri" w:hAnsi="Calibri" w:cs="Calibri"/>
        </w:rPr>
        <w:t>can do whatever.)</w:t>
      </w:r>
    </w:p>
    <w:p w14:paraId="70721D36" w14:textId="77777777" w:rsidR="00B15D79" w:rsidRDefault="00B15D79" w:rsidP="00B15D79">
      <w:pPr>
        <w:rPr>
          <w:rFonts w:ascii="Calibri" w:hAnsi="Calibri" w:cs="Calibri"/>
        </w:rPr>
      </w:pPr>
    </w:p>
    <w:p w14:paraId="3817AFAD" w14:textId="171B58D1" w:rsidR="001467E1" w:rsidRDefault="00B15D79" w:rsidP="00B15D79">
      <w:pPr>
        <w:numPr>
          <w:ilvl w:val="0"/>
          <w:numId w:val="1"/>
        </w:numPr>
        <w:rPr>
          <w:rFonts w:ascii="Calibri" w:hAnsi="Calibri" w:cs="Calibri"/>
        </w:rPr>
      </w:pPr>
      <w:r>
        <w:rPr>
          <w:rFonts w:ascii="Calibri" w:hAnsi="Calibri" w:cs="Calibri"/>
        </w:rPr>
        <w:t xml:space="preserve">A </w:t>
      </w:r>
      <w:r w:rsidR="00497DE1">
        <w:rPr>
          <w:rFonts w:ascii="Calibri" w:hAnsi="Calibri" w:cs="Calibri"/>
        </w:rPr>
        <w:t>field might contain a reserved bit</w:t>
      </w:r>
      <w:r w:rsidR="00362816">
        <w:rPr>
          <w:rFonts w:ascii="Calibri" w:hAnsi="Calibri" w:cs="Calibri"/>
        </w:rPr>
        <w:t xml:space="preserve">. Some devices use the </w:t>
      </w:r>
      <w:r w:rsidR="00EC1AD6">
        <w:rPr>
          <w:rFonts w:ascii="Calibri" w:hAnsi="Calibri" w:cs="Calibri"/>
        </w:rPr>
        <w:t>reserved bit to signal a mode that is beyond the scope of the IEEE spec</w:t>
      </w:r>
      <w:r w:rsidR="00A531EC">
        <w:rPr>
          <w:rFonts w:ascii="Calibri" w:hAnsi="Calibri" w:cs="Calibri"/>
        </w:rPr>
        <w:t xml:space="preserve"> (but has the same duration</w:t>
      </w:r>
      <w:r w:rsidR="00D63159">
        <w:rPr>
          <w:rFonts w:ascii="Calibri" w:hAnsi="Calibri" w:cs="Calibri"/>
        </w:rPr>
        <w:t xml:space="preserve"> as would be understood by spec-compliant STAs in the vicinity</w:t>
      </w:r>
      <w:r w:rsidR="005A22E4">
        <w:rPr>
          <w:rFonts w:ascii="Calibri" w:hAnsi="Calibri" w:cs="Calibri"/>
        </w:rPr>
        <w:t xml:space="preserve">). A STA </w:t>
      </w:r>
      <w:r w:rsidR="00F42414">
        <w:rPr>
          <w:rFonts w:ascii="Calibri" w:hAnsi="Calibri" w:cs="Calibri"/>
        </w:rPr>
        <w:t xml:space="preserve">that understands the intended meaning </w:t>
      </w:r>
      <w:r w:rsidR="005A22E4">
        <w:rPr>
          <w:rFonts w:ascii="Calibri" w:hAnsi="Calibri" w:cs="Calibri"/>
        </w:rPr>
        <w:t>receives a PPDU in which the bit is set to the reserved value</w:t>
      </w:r>
      <w:r w:rsidR="00F42414">
        <w:rPr>
          <w:rFonts w:ascii="Calibri" w:hAnsi="Calibri" w:cs="Calibri"/>
        </w:rPr>
        <w:t>, and</w:t>
      </w:r>
      <w:r w:rsidR="00EE4B0A">
        <w:rPr>
          <w:rFonts w:ascii="Calibri" w:hAnsi="Calibri" w:cs="Calibri"/>
        </w:rPr>
        <w:t xml:space="preserve"> processes the </w:t>
      </w:r>
      <w:r w:rsidR="00B41628">
        <w:rPr>
          <w:rFonts w:ascii="Calibri" w:hAnsi="Calibri" w:cs="Calibri"/>
        </w:rPr>
        <w:t>received signal according to the understood rules. Has the STA “ignored” the reserved bit?</w:t>
      </w:r>
    </w:p>
    <w:p w14:paraId="5B08750E" w14:textId="77777777" w:rsidR="00364CEE" w:rsidRDefault="00364CEE" w:rsidP="00364CEE">
      <w:pPr>
        <w:pStyle w:val="ListParagraph"/>
        <w:rPr>
          <w:rFonts w:ascii="Calibri" w:hAnsi="Calibri" w:cs="Calibri"/>
        </w:rPr>
      </w:pPr>
    </w:p>
    <w:p w14:paraId="56E99BBD" w14:textId="5A73EEE9" w:rsidR="00364CEE" w:rsidRDefault="004049F3" w:rsidP="004049F3">
      <w:pPr>
        <w:ind w:left="720"/>
        <w:rPr>
          <w:rFonts w:ascii="Calibri" w:hAnsi="Calibri" w:cs="Calibri"/>
        </w:rPr>
      </w:pPr>
      <w:r>
        <w:rPr>
          <w:rFonts w:ascii="Calibri" w:hAnsi="Calibri" w:cs="Calibri"/>
        </w:rPr>
        <w:t>(Ans</w:t>
      </w:r>
      <w:r w:rsidR="00DE09BB">
        <w:rPr>
          <w:rFonts w:ascii="Calibri" w:hAnsi="Calibri" w:cs="Calibri"/>
        </w:rPr>
        <w:t>wer: “</w:t>
      </w:r>
      <w:r w:rsidR="006D2197">
        <w:rPr>
          <w:rFonts w:ascii="Calibri" w:hAnsi="Calibri" w:cs="Calibri"/>
        </w:rPr>
        <w:t xml:space="preserve">The general understanding / folk wisdom is that </w:t>
      </w:r>
      <w:r w:rsidR="00B51B76">
        <w:rPr>
          <w:rFonts w:ascii="Calibri" w:hAnsi="Calibri" w:cs="Calibri"/>
        </w:rPr>
        <w:t>the STA is still compliant with the IEEE spec</w:t>
      </w:r>
      <w:r w:rsidR="001721AF">
        <w:rPr>
          <w:rFonts w:ascii="Calibri" w:hAnsi="Calibri" w:cs="Calibri"/>
        </w:rPr>
        <w:t xml:space="preserve">. The meaning of “ignore” </w:t>
      </w:r>
      <w:r w:rsidR="006A3144">
        <w:rPr>
          <w:rFonts w:ascii="Calibri" w:hAnsi="Calibri" w:cs="Calibri"/>
        </w:rPr>
        <w:t xml:space="preserve">contains an implied allowance of this </w:t>
      </w:r>
      <w:proofErr w:type="spellStart"/>
      <w:r w:rsidR="006A3144">
        <w:rPr>
          <w:rFonts w:ascii="Calibri" w:hAnsi="Calibri" w:cs="Calibri"/>
        </w:rPr>
        <w:t>beahvior</w:t>
      </w:r>
      <w:proofErr w:type="spellEnd"/>
      <w:r w:rsidR="006A3144">
        <w:rPr>
          <w:rFonts w:ascii="Calibri" w:hAnsi="Calibri" w:cs="Calibri"/>
        </w:rPr>
        <w:t>.)</w:t>
      </w:r>
    </w:p>
    <w:p w14:paraId="22A0025A" w14:textId="77777777" w:rsidR="00A13B79" w:rsidRDefault="00A13B79" w:rsidP="004049F3">
      <w:pPr>
        <w:ind w:left="720"/>
        <w:rPr>
          <w:rFonts w:ascii="Calibri" w:hAnsi="Calibri" w:cs="Calibri"/>
        </w:rPr>
      </w:pPr>
    </w:p>
    <w:p w14:paraId="4EB452B3" w14:textId="2A4D3E20" w:rsidR="00A13B79" w:rsidRDefault="00A13B79" w:rsidP="00A13B79">
      <w:pPr>
        <w:rPr>
          <w:rFonts w:ascii="Calibri" w:hAnsi="Calibri" w:cs="Calibri"/>
        </w:rPr>
      </w:pPr>
      <w:r>
        <w:rPr>
          <w:rFonts w:ascii="Calibri" w:hAnsi="Calibri" w:cs="Calibri"/>
        </w:rPr>
        <w:t>This is all a bit unsatisfactory</w:t>
      </w:r>
      <w:r w:rsidR="00311F6A">
        <w:rPr>
          <w:rFonts w:ascii="Calibri" w:hAnsi="Calibri" w:cs="Calibri"/>
        </w:rPr>
        <w:t>. “Ignore” is defined on a “we know it when we see it” basis</w:t>
      </w:r>
      <w:r w:rsidR="00E21470">
        <w:rPr>
          <w:rFonts w:ascii="Calibri" w:hAnsi="Calibri" w:cs="Calibri"/>
        </w:rPr>
        <w:t xml:space="preserve">. It might help for some purposes if we spell out a universal meaning of what “ignore” means in </w:t>
      </w:r>
      <w:r w:rsidR="009C000B">
        <w:rPr>
          <w:rFonts w:ascii="Calibri" w:hAnsi="Calibri" w:cs="Calibri"/>
        </w:rPr>
        <w:t>the specification. The proposed resolution seems to do that. (If “ignore” means something else, what is it?)</w:t>
      </w:r>
    </w:p>
    <w:p w14:paraId="157EA84B" w14:textId="370B0D07" w:rsidR="001443F2" w:rsidRDefault="001443F2">
      <w:pPr>
        <w:rPr>
          <w:rFonts w:ascii="Calibri" w:hAnsi="Calibri" w:cs="Calibri"/>
        </w:rPr>
      </w:pPr>
    </w:p>
    <w:p w14:paraId="3DFF9FD5" w14:textId="42B1777D" w:rsidR="001443F2" w:rsidRPr="00A60C52" w:rsidRDefault="001443F2">
      <w:pPr>
        <w:rPr>
          <w:rFonts w:ascii="Calibri" w:hAnsi="Calibri" w:cs="Calibri"/>
          <w:u w:val="single"/>
        </w:rPr>
      </w:pPr>
      <w:r w:rsidRPr="00A60C52">
        <w:rPr>
          <w:rFonts w:ascii="Calibri" w:hAnsi="Calibri" w:cs="Calibri"/>
          <w:u w:val="single"/>
        </w:rPr>
        <w:t>Proposed resolution:</w:t>
      </w:r>
    </w:p>
    <w:p w14:paraId="2D41D9C4" w14:textId="524C087F" w:rsidR="001443F2" w:rsidRDefault="001443F2">
      <w:pPr>
        <w:rPr>
          <w:rFonts w:ascii="Calibri" w:hAnsi="Calibri" w:cs="Calibri"/>
        </w:rPr>
      </w:pPr>
    </w:p>
    <w:p w14:paraId="33654099" w14:textId="2C732103" w:rsidR="006F4D06" w:rsidRDefault="0085054D" w:rsidP="00A60C52">
      <w:pPr>
        <w:rPr>
          <w:rFonts w:ascii="Calibri" w:hAnsi="Calibri" w:cs="Calibri"/>
          <w:szCs w:val="22"/>
        </w:rPr>
      </w:pPr>
      <w:bookmarkStart w:id="3" w:name="_Hlk107983733"/>
      <w:r>
        <w:rPr>
          <w:rFonts w:ascii="Calibri" w:hAnsi="Calibri" w:cs="Calibri"/>
          <w:szCs w:val="22"/>
        </w:rPr>
        <w:t>ACCEPT</w:t>
      </w:r>
      <w:r w:rsidR="00A60C52" w:rsidRPr="00A60C52">
        <w:rPr>
          <w:rFonts w:ascii="Calibri" w:hAnsi="Calibri" w:cs="Calibri"/>
          <w:szCs w:val="22"/>
        </w:rPr>
        <w:t>ED.</w:t>
      </w:r>
    </w:p>
    <w:bookmarkEnd w:id="3"/>
    <w:p w14:paraId="21D60419" w14:textId="7FE2AF22" w:rsidR="00A60C52" w:rsidRPr="00A60C52" w:rsidRDefault="00A60C52" w:rsidP="00A60C52">
      <w:pPr>
        <w:rPr>
          <w:rFonts w:ascii="Calibri" w:hAnsi="Calibri" w:cs="Calibri"/>
          <w:szCs w:val="22"/>
        </w:rPr>
      </w:pPr>
    </w:p>
    <w:sectPr w:rsidR="00A60C52" w:rsidRPr="00A60C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9324" w14:textId="77777777" w:rsidR="00EB09D7" w:rsidRDefault="00EB09D7">
      <w:r>
        <w:separator/>
      </w:r>
    </w:p>
  </w:endnote>
  <w:endnote w:type="continuationSeparator" w:id="0">
    <w:p w14:paraId="54FE1C5F" w14:textId="77777777" w:rsidR="00EB09D7" w:rsidRDefault="00EB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83D" w14:textId="0AD9EBCC"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E2406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E4186">
      <w:t>Sean Coffey, Realtek</w:t>
    </w:r>
  </w:p>
  <w:p w14:paraId="7DC3401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8DC1" w14:textId="77777777" w:rsidR="00EB09D7" w:rsidRDefault="00EB09D7">
      <w:r>
        <w:separator/>
      </w:r>
    </w:p>
  </w:footnote>
  <w:footnote w:type="continuationSeparator" w:id="0">
    <w:p w14:paraId="021CC02B" w14:textId="77777777" w:rsidR="00EB09D7" w:rsidRDefault="00EB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A0F" w14:textId="743D7595" w:rsidR="0029020B" w:rsidRDefault="00E15F75">
    <w:pPr>
      <w:pStyle w:val="Header"/>
      <w:tabs>
        <w:tab w:val="clear" w:pos="6480"/>
        <w:tab w:val="center" w:pos="4680"/>
        <w:tab w:val="right" w:pos="9360"/>
      </w:tabs>
    </w:pPr>
    <w:r>
      <w:t>May 2023</w:t>
    </w:r>
    <w:r w:rsidR="0029020B">
      <w:tab/>
    </w:r>
    <w:r w:rsidR="0029020B">
      <w:tab/>
    </w:r>
    <w:r w:rsidR="00000000">
      <w:fldChar w:fldCharType="begin"/>
    </w:r>
    <w:r w:rsidR="00000000">
      <w:instrText xml:space="preserve"> TITLE  \* MERGEFORMAT </w:instrText>
    </w:r>
    <w:r w:rsidR="00000000">
      <w:fldChar w:fldCharType="separate"/>
    </w:r>
    <w:r w:rsidR="00E24061">
      <w:t>doc.: IEEE 802.11-</w:t>
    </w:r>
    <w:r w:rsidR="00EE4186">
      <w:t>2</w:t>
    </w:r>
    <w:r>
      <w:t>3</w:t>
    </w:r>
    <w:r w:rsidR="00E24061">
      <w:t>/</w:t>
    </w:r>
    <w:r w:rsidR="00EE4186">
      <w:t>0</w:t>
    </w:r>
    <w:r>
      <w:t>881</w:t>
    </w:r>
    <w:r w:rsidR="00E24061">
      <w:t>r0</w:t>
    </w:r>
    <w:r w:rsidR="000000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2B98"/>
    <w:multiLevelType w:val="hybridMultilevel"/>
    <w:tmpl w:val="6BE4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40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61"/>
    <w:rsid w:val="0001289D"/>
    <w:rsid w:val="00020302"/>
    <w:rsid w:val="00027E6D"/>
    <w:rsid w:val="00036D33"/>
    <w:rsid w:val="0005486B"/>
    <w:rsid w:val="00065CCF"/>
    <w:rsid w:val="0006758A"/>
    <w:rsid w:val="0008036A"/>
    <w:rsid w:val="001226B2"/>
    <w:rsid w:val="001443F2"/>
    <w:rsid w:val="001467E1"/>
    <w:rsid w:val="001721AF"/>
    <w:rsid w:val="00186D41"/>
    <w:rsid w:val="001B6055"/>
    <w:rsid w:val="001C461D"/>
    <w:rsid w:val="001D723B"/>
    <w:rsid w:val="00224AF4"/>
    <w:rsid w:val="002359B4"/>
    <w:rsid w:val="00283D4F"/>
    <w:rsid w:val="0029020B"/>
    <w:rsid w:val="002B3CB0"/>
    <w:rsid w:val="002D44BE"/>
    <w:rsid w:val="002E6459"/>
    <w:rsid w:val="002F7919"/>
    <w:rsid w:val="00311F6A"/>
    <w:rsid w:val="00313155"/>
    <w:rsid w:val="0034107C"/>
    <w:rsid w:val="00356C00"/>
    <w:rsid w:val="00362816"/>
    <w:rsid w:val="00364CEE"/>
    <w:rsid w:val="003D56AC"/>
    <w:rsid w:val="004049F3"/>
    <w:rsid w:val="00442037"/>
    <w:rsid w:val="00453ED4"/>
    <w:rsid w:val="00497DE1"/>
    <w:rsid w:val="004B064B"/>
    <w:rsid w:val="004B6E8F"/>
    <w:rsid w:val="004E4617"/>
    <w:rsid w:val="00500B3C"/>
    <w:rsid w:val="005447E0"/>
    <w:rsid w:val="00591C71"/>
    <w:rsid w:val="005A22E4"/>
    <w:rsid w:val="005D0731"/>
    <w:rsid w:val="0062440B"/>
    <w:rsid w:val="00625AC6"/>
    <w:rsid w:val="0066163D"/>
    <w:rsid w:val="00693274"/>
    <w:rsid w:val="006A3144"/>
    <w:rsid w:val="006C0727"/>
    <w:rsid w:val="006C290D"/>
    <w:rsid w:val="006D0DD4"/>
    <w:rsid w:val="006D2197"/>
    <w:rsid w:val="006D4D48"/>
    <w:rsid w:val="006D6A35"/>
    <w:rsid w:val="006E145F"/>
    <w:rsid w:val="006F3D93"/>
    <w:rsid w:val="006F4D06"/>
    <w:rsid w:val="007037F4"/>
    <w:rsid w:val="007320C3"/>
    <w:rsid w:val="00732586"/>
    <w:rsid w:val="007331EB"/>
    <w:rsid w:val="00751AAF"/>
    <w:rsid w:val="00770572"/>
    <w:rsid w:val="0077590E"/>
    <w:rsid w:val="007A01F5"/>
    <w:rsid w:val="0080142E"/>
    <w:rsid w:val="0080327A"/>
    <w:rsid w:val="00811CA9"/>
    <w:rsid w:val="00817AD5"/>
    <w:rsid w:val="0085054D"/>
    <w:rsid w:val="0087616A"/>
    <w:rsid w:val="008B11EE"/>
    <w:rsid w:val="008D7CC7"/>
    <w:rsid w:val="008F0D2B"/>
    <w:rsid w:val="008F6205"/>
    <w:rsid w:val="009221A5"/>
    <w:rsid w:val="0095144C"/>
    <w:rsid w:val="009514C4"/>
    <w:rsid w:val="00975A24"/>
    <w:rsid w:val="009A5F7A"/>
    <w:rsid w:val="009C000B"/>
    <w:rsid w:val="009F2FBC"/>
    <w:rsid w:val="009F6B25"/>
    <w:rsid w:val="00A13B79"/>
    <w:rsid w:val="00A531EC"/>
    <w:rsid w:val="00A60C52"/>
    <w:rsid w:val="00A7752E"/>
    <w:rsid w:val="00AA427C"/>
    <w:rsid w:val="00AC26AE"/>
    <w:rsid w:val="00B15D79"/>
    <w:rsid w:val="00B32BCD"/>
    <w:rsid w:val="00B41628"/>
    <w:rsid w:val="00B51B76"/>
    <w:rsid w:val="00BB69AE"/>
    <w:rsid w:val="00BD32E2"/>
    <w:rsid w:val="00BD3DD4"/>
    <w:rsid w:val="00BD6DD3"/>
    <w:rsid w:val="00BE68C2"/>
    <w:rsid w:val="00C0276F"/>
    <w:rsid w:val="00C24692"/>
    <w:rsid w:val="00C4096F"/>
    <w:rsid w:val="00CA09B2"/>
    <w:rsid w:val="00CA1B38"/>
    <w:rsid w:val="00CB4614"/>
    <w:rsid w:val="00CC13AC"/>
    <w:rsid w:val="00CC4832"/>
    <w:rsid w:val="00CD6064"/>
    <w:rsid w:val="00D61B7A"/>
    <w:rsid w:val="00D63159"/>
    <w:rsid w:val="00D762D3"/>
    <w:rsid w:val="00DA7EFC"/>
    <w:rsid w:val="00DC5A7B"/>
    <w:rsid w:val="00DC6809"/>
    <w:rsid w:val="00DE09BB"/>
    <w:rsid w:val="00E15F75"/>
    <w:rsid w:val="00E21470"/>
    <w:rsid w:val="00E23041"/>
    <w:rsid w:val="00E24061"/>
    <w:rsid w:val="00E27573"/>
    <w:rsid w:val="00E511C9"/>
    <w:rsid w:val="00E81EC3"/>
    <w:rsid w:val="00EB09D7"/>
    <w:rsid w:val="00EB4133"/>
    <w:rsid w:val="00EC1AD6"/>
    <w:rsid w:val="00EE4186"/>
    <w:rsid w:val="00EE4B0A"/>
    <w:rsid w:val="00F42414"/>
    <w:rsid w:val="00F97DEB"/>
    <w:rsid w:val="00FA75CD"/>
    <w:rsid w:val="00FD4A81"/>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52DB3F"/>
  <w15:chartTrackingRefBased/>
  <w15:docId w15:val="{A09620E1-D82F-40D3-BA63-4F28FBE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C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184590572">
      <w:bodyDiv w:val="1"/>
      <w:marLeft w:val="0"/>
      <w:marRight w:val="0"/>
      <w:marTop w:val="0"/>
      <w:marBottom w:val="0"/>
      <w:divBdr>
        <w:top w:val="none" w:sz="0" w:space="0" w:color="auto"/>
        <w:left w:val="none" w:sz="0" w:space="0" w:color="auto"/>
        <w:bottom w:val="none" w:sz="0" w:space="0" w:color="auto"/>
        <w:right w:val="none" w:sz="0" w:space="0" w:color="auto"/>
      </w:divBdr>
    </w:div>
    <w:div w:id="1335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ffe\OneDrive\Desktop\Desktop%20Documents\IEEE\IEEE%20TGme\11-22-0xxx-00-000m-CI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11-22-0xxx-00-000m-CIDs</Template>
  <TotalTime>4</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802.11-22/0918r0</dc:title>
  <dc:subject>Submission</dc:subject>
  <dc:creator>Sean Coffey</dc:creator>
  <cp:keywords>July 2022</cp:keywords>
  <dc:description>Sean Coffey, Realtek</dc:description>
  <cp:lastModifiedBy>Sean Coffey</cp:lastModifiedBy>
  <cp:revision>3</cp:revision>
  <cp:lastPrinted>1900-01-01T08:00:00Z</cp:lastPrinted>
  <dcterms:created xsi:type="dcterms:W3CDTF">2023-05-17T15:31:00Z</dcterms:created>
  <dcterms:modified xsi:type="dcterms:W3CDTF">2023-05-17T15:32:00Z</dcterms:modified>
</cp:coreProperties>
</file>