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08BDBF93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C8731D">
              <w:t>11 May 2023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2A36B82F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2023-0</w:t>
            </w:r>
            <w:r w:rsidR="00C8731D">
              <w:rPr>
                <w:b w:val="0"/>
                <w:sz w:val="20"/>
              </w:rPr>
              <w:t>5-11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9E481D7" w:rsidR="00405F70" w:rsidRDefault="00C8731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3821C766" w:rsidR="00405F70" w:rsidRDefault="00C8731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5EB1DFF1" w:rsidR="00405F70" w:rsidRDefault="004C4B5E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Atlanta GA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3662FDF" w:rsidR="00405F70" w:rsidRDefault="00CF6A8B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4C4B5E" w:rsidRPr="00E25610">
                <w:rPr>
                  <w:rStyle w:val="Hyperlink"/>
                  <w:b w:val="0"/>
                  <w:sz w:val="20"/>
                </w:rPr>
                <w:t>carol@ansley.com</w:t>
              </w:r>
            </w:hyperlink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1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 w14:paraId="71C04BA2" w14:textId="2740DF82" w:rsidR="00405F70" w:rsidRDefault="004C4B5E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 May 2023</w:t>
                            </w:r>
                            <w:r w:rsidR="002E098F">
                              <w:rPr>
                                <w:color w:val="000000"/>
                              </w:rPr>
                              <w:t xml:space="preserve"> at 10:00 ET.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1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 w14:paraId="71C04BA2" w14:textId="2740DF82" w:rsidR="00405F70" w:rsidRDefault="004C4B5E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11 May 2023</w:t>
                      </w:r>
                      <w:r w:rsidR="002E098F">
                        <w:rPr>
                          <w:color w:val="000000"/>
                        </w:rPr>
                        <w:t xml:space="preserve"> at 10:00 ET.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1C04B46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1C04B47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 xml:space="preserve">Secretary: Amelia </w:t>
      </w:r>
      <w:proofErr w:type="spellStart"/>
      <w:r>
        <w:rPr>
          <w:b/>
          <w:szCs w:val="22"/>
        </w:rPr>
        <w:t>Andersdotter</w:t>
      </w:r>
      <w:proofErr w:type="spellEnd"/>
      <w:r>
        <w:rPr>
          <w:b/>
          <w:szCs w:val="22"/>
        </w:rPr>
        <w:t>, Comcast</w:t>
      </w:r>
    </w:p>
    <w:p w14:paraId="71C04B48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71C04B49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71C04B4A" w14:textId="77777777" w:rsidR="00405F70" w:rsidRDefault="00405F70">
      <w:pPr>
        <w:rPr>
          <w:b/>
          <w:bCs/>
          <w:szCs w:val="22"/>
        </w:rPr>
      </w:pPr>
    </w:p>
    <w:p w14:paraId="71C04B4B" w14:textId="561EA277" w:rsidR="00405F70" w:rsidRDefault="002E098F">
      <w:pPr>
        <w:rPr>
          <w:szCs w:val="22"/>
        </w:rPr>
      </w:pPr>
      <w:r>
        <w:rPr>
          <w:szCs w:val="22"/>
        </w:rPr>
        <w:t>Chair calls meeting to order at 10:0</w:t>
      </w:r>
      <w:r w:rsidR="004C4B5E">
        <w:rPr>
          <w:szCs w:val="22"/>
        </w:rPr>
        <w:t>2</w:t>
      </w:r>
      <w:r>
        <w:rPr>
          <w:szCs w:val="22"/>
        </w:rPr>
        <w:t xml:space="preserve"> ET.</w:t>
      </w:r>
    </w:p>
    <w:p w14:paraId="71C04B4C" w14:textId="77777777" w:rsidR="00405F70" w:rsidRDefault="00405F70">
      <w:pPr>
        <w:rPr>
          <w:b/>
          <w:bCs/>
          <w:szCs w:val="22"/>
        </w:rPr>
      </w:pPr>
    </w:p>
    <w:p w14:paraId="71C04B4D" w14:textId="6291DE3C" w:rsidR="00405F70" w:rsidRDefault="002E098F">
      <w:r>
        <w:rPr>
          <w:szCs w:val="22"/>
        </w:rPr>
        <w:t xml:space="preserve">Agenda slide deck: </w:t>
      </w:r>
      <w:hyperlink r:id="rId8">
        <w:r>
          <w:rPr>
            <w:rStyle w:val="Hyperlink"/>
          </w:rPr>
          <w:t>11-23-0</w:t>
        </w:r>
        <w:r w:rsidR="004C4B5E">
          <w:rPr>
            <w:rStyle w:val="Hyperlink"/>
          </w:rPr>
          <w:t>805</w:t>
        </w:r>
        <w:r>
          <w:rPr>
            <w:rStyle w:val="Hyperlink"/>
          </w:rPr>
          <w:t>r0</w:t>
        </w:r>
      </w:hyperlink>
      <w:r>
        <w:rPr>
          <w:rStyle w:val="Hyperlink"/>
        </w:rPr>
        <w:t>:</w:t>
      </w:r>
    </w:p>
    <w:p w14:paraId="71C04B4E" w14:textId="77777777" w:rsidR="00405F70" w:rsidRDefault="00405F70">
      <w:pPr>
        <w:rPr>
          <w:szCs w:val="22"/>
        </w:rPr>
      </w:pPr>
    </w:p>
    <w:p w14:paraId="71C04B4F" w14:textId="77777777" w:rsidR="00405F70" w:rsidRDefault="002E098F">
      <w:pPr>
        <w:numPr>
          <w:ilvl w:val="0"/>
          <w:numId w:val="2"/>
        </w:numPr>
      </w:pPr>
      <w:r>
        <w:t xml:space="preserve">Reminder to do </w:t>
      </w:r>
      <w:proofErr w:type="gramStart"/>
      <w:r>
        <w:t>attendance</w:t>
      </w:r>
      <w:proofErr w:type="gramEnd"/>
    </w:p>
    <w:p w14:paraId="71C04B50" w14:textId="77777777" w:rsidR="00405F70" w:rsidRDefault="00405F70">
      <w:pPr>
        <w:ind w:left="360"/>
      </w:pPr>
    </w:p>
    <w:p w14:paraId="71C04B51" w14:textId="77777777" w:rsidR="00405F70" w:rsidRDefault="002E098F">
      <w:pPr>
        <w:numPr>
          <w:ilvl w:val="0"/>
          <w:numId w:val="2"/>
        </w:numPr>
      </w:pPr>
      <w:r>
        <w:t>Review of policies and procedures.</w:t>
      </w:r>
    </w:p>
    <w:p w14:paraId="71C04B52" w14:textId="77777777" w:rsidR="00405F70" w:rsidRDefault="002E098F">
      <w:pPr>
        <w:numPr>
          <w:ilvl w:val="1"/>
          <w:numId w:val="2"/>
        </w:numPr>
      </w:pPr>
      <w:r>
        <w:t>IEEE individual process slides were presented.</w:t>
      </w:r>
    </w:p>
    <w:p w14:paraId="71C04B53" w14:textId="77777777" w:rsidR="00405F70" w:rsidRDefault="00405F70">
      <w:pPr>
        <w:ind w:left="360"/>
      </w:pPr>
    </w:p>
    <w:p w14:paraId="71C04B54" w14:textId="77777777" w:rsidR="00405F70" w:rsidRDefault="002E098F">
      <w:pPr>
        <w:numPr>
          <w:ilvl w:val="0"/>
          <w:numId w:val="2"/>
        </w:numPr>
      </w:pPr>
      <w:r>
        <w:t xml:space="preserve">The chair mentioned the call for essential </w:t>
      </w:r>
      <w:proofErr w:type="gramStart"/>
      <w:r>
        <w:t>patents</w:t>
      </w:r>
      <w:proofErr w:type="gramEnd"/>
    </w:p>
    <w:p w14:paraId="71C04B55" w14:textId="77777777" w:rsidR="00405F70" w:rsidRDefault="002E098F">
      <w:pPr>
        <w:numPr>
          <w:ilvl w:val="1"/>
          <w:numId w:val="2"/>
        </w:numPr>
      </w:pPr>
      <w:r>
        <w:t xml:space="preserve">No one responded to the call for essential </w:t>
      </w:r>
      <w:proofErr w:type="gramStart"/>
      <w:r>
        <w:t>patents</w:t>
      </w:r>
      <w:proofErr w:type="gramEnd"/>
    </w:p>
    <w:p w14:paraId="71C04B56" w14:textId="77777777" w:rsidR="00405F70" w:rsidRDefault="00405F70">
      <w:pPr>
        <w:ind w:left="360"/>
      </w:pPr>
    </w:p>
    <w:p w14:paraId="71C04B57" w14:textId="77777777" w:rsidR="00405F70" w:rsidRDefault="002E098F">
      <w:pPr>
        <w:numPr>
          <w:ilvl w:val="0"/>
          <w:numId w:val="2"/>
        </w:numPr>
      </w:pPr>
      <w:r>
        <w:t>The chair covered the IEEE copyright and participation rules.</w:t>
      </w:r>
    </w:p>
    <w:p w14:paraId="71C04B59" w14:textId="66D3483D" w:rsidR="00405F70" w:rsidRDefault="002E098F" w:rsidP="00C15862">
      <w:pPr>
        <w:numPr>
          <w:ilvl w:val="1"/>
          <w:numId w:val="2"/>
        </w:numPr>
      </w:pPr>
      <w:r>
        <w:t>No questions</w:t>
      </w:r>
      <w:r>
        <w:br/>
      </w:r>
    </w:p>
    <w:p w14:paraId="71C04B5A" w14:textId="06059B35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Discussion of agenda 11-23-0</w:t>
      </w:r>
      <w:r w:rsidR="004C4B5E">
        <w:rPr>
          <w:b/>
          <w:bCs/>
        </w:rPr>
        <w:t>805</w:t>
      </w:r>
      <w:r>
        <w:rPr>
          <w:b/>
          <w:bCs/>
        </w:rPr>
        <w:t>r0 (slide #16)</w:t>
      </w:r>
    </w:p>
    <w:p w14:paraId="71C04B5B" w14:textId="28121EC6" w:rsidR="00405F70" w:rsidRDefault="002E098F">
      <w:pPr>
        <w:numPr>
          <w:ilvl w:val="1"/>
          <w:numId w:val="2"/>
        </w:numPr>
      </w:pPr>
      <w:r>
        <w:t>Adoption of agenda by unanimous consent (1</w:t>
      </w:r>
      <w:r w:rsidR="00E054AE">
        <w:t>0</w:t>
      </w:r>
      <w:r>
        <w:t xml:space="preserve"> participants).</w:t>
      </w:r>
      <w:r>
        <w:br/>
      </w:r>
    </w:p>
    <w:p w14:paraId="71C04B5C" w14:textId="77777777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54CA63FC" w14:textId="77777777" w:rsidR="00E2141C" w:rsidRDefault="00E054AE">
      <w:pPr>
        <w:numPr>
          <w:ilvl w:val="1"/>
          <w:numId w:val="2"/>
        </w:numPr>
      </w:pPr>
      <w:r>
        <w:t>Need a secre</w:t>
      </w:r>
      <w:r w:rsidR="00E2141C">
        <w:t xml:space="preserve">tary for today’s call and next week’s </w:t>
      </w:r>
      <w:proofErr w:type="gramStart"/>
      <w:r w:rsidR="00E2141C">
        <w:t>sessions</w:t>
      </w:r>
      <w:proofErr w:type="gramEnd"/>
    </w:p>
    <w:p w14:paraId="5781F94C" w14:textId="77777777" w:rsidR="00E2141C" w:rsidRDefault="00E2141C" w:rsidP="00E2141C">
      <w:pPr>
        <w:numPr>
          <w:ilvl w:val="2"/>
          <w:numId w:val="2"/>
        </w:numPr>
      </w:pPr>
      <w:r>
        <w:t xml:space="preserve">Carol to cover today’s </w:t>
      </w:r>
      <w:proofErr w:type="gramStart"/>
      <w:r>
        <w:t>call</w:t>
      </w:r>
      <w:proofErr w:type="gramEnd"/>
    </w:p>
    <w:p w14:paraId="71C04B5D" w14:textId="00D3768F" w:rsidR="00405F70" w:rsidRDefault="00E2141C" w:rsidP="00E2141C">
      <w:pPr>
        <w:numPr>
          <w:ilvl w:val="2"/>
          <w:numId w:val="2"/>
        </w:numPr>
      </w:pPr>
      <w:r>
        <w:lastRenderedPageBreak/>
        <w:t>Po-Kai indicated he will be able to help for at least some sessions.</w:t>
      </w:r>
      <w:r w:rsidR="002E098F">
        <w:t xml:space="preserve"> </w:t>
      </w:r>
      <w:r w:rsidR="002E098F">
        <w:br/>
      </w:r>
    </w:p>
    <w:p w14:paraId="3DEB2FED" w14:textId="77777777" w:rsidR="00700763" w:rsidRPr="00700763" w:rsidRDefault="00700763" w:rsidP="00700763">
      <w:pPr>
        <w:numPr>
          <w:ilvl w:val="0"/>
          <w:numId w:val="2"/>
        </w:numPr>
      </w:pPr>
      <w:r>
        <w:rPr>
          <w:b/>
          <w:bCs/>
        </w:rPr>
        <w:t>Discussion of Interim Session planning</w:t>
      </w:r>
    </w:p>
    <w:p w14:paraId="3DF10809" w14:textId="16A561D9" w:rsidR="00D17A4E" w:rsidRDefault="00D17A4E" w:rsidP="00700763">
      <w:pPr>
        <w:numPr>
          <w:ilvl w:val="1"/>
          <w:numId w:val="2"/>
        </w:numPr>
      </w:pPr>
      <w:r>
        <w:t xml:space="preserve">Chair requested notice of contributions for planning </w:t>
      </w:r>
      <w:proofErr w:type="gramStart"/>
      <w:r>
        <w:t>purposes</w:t>
      </w:r>
      <w:proofErr w:type="gramEnd"/>
    </w:p>
    <w:p w14:paraId="3DC6D8AB" w14:textId="77777777" w:rsidR="006A5A2D" w:rsidRDefault="00BA170E" w:rsidP="00D17A4E">
      <w:pPr>
        <w:numPr>
          <w:ilvl w:val="2"/>
          <w:numId w:val="2"/>
        </w:numPr>
      </w:pPr>
      <w:r>
        <w:t xml:space="preserve">6 submissions are currently </w:t>
      </w:r>
      <w:proofErr w:type="gramStart"/>
      <w:r>
        <w:t>planned</w:t>
      </w:r>
      <w:proofErr w:type="gramEnd"/>
    </w:p>
    <w:p w14:paraId="36641EFD" w14:textId="77777777" w:rsidR="006323F2" w:rsidRDefault="00D76F27" w:rsidP="00D17A4E">
      <w:pPr>
        <w:numPr>
          <w:ilvl w:val="2"/>
          <w:numId w:val="2"/>
        </w:numPr>
      </w:pPr>
      <w:r>
        <w:t>Chair stated th</w:t>
      </w:r>
      <w:r w:rsidR="00DE7E80">
        <w:t xml:space="preserve">at one or more of our meeting slots may be </w:t>
      </w:r>
      <w:proofErr w:type="gramStart"/>
      <w:r w:rsidR="00CE5F97">
        <w:t>released</w:t>
      </w:r>
      <w:proofErr w:type="gramEnd"/>
    </w:p>
    <w:p w14:paraId="71C04B62" w14:textId="10FE030D" w:rsidR="00405F70" w:rsidRDefault="006323F2" w:rsidP="00D17A4E">
      <w:pPr>
        <w:numPr>
          <w:ilvl w:val="2"/>
          <w:numId w:val="2"/>
        </w:numPr>
      </w:pPr>
      <w:r>
        <w:t>A request was made to keep at least the Monday session since it has minimal conflicts with other groups</w:t>
      </w:r>
      <w:r w:rsidR="002E098F">
        <w:br/>
      </w:r>
    </w:p>
    <w:p w14:paraId="71C04B63" w14:textId="77777777" w:rsidR="00405F70" w:rsidRDefault="002E098F">
      <w:pPr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AoB</w:t>
      </w:r>
      <w:proofErr w:type="spellEnd"/>
    </w:p>
    <w:p w14:paraId="71C04B64" w14:textId="77777777" w:rsidR="00405F70" w:rsidRDefault="002E098F">
      <w:pPr>
        <w:numPr>
          <w:ilvl w:val="1"/>
          <w:numId w:val="2"/>
        </w:numPr>
      </w:pPr>
      <w:r>
        <w:t>No other business.</w:t>
      </w:r>
    </w:p>
    <w:p w14:paraId="71C04B65" w14:textId="77777777" w:rsidR="00405F70" w:rsidRDefault="00405F70"/>
    <w:p w14:paraId="71C04B66" w14:textId="49246638" w:rsidR="00405F70" w:rsidRDefault="002E098F">
      <w:pPr>
        <w:numPr>
          <w:ilvl w:val="0"/>
          <w:numId w:val="2"/>
        </w:numPr>
      </w:pPr>
      <w:r>
        <w:t xml:space="preserve">Chair adjourned the meeting at </w:t>
      </w:r>
      <w:r w:rsidR="00FF09ED">
        <w:t>10:25</w:t>
      </w:r>
      <w:r>
        <w:t xml:space="preserve"> E</w:t>
      </w:r>
      <w:r w:rsidR="00D17A4E">
        <w:t>D</w:t>
      </w:r>
      <w:r>
        <w:t>T.</w:t>
      </w:r>
    </w:p>
    <w:p w14:paraId="71C04B67" w14:textId="77777777" w:rsidR="00405F70" w:rsidRDefault="00405F70"/>
    <w:p w14:paraId="71C04B68" w14:textId="77777777" w:rsidR="00405F70" w:rsidRDefault="002E098F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 w14:paraId="71C04B69" w14:textId="77777777" w:rsidR="00405F70" w:rsidRDefault="00405F70"/>
    <w:tbl>
      <w:tblPr>
        <w:tblW w:w="8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850"/>
      </w:tblGrid>
      <w:tr w:rsidR="00405F70" w14:paraId="71C04B6C" w14:textId="77777777">
        <w:trPr>
          <w:trHeight w:val="300"/>
        </w:trPr>
        <w:tc>
          <w:tcPr>
            <w:tcW w:w="3060" w:type="dxa"/>
            <w:vAlign w:val="center"/>
          </w:tcPr>
          <w:p w14:paraId="71C04B6A" w14:textId="77777777" w:rsidR="00405F70" w:rsidRDefault="002E098F">
            <w:pPr>
              <w:pStyle w:val="TableContents"/>
              <w:rPr>
                <w:rFonts w:ascii="Calibri;sans-serif" w:hAnsi="Calibri;sans-serif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Name</w:t>
            </w:r>
          </w:p>
        </w:tc>
        <w:tc>
          <w:tcPr>
            <w:tcW w:w="5850" w:type="dxa"/>
            <w:vAlign w:val="center"/>
          </w:tcPr>
          <w:p w14:paraId="71C04B6B" w14:textId="77777777" w:rsidR="00405F70" w:rsidRDefault="002E098F">
            <w:pPr>
              <w:pStyle w:val="TableContents"/>
              <w:rPr>
                <w:rFonts w:ascii="Calibri;sans-serif" w:hAnsi="Calibri;sans-serif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Affiliation</w:t>
            </w:r>
          </w:p>
        </w:tc>
      </w:tr>
      <w:tr w:rsidR="00405F70" w14:paraId="71C04B72" w14:textId="77777777">
        <w:trPr>
          <w:trHeight w:val="300"/>
        </w:trPr>
        <w:tc>
          <w:tcPr>
            <w:tcW w:w="3060" w:type="dxa"/>
            <w:vAlign w:val="center"/>
          </w:tcPr>
          <w:p w14:paraId="71C04B70" w14:textId="77777777" w:rsidR="00405F70" w:rsidRDefault="002E098F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Ansley, Carol</w:t>
            </w:r>
          </w:p>
        </w:tc>
        <w:tc>
          <w:tcPr>
            <w:tcW w:w="5850" w:type="dxa"/>
            <w:vAlign w:val="center"/>
          </w:tcPr>
          <w:p w14:paraId="71C04B71" w14:textId="77777777" w:rsidR="00405F70" w:rsidRDefault="002E098F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Cox Communications Inc.</w:t>
            </w:r>
          </w:p>
        </w:tc>
      </w:tr>
      <w:tr w:rsidR="00405F70" w14:paraId="71C04B78" w14:textId="77777777">
        <w:trPr>
          <w:trHeight w:val="300"/>
        </w:trPr>
        <w:tc>
          <w:tcPr>
            <w:tcW w:w="3060" w:type="dxa"/>
            <w:vAlign w:val="center"/>
          </w:tcPr>
          <w:p w14:paraId="71C04B76" w14:textId="77777777" w:rsidR="00405F70" w:rsidRDefault="002E098F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proofErr w:type="spellStart"/>
            <w:r>
              <w:rPr>
                <w:rFonts w:ascii="Calibri;sans-serif" w:hAnsi="Calibri;sans-serif"/>
                <w:color w:val="000000"/>
              </w:rPr>
              <w:t>DeLaOlivaDelgado</w:t>
            </w:r>
            <w:proofErr w:type="spellEnd"/>
            <w:r>
              <w:rPr>
                <w:rFonts w:ascii="Calibri;sans-serif" w:hAnsi="Calibri;sans-serif"/>
                <w:color w:val="000000"/>
              </w:rPr>
              <w:t>, Antonio</w:t>
            </w:r>
          </w:p>
        </w:tc>
        <w:tc>
          <w:tcPr>
            <w:tcW w:w="5850" w:type="dxa"/>
            <w:vAlign w:val="center"/>
          </w:tcPr>
          <w:p w14:paraId="71C04B77" w14:textId="77777777" w:rsidR="00405F70" w:rsidRDefault="002E098F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proofErr w:type="spellStart"/>
            <w:r>
              <w:rPr>
                <w:rFonts w:ascii="Calibri;sans-serif" w:hAnsi="Calibri;sans-serif"/>
                <w:color w:val="000000"/>
              </w:rPr>
              <w:t>InterDigital</w:t>
            </w:r>
            <w:proofErr w:type="spellEnd"/>
            <w:r>
              <w:rPr>
                <w:rFonts w:ascii="Calibri;sans-serif" w:hAnsi="Calibri;sans-serif"/>
                <w:color w:val="000000"/>
              </w:rPr>
              <w:t>, Inc.</w:t>
            </w:r>
          </w:p>
        </w:tc>
      </w:tr>
      <w:tr w:rsidR="005D5A0E" w14:paraId="71C04B7B" w14:textId="77777777">
        <w:trPr>
          <w:trHeight w:val="300"/>
        </w:trPr>
        <w:tc>
          <w:tcPr>
            <w:tcW w:w="3060" w:type="dxa"/>
            <w:vAlign w:val="center"/>
          </w:tcPr>
          <w:p w14:paraId="71C04B79" w14:textId="6CCAF938" w:rsidR="005D5A0E" w:rsidRDefault="005D5A0E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Hawkes, Philip</w:t>
            </w:r>
          </w:p>
        </w:tc>
        <w:tc>
          <w:tcPr>
            <w:tcW w:w="5850" w:type="dxa"/>
            <w:vAlign w:val="center"/>
          </w:tcPr>
          <w:p w14:paraId="71C04B7A" w14:textId="26D2B0FF" w:rsidR="005D5A0E" w:rsidRDefault="005D5A0E">
            <w:pPr>
              <w:pStyle w:val="TableContents"/>
              <w:ind w:right="900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Qualcomm Incorporated</w:t>
            </w:r>
          </w:p>
        </w:tc>
      </w:tr>
      <w:tr w:rsidR="005D5A0E" w14:paraId="71C04B81" w14:textId="77777777">
        <w:trPr>
          <w:trHeight w:val="300"/>
        </w:trPr>
        <w:tc>
          <w:tcPr>
            <w:tcW w:w="3060" w:type="dxa"/>
            <w:vAlign w:val="center"/>
          </w:tcPr>
          <w:p w14:paraId="71C04B7F" w14:textId="1F5A02B2" w:rsidR="005D5A0E" w:rsidRDefault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proofErr w:type="spellStart"/>
            <w:r>
              <w:rPr>
                <w:rFonts w:ascii="Calibri;sans-serif" w:hAnsi="Calibri;sans-serif"/>
                <w:color w:val="000000"/>
              </w:rPr>
              <w:t>Nezou</w:t>
            </w:r>
            <w:proofErr w:type="spellEnd"/>
            <w:r w:rsidR="005D5A0E">
              <w:rPr>
                <w:rFonts w:ascii="Calibri;sans-serif" w:hAnsi="Calibri;sans-serif"/>
                <w:color w:val="000000"/>
              </w:rPr>
              <w:t xml:space="preserve">, </w:t>
            </w:r>
            <w:r>
              <w:rPr>
                <w:rFonts w:ascii="Calibri;sans-serif" w:hAnsi="Calibri;sans-serif"/>
                <w:color w:val="000000"/>
              </w:rPr>
              <w:t>Patrice</w:t>
            </w:r>
          </w:p>
        </w:tc>
        <w:tc>
          <w:tcPr>
            <w:tcW w:w="5850" w:type="dxa"/>
            <w:vAlign w:val="center"/>
          </w:tcPr>
          <w:p w14:paraId="71C04B80" w14:textId="5731CBA0" w:rsidR="005D5A0E" w:rsidRDefault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 w:rsidR="005D5A0E" w14:paraId="71C04B90" w14:textId="77777777">
        <w:trPr>
          <w:trHeight w:val="300"/>
        </w:trPr>
        <w:tc>
          <w:tcPr>
            <w:tcW w:w="3060" w:type="dxa"/>
            <w:vAlign w:val="center"/>
          </w:tcPr>
          <w:p w14:paraId="71C04B8E" w14:textId="0DAB95C0" w:rsidR="005D5A0E" w:rsidRDefault="005D5A0E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Sam, Harvey</w:t>
            </w:r>
          </w:p>
        </w:tc>
        <w:tc>
          <w:tcPr>
            <w:tcW w:w="5850" w:type="dxa"/>
            <w:vAlign w:val="center"/>
          </w:tcPr>
          <w:p w14:paraId="71C04B8F" w14:textId="3587ACBA" w:rsidR="005D5A0E" w:rsidRDefault="005D5A0E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Broadcom Corporation</w:t>
            </w:r>
          </w:p>
        </w:tc>
      </w:tr>
      <w:tr w:rsidR="00CF6A8B" w14:paraId="72B0B4A7" w14:textId="77777777">
        <w:trPr>
          <w:trHeight w:val="300"/>
        </w:trPr>
        <w:tc>
          <w:tcPr>
            <w:tcW w:w="3060" w:type="dxa"/>
            <w:vAlign w:val="center"/>
          </w:tcPr>
          <w:p w14:paraId="40B56F44" w14:textId="22A1F9BE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proofErr w:type="spellStart"/>
            <w:r>
              <w:rPr>
                <w:rFonts w:ascii="Calibri;sans-serif" w:hAnsi="Calibri;sans-serif"/>
                <w:color w:val="000000"/>
              </w:rPr>
              <w:t>Sevin</w:t>
            </w:r>
            <w:proofErr w:type="spellEnd"/>
            <w:r>
              <w:rPr>
                <w:rFonts w:ascii="Calibri;sans-serif" w:hAnsi="Calibri;sans-serif"/>
                <w:color w:val="000000"/>
              </w:rPr>
              <w:t>, Julien</w:t>
            </w:r>
          </w:p>
        </w:tc>
        <w:tc>
          <w:tcPr>
            <w:tcW w:w="5850" w:type="dxa"/>
            <w:vAlign w:val="center"/>
          </w:tcPr>
          <w:p w14:paraId="0B7A6CE8" w14:textId="5532A1C4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 w:rsidR="00CF6A8B" w14:paraId="71C04B93" w14:textId="77777777">
        <w:trPr>
          <w:trHeight w:val="300"/>
        </w:trPr>
        <w:tc>
          <w:tcPr>
            <w:tcW w:w="3060" w:type="dxa"/>
            <w:vAlign w:val="center"/>
          </w:tcPr>
          <w:p w14:paraId="71C04B91" w14:textId="0602FB4F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Smith, Luther</w:t>
            </w:r>
          </w:p>
        </w:tc>
        <w:tc>
          <w:tcPr>
            <w:tcW w:w="5850" w:type="dxa"/>
            <w:vAlign w:val="center"/>
          </w:tcPr>
          <w:p w14:paraId="71C04B92" w14:textId="47C988E6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Cable Television Laboratories Inc. (</w:t>
            </w:r>
            <w:proofErr w:type="spellStart"/>
            <w:r>
              <w:rPr>
                <w:rFonts w:ascii="Calibri;sans-serif" w:hAnsi="Calibri;sans-serif"/>
                <w:color w:val="000000"/>
              </w:rPr>
              <w:t>CableLabs</w:t>
            </w:r>
            <w:proofErr w:type="spellEnd"/>
            <w:r>
              <w:rPr>
                <w:rFonts w:ascii="Calibri;sans-serif" w:hAnsi="Calibri;sans-serif"/>
                <w:color w:val="000000"/>
              </w:rPr>
              <w:t>)</w:t>
            </w:r>
          </w:p>
        </w:tc>
      </w:tr>
      <w:tr w:rsidR="00CF6A8B" w14:paraId="71C04B99" w14:textId="77777777">
        <w:trPr>
          <w:trHeight w:val="300"/>
        </w:trPr>
        <w:tc>
          <w:tcPr>
            <w:tcW w:w="3060" w:type="dxa"/>
            <w:vAlign w:val="center"/>
          </w:tcPr>
          <w:p w14:paraId="71C04B97" w14:textId="2C120E20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</w:p>
        </w:tc>
        <w:tc>
          <w:tcPr>
            <w:tcW w:w="5850" w:type="dxa"/>
            <w:vAlign w:val="center"/>
          </w:tcPr>
          <w:p w14:paraId="71C04B98" w14:textId="7C6E3C73" w:rsidR="00CF6A8B" w:rsidRDefault="00CF6A8B" w:rsidP="00CF6A8B">
            <w:pPr>
              <w:pStyle w:val="TableContents"/>
              <w:rPr>
                <w:rFonts w:ascii="Calibri;sans-serif" w:hAnsi="Calibri;sans-serif"/>
                <w:color w:val="000000"/>
              </w:rPr>
            </w:pPr>
          </w:p>
        </w:tc>
      </w:tr>
    </w:tbl>
    <w:p w14:paraId="71C04B9A" w14:textId="77777777" w:rsidR="00405F70" w:rsidRDefault="00405F70"/>
    <w:sectPr w:rsidR="00405F70">
      <w:headerReference w:type="default" r:id="rId9"/>
      <w:footerReference w:type="default" r:id="rId10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4BA4" w14:textId="77777777" w:rsidR="00F309DF" w:rsidRDefault="002E098F">
      <w:r>
        <w:separator/>
      </w:r>
    </w:p>
  </w:endnote>
  <w:endnote w:type="continuationSeparator" w:id="0">
    <w:p w14:paraId="71C04BA6" w14:textId="77777777" w:rsidR="00F309DF" w:rsidRDefault="002E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77777777" w:rsidR="00405F70" w:rsidRDefault="002E098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ab/>
      <w:t xml:space="preserve">Amelia </w:t>
    </w:r>
    <w:proofErr w:type="spellStart"/>
    <w:proofErr w:type="gramStart"/>
    <w:r>
      <w:t>Andersdotter,Sky</w:t>
    </w:r>
    <w:proofErr w:type="spellEnd"/>
    <w:proofErr w:type="gramEnd"/>
    <w:r>
      <w:t xml:space="preserve"> Group/Comcast</w:t>
    </w:r>
  </w:p>
  <w:p w14:paraId="71C04B9F" w14:textId="77777777" w:rsidR="00405F70" w:rsidRDefault="00405F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4BA0" w14:textId="77777777" w:rsidR="00F309DF" w:rsidRDefault="002E098F">
      <w:r>
        <w:separator/>
      </w:r>
    </w:p>
  </w:footnote>
  <w:footnote w:type="continuationSeparator" w:id="0">
    <w:p w14:paraId="71C04BA2" w14:textId="77777777" w:rsidR="00F309DF" w:rsidRDefault="002E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75E1A05E" w:rsidR="00405F70" w:rsidRDefault="00071C15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2E098F">
      <w:t xml:space="preserve"> 2023</w:t>
    </w:r>
    <w:r w:rsidR="002E098F">
      <w:tab/>
    </w:r>
    <w:r w:rsidR="002E098F">
      <w:tab/>
      <w:t>doc.: IEEE 802.11-23/0</w:t>
    </w:r>
    <w:r w:rsidR="00ED084E">
      <w:t>819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10875756">
    <w:abstractNumId w:val="2"/>
  </w:num>
  <w:num w:numId="2" w16cid:durableId="590163887">
    <w:abstractNumId w:val="0"/>
  </w:num>
  <w:num w:numId="3" w16cid:durableId="148323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71C15"/>
    <w:rsid w:val="002E098F"/>
    <w:rsid w:val="00405F70"/>
    <w:rsid w:val="004C4B5E"/>
    <w:rsid w:val="005D5A0E"/>
    <w:rsid w:val="006323F2"/>
    <w:rsid w:val="006A5A2D"/>
    <w:rsid w:val="00700763"/>
    <w:rsid w:val="00BA170E"/>
    <w:rsid w:val="00C15862"/>
    <w:rsid w:val="00C8731D"/>
    <w:rsid w:val="00CE5F97"/>
    <w:rsid w:val="00CF6A8B"/>
    <w:rsid w:val="00D17A4E"/>
    <w:rsid w:val="00D76F27"/>
    <w:rsid w:val="00DE7E80"/>
    <w:rsid w:val="00E054AE"/>
    <w:rsid w:val="00E2141C"/>
    <w:rsid w:val="00E932BB"/>
    <w:rsid w:val="00ED084E"/>
    <w:rsid w:val="00F309DF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224-00-00bi-february-march-telecon-agenda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@ansl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802.11-21/0638r0</dc:title>
  <dc:subject>Minutes</dc:subject>
  <dc:creator>Stephen McCann</dc:creator>
  <cp:keywords> </cp:keywords>
  <dc:description>Stephen McCann, Huawei</dc:description>
  <cp:lastModifiedBy>Ansley, Carol (CCI-Atlanta)</cp:lastModifiedBy>
  <cp:revision>3</cp:revision>
  <dcterms:created xsi:type="dcterms:W3CDTF">2023-05-11T14:35:00Z</dcterms:created>
  <dcterms:modified xsi:type="dcterms:W3CDTF">2023-05-14T01:37:00Z</dcterms:modified>
  <dc:language>sv-SE</dc:language>
</cp:coreProperties>
</file>