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D4DF307" w:rsidR="00CA09B2" w:rsidRPr="00CF09FE" w:rsidRDefault="00DB091C">
            <w:pPr>
              <w:pStyle w:val="T2"/>
              <w:rPr>
                <w:lang w:val="en-US"/>
              </w:rPr>
            </w:pPr>
            <w:r w:rsidRPr="00CF09FE">
              <w:rPr>
                <w:lang w:val="en-US"/>
              </w:rPr>
              <w:t xml:space="preserve">Resolutions for </w:t>
            </w:r>
            <w:r w:rsidR="007732B2">
              <w:rPr>
                <w:lang w:val="en-US"/>
              </w:rPr>
              <w:t>SBP</w:t>
            </w:r>
            <w:r w:rsidR="0050735B">
              <w:rPr>
                <w:lang w:val="en-US"/>
              </w:rPr>
              <w:t xml:space="preserve"> Comments</w:t>
            </w:r>
            <w:r w:rsidRPr="00CF09FE">
              <w:rPr>
                <w:lang w:val="en-US"/>
              </w:rPr>
              <w:t xml:space="preserve"> in </w:t>
            </w:r>
            <w:r w:rsidR="00441B13">
              <w:rPr>
                <w:lang w:val="en-US"/>
              </w:rPr>
              <w:t>LB272</w:t>
            </w:r>
            <w:r w:rsidRPr="00CF09FE">
              <w:rPr>
                <w:lang w:val="en-US"/>
              </w:rPr>
              <w:t xml:space="preserve"> - Part </w:t>
            </w:r>
            <w:r w:rsidR="00380DEB">
              <w:rPr>
                <w:lang w:val="en-US"/>
              </w:rPr>
              <w:t>2: SBP security</w:t>
            </w:r>
            <w:r w:rsidR="007732B2">
              <w:rPr>
                <w:lang w:val="en-US"/>
              </w:rPr>
              <w:t>/privacy</w:t>
            </w:r>
          </w:p>
        </w:tc>
      </w:tr>
      <w:tr w:rsidR="00CA09B2" w:rsidRPr="00CF09FE" w14:paraId="4D274C0E" w14:textId="77777777" w:rsidTr="000F7435">
        <w:trPr>
          <w:trHeight w:val="359"/>
          <w:jc w:val="center"/>
        </w:trPr>
        <w:tc>
          <w:tcPr>
            <w:tcW w:w="9576" w:type="dxa"/>
            <w:gridSpan w:val="5"/>
            <w:vAlign w:val="center"/>
          </w:tcPr>
          <w:p w14:paraId="6DFAE4C5" w14:textId="374CCDA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FE0FF9">
              <w:rPr>
                <w:b w:val="0"/>
                <w:sz w:val="20"/>
                <w:lang w:val="en-US"/>
              </w:rPr>
              <w:t>5</w:t>
            </w:r>
            <w:r w:rsidRPr="00CF09FE">
              <w:rPr>
                <w:b w:val="0"/>
                <w:sz w:val="20"/>
                <w:lang w:val="en-US"/>
              </w:rPr>
              <w:t>-</w:t>
            </w:r>
            <w:r w:rsidR="005E76A5">
              <w:rPr>
                <w:b w:val="0"/>
                <w:sz w:val="20"/>
                <w:lang w:val="en-US"/>
              </w:rPr>
              <w:t>1</w:t>
            </w:r>
            <w:r w:rsidR="00FE0FF9">
              <w:rPr>
                <w:b w:val="0"/>
                <w:sz w:val="20"/>
                <w:lang w:val="en-US"/>
              </w:rPr>
              <w:t>1</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0F7435">
        <w:trPr>
          <w:jc w:val="center"/>
        </w:trPr>
        <w:tc>
          <w:tcPr>
            <w:tcW w:w="1638" w:type="dxa"/>
            <w:vAlign w:val="center"/>
          </w:tcPr>
          <w:p w14:paraId="2370370E" w14:textId="0131906D" w:rsidR="00CA09B2" w:rsidRPr="00CF09FE" w:rsidRDefault="00240A82">
            <w:pPr>
              <w:pStyle w:val="T2"/>
              <w:spacing w:after="0"/>
              <w:ind w:left="0" w:right="0"/>
              <w:rPr>
                <w:b w:val="0"/>
                <w:sz w:val="20"/>
                <w:lang w:val="en-US"/>
              </w:rPr>
            </w:pPr>
            <w:r>
              <w:rPr>
                <w:b w:val="0"/>
                <w:sz w:val="20"/>
                <w:lang w:val="en-US"/>
              </w:rPr>
              <w:t>Ali Raissinia</w:t>
            </w:r>
          </w:p>
        </w:tc>
        <w:tc>
          <w:tcPr>
            <w:tcW w:w="1980" w:type="dxa"/>
            <w:vAlign w:val="center"/>
          </w:tcPr>
          <w:p w14:paraId="22FCD6A0" w14:textId="3D62BF7E" w:rsidR="00CA09B2" w:rsidRPr="00CF09FE" w:rsidRDefault="00240A82">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990" w:type="dxa"/>
            <w:vAlign w:val="center"/>
          </w:tcPr>
          <w:p w14:paraId="375BB0F6" w14:textId="77777777" w:rsidR="00CA09B2" w:rsidRPr="00CF09FE" w:rsidRDefault="00CA09B2">
            <w:pPr>
              <w:pStyle w:val="T2"/>
              <w:spacing w:after="0"/>
              <w:ind w:left="0" w:right="0"/>
              <w:rPr>
                <w:b w:val="0"/>
                <w:sz w:val="20"/>
                <w:lang w:val="en-US"/>
              </w:rPr>
            </w:pPr>
          </w:p>
        </w:tc>
        <w:tc>
          <w:tcPr>
            <w:tcW w:w="3011" w:type="dxa"/>
            <w:vAlign w:val="center"/>
          </w:tcPr>
          <w:p w14:paraId="53A09A2B" w14:textId="745FFF46" w:rsidR="00CA09B2" w:rsidRPr="00A62EB8" w:rsidRDefault="00516C45">
            <w:pPr>
              <w:pStyle w:val="T2"/>
              <w:spacing w:after="0"/>
              <w:ind w:left="0" w:right="0"/>
              <w:rPr>
                <w:b w:val="0"/>
                <w:sz w:val="20"/>
                <w:lang w:val="en-US"/>
              </w:rPr>
            </w:pPr>
            <w:r w:rsidRPr="00A62EB8">
              <w:rPr>
                <w:b w:val="0"/>
                <w:sz w:val="20"/>
                <w:lang w:val="en-US"/>
              </w:rPr>
              <w:t>alirezar@qti.qualcomm.com</w:t>
            </w:r>
          </w:p>
        </w:tc>
      </w:tr>
      <w:tr w:rsidR="00240A82" w:rsidRPr="00CF09FE" w14:paraId="2A8AB73C" w14:textId="77777777" w:rsidTr="000F7435">
        <w:trPr>
          <w:jc w:val="center"/>
        </w:trPr>
        <w:tc>
          <w:tcPr>
            <w:tcW w:w="1638" w:type="dxa"/>
            <w:vAlign w:val="center"/>
          </w:tcPr>
          <w:p w14:paraId="38DB8088" w14:textId="0BBFBEA9" w:rsidR="00240A82" w:rsidRPr="00CF09FE" w:rsidRDefault="00516C45">
            <w:pPr>
              <w:pStyle w:val="T2"/>
              <w:spacing w:after="0"/>
              <w:ind w:left="0" w:right="0"/>
              <w:rPr>
                <w:b w:val="0"/>
                <w:sz w:val="20"/>
                <w:lang w:val="en-US"/>
              </w:rPr>
            </w:pPr>
            <w:r>
              <w:rPr>
                <w:b w:val="0"/>
                <w:sz w:val="20"/>
                <w:lang w:val="en-US"/>
              </w:rPr>
              <w:t>Claudio da Silva</w:t>
            </w:r>
          </w:p>
        </w:tc>
        <w:tc>
          <w:tcPr>
            <w:tcW w:w="1980" w:type="dxa"/>
            <w:vAlign w:val="center"/>
          </w:tcPr>
          <w:p w14:paraId="57DEC1C3" w14:textId="35C6CB98" w:rsidR="00240A82" w:rsidRPr="00CF09FE" w:rsidRDefault="00A62EB8">
            <w:pPr>
              <w:pStyle w:val="T2"/>
              <w:spacing w:after="0"/>
              <w:ind w:left="0" w:right="0"/>
              <w:rPr>
                <w:b w:val="0"/>
                <w:sz w:val="20"/>
                <w:lang w:val="en-US"/>
              </w:rPr>
            </w:pPr>
            <w:r>
              <w:rPr>
                <w:b w:val="0"/>
                <w:sz w:val="20"/>
                <w:lang w:val="en-US"/>
              </w:rPr>
              <w:t>Meta</w:t>
            </w:r>
          </w:p>
        </w:tc>
        <w:tc>
          <w:tcPr>
            <w:tcW w:w="1957" w:type="dxa"/>
            <w:vAlign w:val="center"/>
          </w:tcPr>
          <w:p w14:paraId="17BC464F" w14:textId="77777777" w:rsidR="00240A82" w:rsidRPr="00CF09FE" w:rsidRDefault="00240A82">
            <w:pPr>
              <w:pStyle w:val="T2"/>
              <w:spacing w:after="0"/>
              <w:ind w:left="0" w:right="0"/>
              <w:rPr>
                <w:b w:val="0"/>
                <w:sz w:val="20"/>
                <w:lang w:val="en-US"/>
              </w:rPr>
            </w:pPr>
          </w:p>
        </w:tc>
        <w:tc>
          <w:tcPr>
            <w:tcW w:w="990" w:type="dxa"/>
            <w:vAlign w:val="center"/>
          </w:tcPr>
          <w:p w14:paraId="2CE210D4" w14:textId="77777777" w:rsidR="00240A82" w:rsidRPr="00CF09FE" w:rsidRDefault="00240A82">
            <w:pPr>
              <w:pStyle w:val="T2"/>
              <w:spacing w:after="0"/>
              <w:ind w:left="0" w:right="0"/>
              <w:rPr>
                <w:b w:val="0"/>
                <w:sz w:val="20"/>
                <w:lang w:val="en-US"/>
              </w:rPr>
            </w:pPr>
          </w:p>
        </w:tc>
        <w:tc>
          <w:tcPr>
            <w:tcW w:w="3011" w:type="dxa"/>
            <w:vAlign w:val="center"/>
          </w:tcPr>
          <w:p w14:paraId="77AC5D78" w14:textId="56A00FD5" w:rsidR="00240A82" w:rsidRPr="00A62EB8" w:rsidRDefault="00EC6EA1">
            <w:pPr>
              <w:pStyle w:val="T2"/>
              <w:spacing w:after="0"/>
              <w:ind w:left="0" w:right="0"/>
              <w:rPr>
                <w:b w:val="0"/>
                <w:sz w:val="20"/>
                <w:lang w:val="en-US"/>
              </w:rPr>
            </w:pPr>
            <w:hyperlink r:id="rId8" w:history="1">
              <w:r w:rsidR="00516C45" w:rsidRPr="00A62EB8">
                <w:rPr>
                  <w:b w:val="0"/>
                  <w:sz w:val="20"/>
                  <w:lang w:val="en-US"/>
                </w:rPr>
                <w:t>claudiodasilva@meta.com</w:t>
              </w:r>
            </w:hyperlink>
          </w:p>
        </w:tc>
      </w:tr>
      <w:tr w:rsidR="00516C45" w:rsidRPr="00CF09FE" w14:paraId="2FB69E27" w14:textId="77777777" w:rsidTr="000F7435">
        <w:trPr>
          <w:jc w:val="center"/>
        </w:trPr>
        <w:tc>
          <w:tcPr>
            <w:tcW w:w="1638" w:type="dxa"/>
            <w:vAlign w:val="center"/>
          </w:tcPr>
          <w:p w14:paraId="0CA644DF" w14:textId="0EEE673C" w:rsidR="00516C45" w:rsidRDefault="00C23F65">
            <w:pPr>
              <w:pStyle w:val="T2"/>
              <w:spacing w:after="0"/>
              <w:ind w:left="0" w:right="0"/>
              <w:rPr>
                <w:b w:val="0"/>
                <w:sz w:val="20"/>
                <w:lang w:val="en-US"/>
              </w:rPr>
            </w:pPr>
            <w:r w:rsidRPr="00C23F65">
              <w:rPr>
                <w:b w:val="0"/>
                <w:sz w:val="20"/>
                <w:lang w:val="en-US"/>
              </w:rPr>
              <w:t>Narengerile</w:t>
            </w:r>
          </w:p>
        </w:tc>
        <w:tc>
          <w:tcPr>
            <w:tcW w:w="1980" w:type="dxa"/>
            <w:vAlign w:val="center"/>
          </w:tcPr>
          <w:p w14:paraId="61ACE299" w14:textId="726126F2" w:rsidR="00516C45" w:rsidRPr="00CF09FE" w:rsidRDefault="00A62EB8">
            <w:pPr>
              <w:pStyle w:val="T2"/>
              <w:spacing w:after="0"/>
              <w:ind w:left="0" w:right="0"/>
              <w:rPr>
                <w:b w:val="0"/>
                <w:sz w:val="20"/>
                <w:lang w:val="en-US"/>
              </w:rPr>
            </w:pPr>
            <w:r>
              <w:rPr>
                <w:b w:val="0"/>
                <w:sz w:val="20"/>
                <w:lang w:val="en-US"/>
              </w:rPr>
              <w:t>Huawei</w:t>
            </w:r>
          </w:p>
        </w:tc>
        <w:tc>
          <w:tcPr>
            <w:tcW w:w="1957" w:type="dxa"/>
            <w:vAlign w:val="center"/>
          </w:tcPr>
          <w:p w14:paraId="407DE6C7" w14:textId="77777777" w:rsidR="00516C45" w:rsidRPr="00CF09FE" w:rsidRDefault="00516C45">
            <w:pPr>
              <w:pStyle w:val="T2"/>
              <w:spacing w:after="0"/>
              <w:ind w:left="0" w:right="0"/>
              <w:rPr>
                <w:b w:val="0"/>
                <w:sz w:val="20"/>
                <w:lang w:val="en-US"/>
              </w:rPr>
            </w:pPr>
          </w:p>
        </w:tc>
        <w:tc>
          <w:tcPr>
            <w:tcW w:w="990" w:type="dxa"/>
            <w:vAlign w:val="center"/>
          </w:tcPr>
          <w:p w14:paraId="390B44B3" w14:textId="77777777" w:rsidR="00516C45" w:rsidRPr="00CF09FE" w:rsidRDefault="00516C45">
            <w:pPr>
              <w:pStyle w:val="T2"/>
              <w:spacing w:after="0"/>
              <w:ind w:left="0" w:right="0"/>
              <w:rPr>
                <w:b w:val="0"/>
                <w:sz w:val="20"/>
                <w:lang w:val="en-US"/>
              </w:rPr>
            </w:pPr>
          </w:p>
        </w:tc>
        <w:tc>
          <w:tcPr>
            <w:tcW w:w="3011" w:type="dxa"/>
            <w:vAlign w:val="center"/>
          </w:tcPr>
          <w:p w14:paraId="005749CB" w14:textId="703661D8" w:rsidR="00516C45" w:rsidRPr="00A62EB8" w:rsidRDefault="00A62EB8">
            <w:pPr>
              <w:pStyle w:val="T2"/>
              <w:spacing w:after="0"/>
              <w:ind w:left="0" w:right="0"/>
              <w:rPr>
                <w:b w:val="0"/>
                <w:sz w:val="20"/>
                <w:lang w:val="en-US"/>
              </w:rPr>
            </w:pPr>
            <w:r w:rsidRPr="00A62EB8">
              <w:rPr>
                <w:b w:val="0"/>
                <w:sz w:val="20"/>
                <w:lang w:val="en-US"/>
              </w:rPr>
              <w:t>narengerile@huawei.com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275A0C79" w:rsidR="0093015E" w:rsidRDefault="0093015E" w:rsidP="003C21F6">
                            <w:pPr>
                              <w:jc w:val="both"/>
                            </w:pPr>
                            <w:r w:rsidRPr="0093015E">
                              <w:t xml:space="preserve">CIDs: </w:t>
                            </w:r>
                            <w:r w:rsidR="00FD04C2">
                              <w:t xml:space="preserve">1427 1796 1932 2049 2050 2300 1674 1795 1933 2051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CD1B82" w14:textId="655FF30F" w:rsidR="00686C4F" w:rsidRDefault="00686C4F" w:rsidP="00E75DEE">
                            <w:pPr>
                              <w:jc w:val="both"/>
                              <w:rPr>
                                <w:color w:val="000000"/>
                                <w:szCs w:val="22"/>
                                <w:lang w:val="en-US"/>
                              </w:rPr>
                            </w:pPr>
                            <w:r>
                              <w:rPr>
                                <w:color w:val="000000"/>
                                <w:szCs w:val="22"/>
                                <w:lang w:val="en-US"/>
                              </w:rPr>
                              <w:t>R1: Added more coauthors.</w:t>
                            </w:r>
                          </w:p>
                          <w:p w14:paraId="7D4DA6A1" w14:textId="3D2676B3" w:rsidR="0093015E" w:rsidRPr="00760140" w:rsidRDefault="00AD44BB">
                            <w:pPr>
                              <w:jc w:val="both"/>
                              <w:rPr>
                                <w:lang w:val="en-US"/>
                              </w:rPr>
                            </w:pPr>
                            <w:r>
                              <w:rPr>
                                <w:lang w:val="en-US"/>
                              </w:rPr>
                              <w:t xml:space="preserve">R2: Revised during the presentation at the </w:t>
                            </w:r>
                            <w:proofErr w:type="spellStart"/>
                            <w:r>
                              <w:rPr>
                                <w:lang w:val="en-US"/>
                              </w:rPr>
                              <w:t>TGbf</w:t>
                            </w:r>
                            <w:proofErr w:type="spellEnd"/>
                            <w:r>
                              <w:rPr>
                                <w:lang w:val="en-US"/>
                              </w:rPr>
                              <w:t xml:space="preserve"> call on May 17</w:t>
                            </w:r>
                            <w:r w:rsidRPr="00AD44BB">
                              <w:rPr>
                                <w:vertAlign w:val="superscript"/>
                                <w:lang w:val="en-US"/>
                              </w:rPr>
                              <w:t>th</w:t>
                            </w: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275A0C79" w:rsidR="0093015E" w:rsidRDefault="0093015E" w:rsidP="003C21F6">
                      <w:pPr>
                        <w:jc w:val="both"/>
                      </w:pPr>
                      <w:r w:rsidRPr="0093015E">
                        <w:t xml:space="preserve">CIDs: </w:t>
                      </w:r>
                      <w:r w:rsidR="00FD04C2">
                        <w:t xml:space="preserve">1427 1796 1932 2049 2050 2300 1674 1795 1933 2051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CD1B82" w14:textId="655FF30F" w:rsidR="00686C4F" w:rsidRDefault="00686C4F" w:rsidP="00E75DEE">
                      <w:pPr>
                        <w:jc w:val="both"/>
                        <w:rPr>
                          <w:color w:val="000000"/>
                          <w:szCs w:val="22"/>
                          <w:lang w:val="en-US"/>
                        </w:rPr>
                      </w:pPr>
                      <w:r>
                        <w:rPr>
                          <w:color w:val="000000"/>
                          <w:szCs w:val="22"/>
                          <w:lang w:val="en-US"/>
                        </w:rPr>
                        <w:t>R1: Added more coauthors.</w:t>
                      </w:r>
                    </w:p>
                    <w:p w14:paraId="7D4DA6A1" w14:textId="3D2676B3" w:rsidR="0093015E" w:rsidRPr="00760140" w:rsidRDefault="00AD44BB">
                      <w:pPr>
                        <w:jc w:val="both"/>
                        <w:rPr>
                          <w:lang w:val="en-US"/>
                        </w:rPr>
                      </w:pPr>
                      <w:r>
                        <w:rPr>
                          <w:lang w:val="en-US"/>
                        </w:rPr>
                        <w:t xml:space="preserve">R2: Revised during the presentation at the </w:t>
                      </w:r>
                      <w:proofErr w:type="spellStart"/>
                      <w:r>
                        <w:rPr>
                          <w:lang w:val="en-US"/>
                        </w:rPr>
                        <w:t>TGbf</w:t>
                      </w:r>
                      <w:proofErr w:type="spellEnd"/>
                      <w:r>
                        <w:rPr>
                          <w:lang w:val="en-US"/>
                        </w:rPr>
                        <w:t xml:space="preserve"> call on May 17</w:t>
                      </w:r>
                      <w:r w:rsidRPr="00AD44BB">
                        <w:rPr>
                          <w:vertAlign w:val="superscript"/>
                          <w:lang w:val="en-US"/>
                        </w:rPr>
                        <w:t>th</w:t>
                      </w:r>
                      <w:r>
                        <w:rPr>
                          <w:lang w:val="en-US"/>
                        </w:rPr>
                        <w:t>.</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090A3918" w14:textId="268B4A78" w:rsidR="000C5B0B" w:rsidRPr="009510AB" w:rsidRDefault="00503297">
      <w:pPr>
        <w:rPr>
          <w:szCs w:val="22"/>
          <w:lang w:val="en-US"/>
        </w:rPr>
      </w:pPr>
      <w:r w:rsidRPr="00CF09FE">
        <w:rPr>
          <w:szCs w:val="22"/>
          <w:lang w:val="en-US"/>
        </w:rP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810"/>
        <w:gridCol w:w="2219"/>
        <w:gridCol w:w="1890"/>
        <w:gridCol w:w="2520"/>
      </w:tblGrid>
      <w:tr w:rsidR="0049420B" w:rsidRPr="00B236C2" w14:paraId="70325B36" w14:textId="012214F6" w:rsidTr="00FD04C2">
        <w:tc>
          <w:tcPr>
            <w:tcW w:w="656" w:type="dxa"/>
            <w:shd w:val="clear" w:color="auto" w:fill="auto"/>
          </w:tcPr>
          <w:p w14:paraId="15FE253A" w14:textId="77777777" w:rsidR="0049420B" w:rsidRPr="00B236C2" w:rsidRDefault="0049420B" w:rsidP="00605636">
            <w:pPr>
              <w:widowControl w:val="0"/>
              <w:suppressAutoHyphens/>
              <w:rPr>
                <w:b/>
                <w:szCs w:val="22"/>
                <w:lang w:val="en-US"/>
              </w:rPr>
            </w:pPr>
            <w:r w:rsidRPr="00B236C2">
              <w:rPr>
                <w:b/>
                <w:szCs w:val="22"/>
                <w:lang w:val="en-US"/>
              </w:rPr>
              <w:lastRenderedPageBreak/>
              <w:t>CID</w:t>
            </w:r>
          </w:p>
        </w:tc>
        <w:tc>
          <w:tcPr>
            <w:tcW w:w="1049" w:type="dxa"/>
          </w:tcPr>
          <w:p w14:paraId="0629B1F3" w14:textId="50543EC8" w:rsidR="0049420B" w:rsidRPr="00B236C2" w:rsidRDefault="0049420B" w:rsidP="00605636">
            <w:pPr>
              <w:widowControl w:val="0"/>
              <w:suppressAutoHyphens/>
              <w:rPr>
                <w:b/>
                <w:szCs w:val="22"/>
                <w:lang w:val="en-US"/>
              </w:rPr>
            </w:pPr>
            <w:r>
              <w:rPr>
                <w:b/>
                <w:szCs w:val="22"/>
                <w:lang w:val="en-US"/>
              </w:rPr>
              <w:t>Commenter</w:t>
            </w:r>
          </w:p>
        </w:tc>
        <w:tc>
          <w:tcPr>
            <w:tcW w:w="900" w:type="dxa"/>
            <w:shd w:val="clear" w:color="auto" w:fill="auto"/>
          </w:tcPr>
          <w:p w14:paraId="51E6CFB3" w14:textId="00ACF46D" w:rsidR="0049420B" w:rsidRPr="00B236C2" w:rsidRDefault="0049420B"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49420B" w:rsidRPr="00B236C2" w:rsidRDefault="0049420B" w:rsidP="00605636">
            <w:pPr>
              <w:widowControl w:val="0"/>
              <w:suppressAutoHyphens/>
              <w:rPr>
                <w:b/>
                <w:szCs w:val="22"/>
                <w:lang w:val="en-US"/>
              </w:rPr>
            </w:pPr>
            <w:r w:rsidRPr="00B236C2">
              <w:rPr>
                <w:b/>
                <w:szCs w:val="22"/>
                <w:lang w:val="en-US"/>
              </w:rPr>
              <w:t>Page</w:t>
            </w:r>
          </w:p>
        </w:tc>
        <w:tc>
          <w:tcPr>
            <w:tcW w:w="2219" w:type="dxa"/>
            <w:shd w:val="clear" w:color="auto" w:fill="auto"/>
          </w:tcPr>
          <w:p w14:paraId="05BA5054" w14:textId="77777777" w:rsidR="0049420B" w:rsidRPr="00B236C2" w:rsidRDefault="0049420B" w:rsidP="00605636">
            <w:pPr>
              <w:widowControl w:val="0"/>
              <w:suppressAutoHyphens/>
              <w:rPr>
                <w:b/>
                <w:szCs w:val="22"/>
                <w:lang w:val="en-US"/>
              </w:rPr>
            </w:pPr>
            <w:r w:rsidRPr="00B236C2">
              <w:rPr>
                <w:b/>
                <w:szCs w:val="22"/>
                <w:lang w:val="en-US"/>
              </w:rPr>
              <w:t>Comment</w:t>
            </w:r>
          </w:p>
        </w:tc>
        <w:tc>
          <w:tcPr>
            <w:tcW w:w="1890" w:type="dxa"/>
            <w:shd w:val="clear" w:color="auto" w:fill="auto"/>
          </w:tcPr>
          <w:p w14:paraId="57A85785" w14:textId="77777777" w:rsidR="0049420B" w:rsidRPr="00B236C2" w:rsidRDefault="0049420B" w:rsidP="00605636">
            <w:pPr>
              <w:widowControl w:val="0"/>
              <w:suppressAutoHyphens/>
              <w:rPr>
                <w:b/>
                <w:szCs w:val="22"/>
                <w:lang w:val="en-US"/>
              </w:rPr>
            </w:pPr>
            <w:r w:rsidRPr="00B236C2">
              <w:rPr>
                <w:b/>
                <w:szCs w:val="22"/>
                <w:lang w:val="en-US"/>
              </w:rPr>
              <w:t>Proposed change</w:t>
            </w:r>
          </w:p>
        </w:tc>
        <w:tc>
          <w:tcPr>
            <w:tcW w:w="2520" w:type="dxa"/>
          </w:tcPr>
          <w:p w14:paraId="138AC423" w14:textId="284CD373" w:rsidR="0049420B" w:rsidRPr="00B236C2" w:rsidRDefault="0049420B" w:rsidP="00605636">
            <w:pPr>
              <w:widowControl w:val="0"/>
              <w:suppressAutoHyphens/>
              <w:rPr>
                <w:b/>
                <w:szCs w:val="22"/>
                <w:lang w:val="en-US"/>
              </w:rPr>
            </w:pPr>
            <w:r>
              <w:rPr>
                <w:b/>
                <w:szCs w:val="22"/>
                <w:lang w:val="en-US"/>
              </w:rPr>
              <w:t>Proposed resolution</w:t>
            </w:r>
          </w:p>
        </w:tc>
      </w:tr>
      <w:tr w:rsidR="00FD04C2" w:rsidRPr="00B236C2" w14:paraId="28E0E50B" w14:textId="77777777" w:rsidTr="00A66F76">
        <w:tc>
          <w:tcPr>
            <w:tcW w:w="10044" w:type="dxa"/>
            <w:gridSpan w:val="7"/>
            <w:shd w:val="clear" w:color="auto" w:fill="auto"/>
          </w:tcPr>
          <w:p w14:paraId="47B5EA0E" w14:textId="55D165D4" w:rsidR="00FD04C2" w:rsidRDefault="00FD04C2" w:rsidP="00605636">
            <w:pPr>
              <w:widowControl w:val="0"/>
              <w:suppressAutoHyphens/>
              <w:rPr>
                <w:b/>
                <w:szCs w:val="22"/>
                <w:lang w:val="en-US"/>
              </w:rPr>
            </w:pPr>
            <w:r>
              <w:rPr>
                <w:b/>
                <w:szCs w:val="22"/>
                <w:lang w:val="en-US"/>
              </w:rPr>
              <w:t>Category 0</w:t>
            </w:r>
          </w:p>
        </w:tc>
      </w:tr>
      <w:tr w:rsidR="0049420B" w:rsidRPr="001D7930" w14:paraId="2DA06D7C" w14:textId="5E7382B6" w:rsidTr="00FD04C2">
        <w:tc>
          <w:tcPr>
            <w:tcW w:w="656" w:type="dxa"/>
            <w:shd w:val="clear" w:color="auto" w:fill="auto"/>
          </w:tcPr>
          <w:p w14:paraId="38D86630" w14:textId="41976399" w:rsidR="0049420B" w:rsidRPr="001D7930" w:rsidRDefault="0049420B" w:rsidP="009510AB">
            <w:pPr>
              <w:widowControl w:val="0"/>
              <w:suppressAutoHyphens/>
              <w:rPr>
                <w:b/>
                <w:sz w:val="20"/>
                <w:lang w:val="en-US"/>
              </w:rPr>
            </w:pPr>
            <w:r w:rsidRPr="001D7930">
              <w:rPr>
                <w:sz w:val="20"/>
                <w:lang w:val="en-US"/>
              </w:rPr>
              <w:t>1427</w:t>
            </w:r>
          </w:p>
        </w:tc>
        <w:tc>
          <w:tcPr>
            <w:tcW w:w="1049" w:type="dxa"/>
          </w:tcPr>
          <w:p w14:paraId="5BE883F4" w14:textId="1D599A28" w:rsidR="0049420B" w:rsidRPr="001D7930" w:rsidRDefault="0049420B" w:rsidP="009510AB">
            <w:pPr>
              <w:widowControl w:val="0"/>
              <w:suppressAutoHyphens/>
              <w:rPr>
                <w:sz w:val="20"/>
              </w:rPr>
            </w:pPr>
            <w:proofErr w:type="spellStart"/>
            <w:r>
              <w:rPr>
                <w:sz w:val="20"/>
              </w:rPr>
              <w:t>Wookbong</w:t>
            </w:r>
            <w:proofErr w:type="spellEnd"/>
            <w:r>
              <w:rPr>
                <w:sz w:val="20"/>
              </w:rPr>
              <w:t xml:space="preserve"> Lee</w:t>
            </w:r>
          </w:p>
        </w:tc>
        <w:tc>
          <w:tcPr>
            <w:tcW w:w="900" w:type="dxa"/>
            <w:shd w:val="clear" w:color="auto" w:fill="auto"/>
          </w:tcPr>
          <w:p w14:paraId="60D508CA" w14:textId="4147006F" w:rsidR="0049420B" w:rsidRPr="001D7930" w:rsidRDefault="0049420B" w:rsidP="009510AB">
            <w:pPr>
              <w:widowControl w:val="0"/>
              <w:suppressAutoHyphens/>
              <w:rPr>
                <w:b/>
                <w:sz w:val="20"/>
                <w:lang w:val="en-US"/>
              </w:rPr>
            </w:pPr>
            <w:r w:rsidRPr="001D7930">
              <w:rPr>
                <w:sz w:val="20"/>
              </w:rPr>
              <w:t>11.55.2</w:t>
            </w:r>
          </w:p>
        </w:tc>
        <w:tc>
          <w:tcPr>
            <w:tcW w:w="810" w:type="dxa"/>
            <w:shd w:val="clear" w:color="auto" w:fill="auto"/>
          </w:tcPr>
          <w:p w14:paraId="67BF26EA" w14:textId="65BFBC3E" w:rsidR="0049420B" w:rsidRPr="001D7930" w:rsidRDefault="0049420B" w:rsidP="009510AB">
            <w:pPr>
              <w:widowControl w:val="0"/>
              <w:suppressAutoHyphens/>
              <w:rPr>
                <w:b/>
                <w:sz w:val="20"/>
                <w:lang w:val="en-US"/>
              </w:rPr>
            </w:pPr>
            <w:r w:rsidRPr="001D7930">
              <w:rPr>
                <w:sz w:val="20"/>
              </w:rPr>
              <w:t>190.45</w:t>
            </w:r>
          </w:p>
        </w:tc>
        <w:tc>
          <w:tcPr>
            <w:tcW w:w="2219" w:type="dxa"/>
            <w:shd w:val="clear" w:color="auto" w:fill="auto"/>
          </w:tcPr>
          <w:p w14:paraId="2B44D0AD" w14:textId="07A58BB7" w:rsidR="0049420B" w:rsidRPr="001D7930" w:rsidRDefault="0049420B" w:rsidP="009510AB">
            <w:pPr>
              <w:widowControl w:val="0"/>
              <w:suppressAutoHyphens/>
              <w:rPr>
                <w:b/>
                <w:sz w:val="20"/>
                <w:lang w:val="en-US"/>
              </w:rPr>
            </w:pPr>
            <w:r w:rsidRPr="001D7930">
              <w:rPr>
                <w:sz w:val="20"/>
              </w:rPr>
              <w:t>There is a security concern in the SBP scheme.</w:t>
            </w:r>
          </w:p>
        </w:tc>
        <w:tc>
          <w:tcPr>
            <w:tcW w:w="1890" w:type="dxa"/>
            <w:shd w:val="clear" w:color="auto" w:fill="auto"/>
          </w:tcPr>
          <w:p w14:paraId="0A064562" w14:textId="74EDA240" w:rsidR="0049420B" w:rsidRPr="001D7930" w:rsidRDefault="0049420B" w:rsidP="009510AB">
            <w:pPr>
              <w:widowControl w:val="0"/>
              <w:suppressAutoHyphens/>
              <w:rPr>
                <w:b/>
                <w:sz w:val="20"/>
                <w:lang w:val="en-US"/>
              </w:rPr>
            </w:pPr>
            <w:r w:rsidRPr="001D7930">
              <w:rPr>
                <w:sz w:val="20"/>
              </w:rPr>
              <w:t>Delete it</w:t>
            </w:r>
          </w:p>
        </w:tc>
        <w:tc>
          <w:tcPr>
            <w:tcW w:w="2520" w:type="dxa"/>
          </w:tcPr>
          <w:p w14:paraId="106A6E0A" w14:textId="4FB0BD56" w:rsidR="0049420B" w:rsidRPr="001D7930" w:rsidRDefault="0049420B" w:rsidP="009510AB">
            <w:pPr>
              <w:widowControl w:val="0"/>
              <w:suppressAutoHyphens/>
              <w:rPr>
                <w:sz w:val="20"/>
              </w:rPr>
            </w:pPr>
            <w:r w:rsidRPr="001D7930">
              <w:rPr>
                <w:sz w:val="20"/>
              </w:rPr>
              <w:t>Rejected. The comment fails to identify a specific issue to be addressed. It fails to identify changes in sufficient detail so that the specific wording of the changes that will satisfy the commenter can be determined.</w:t>
            </w:r>
          </w:p>
        </w:tc>
      </w:tr>
      <w:tr w:rsidR="0049420B" w:rsidRPr="001D7930" w14:paraId="63B0C70F" w14:textId="535B5BBA" w:rsidTr="00FD04C2">
        <w:tc>
          <w:tcPr>
            <w:tcW w:w="656" w:type="dxa"/>
            <w:shd w:val="clear" w:color="auto" w:fill="auto"/>
          </w:tcPr>
          <w:p w14:paraId="715CE0CE" w14:textId="5B7668FC" w:rsidR="0049420B" w:rsidRPr="001D7930" w:rsidRDefault="0049420B" w:rsidP="009510AB">
            <w:pPr>
              <w:widowControl w:val="0"/>
              <w:suppressAutoHyphens/>
              <w:rPr>
                <w:b/>
                <w:sz w:val="20"/>
                <w:lang w:val="en-US"/>
              </w:rPr>
            </w:pPr>
            <w:r w:rsidRPr="001D7930">
              <w:rPr>
                <w:sz w:val="20"/>
                <w:lang w:val="en-US"/>
              </w:rPr>
              <w:t>1796</w:t>
            </w:r>
          </w:p>
        </w:tc>
        <w:tc>
          <w:tcPr>
            <w:tcW w:w="1049" w:type="dxa"/>
          </w:tcPr>
          <w:p w14:paraId="6EAE285D" w14:textId="5544E699" w:rsidR="0049420B" w:rsidRPr="001D7930" w:rsidRDefault="0049420B" w:rsidP="009510AB">
            <w:pPr>
              <w:widowControl w:val="0"/>
              <w:suppressAutoHyphens/>
              <w:rPr>
                <w:sz w:val="20"/>
              </w:rPr>
            </w:pPr>
            <w:r>
              <w:rPr>
                <w:sz w:val="20"/>
              </w:rPr>
              <w:t>Tianyu Wu</w:t>
            </w:r>
          </w:p>
        </w:tc>
        <w:tc>
          <w:tcPr>
            <w:tcW w:w="900" w:type="dxa"/>
            <w:shd w:val="clear" w:color="auto" w:fill="auto"/>
          </w:tcPr>
          <w:p w14:paraId="13294556" w14:textId="68570D82" w:rsidR="0049420B" w:rsidRPr="001D7930" w:rsidRDefault="0049420B" w:rsidP="009510AB">
            <w:pPr>
              <w:widowControl w:val="0"/>
              <w:suppressAutoHyphens/>
              <w:rPr>
                <w:b/>
                <w:sz w:val="20"/>
                <w:lang w:val="en-US"/>
              </w:rPr>
            </w:pPr>
            <w:r w:rsidRPr="001D7930">
              <w:rPr>
                <w:sz w:val="20"/>
              </w:rPr>
              <w:t>11.55.2</w:t>
            </w:r>
          </w:p>
        </w:tc>
        <w:tc>
          <w:tcPr>
            <w:tcW w:w="810" w:type="dxa"/>
            <w:shd w:val="clear" w:color="auto" w:fill="auto"/>
          </w:tcPr>
          <w:p w14:paraId="3155A984" w14:textId="5413470C" w:rsidR="0049420B" w:rsidRPr="001D7930" w:rsidRDefault="0049420B" w:rsidP="009510AB">
            <w:pPr>
              <w:widowControl w:val="0"/>
              <w:suppressAutoHyphens/>
              <w:rPr>
                <w:b/>
                <w:sz w:val="20"/>
                <w:lang w:val="en-US"/>
              </w:rPr>
            </w:pPr>
            <w:r w:rsidRPr="001D7930">
              <w:rPr>
                <w:sz w:val="20"/>
              </w:rPr>
              <w:t>190.50</w:t>
            </w:r>
          </w:p>
        </w:tc>
        <w:tc>
          <w:tcPr>
            <w:tcW w:w="2219" w:type="dxa"/>
            <w:shd w:val="clear" w:color="auto" w:fill="auto"/>
          </w:tcPr>
          <w:p w14:paraId="3E550C6A" w14:textId="02997FBD" w:rsidR="0049420B" w:rsidRPr="001D7930" w:rsidRDefault="0049420B" w:rsidP="009510AB">
            <w:pPr>
              <w:widowControl w:val="0"/>
              <w:suppressAutoHyphens/>
              <w:rPr>
                <w:b/>
                <w:sz w:val="20"/>
                <w:lang w:val="en-US"/>
              </w:rPr>
            </w:pPr>
            <w:r w:rsidRPr="001D7930">
              <w:rPr>
                <w:sz w:val="20"/>
              </w:rPr>
              <w:t>SBP is not complete in the draft. Security for SBP is missing.</w:t>
            </w:r>
          </w:p>
        </w:tc>
        <w:tc>
          <w:tcPr>
            <w:tcW w:w="1890" w:type="dxa"/>
            <w:shd w:val="clear" w:color="auto" w:fill="auto"/>
          </w:tcPr>
          <w:p w14:paraId="5FCA01B8" w14:textId="55C62A1C" w:rsidR="0049420B" w:rsidRPr="001D7930" w:rsidRDefault="0049420B" w:rsidP="009510AB">
            <w:pPr>
              <w:widowControl w:val="0"/>
              <w:suppressAutoHyphens/>
              <w:rPr>
                <w:b/>
                <w:sz w:val="20"/>
                <w:lang w:val="en-US"/>
              </w:rPr>
            </w:pPr>
            <w:r w:rsidRPr="001D7930">
              <w:rPr>
                <w:sz w:val="20"/>
              </w:rPr>
              <w:t>Define security for SBP or remove SBP feature.</w:t>
            </w:r>
          </w:p>
        </w:tc>
        <w:tc>
          <w:tcPr>
            <w:tcW w:w="2520" w:type="dxa"/>
          </w:tcPr>
          <w:p w14:paraId="72DAC99B" w14:textId="086BCF26" w:rsidR="0049420B" w:rsidRPr="001D7930" w:rsidRDefault="0049420B" w:rsidP="009510AB">
            <w:pPr>
              <w:widowControl w:val="0"/>
              <w:suppressAutoHyphens/>
              <w:rPr>
                <w:sz w:val="20"/>
              </w:rPr>
            </w:pPr>
            <w:r w:rsidRPr="001D7930">
              <w:rPr>
                <w:sz w:val="20"/>
              </w:rPr>
              <w:t>Rejected. The comment fails to identify a specific issue to be addressed. It fails to identify changes in sufficient detail so that the specific wording of the changes that will satisfy the commenter can be determined.</w:t>
            </w:r>
          </w:p>
        </w:tc>
      </w:tr>
      <w:tr w:rsidR="00FD04C2" w:rsidRPr="001D7930" w14:paraId="5DFEFD2C" w14:textId="77777777" w:rsidTr="00EB6E32">
        <w:tc>
          <w:tcPr>
            <w:tcW w:w="10044" w:type="dxa"/>
            <w:gridSpan w:val="7"/>
            <w:shd w:val="clear" w:color="auto" w:fill="auto"/>
          </w:tcPr>
          <w:p w14:paraId="62547AFC" w14:textId="6DA8180A" w:rsidR="00FD04C2" w:rsidRPr="00FD04C2" w:rsidRDefault="00FD04C2" w:rsidP="009510AB">
            <w:pPr>
              <w:widowControl w:val="0"/>
              <w:suppressAutoHyphens/>
              <w:rPr>
                <w:b/>
                <w:bCs/>
                <w:sz w:val="20"/>
              </w:rPr>
            </w:pPr>
            <w:r w:rsidRPr="00FD04C2">
              <w:rPr>
                <w:b/>
                <w:bCs/>
                <w:sz w:val="20"/>
              </w:rPr>
              <w:t xml:space="preserve">Category </w:t>
            </w:r>
            <w:r>
              <w:rPr>
                <w:b/>
                <w:bCs/>
                <w:sz w:val="20"/>
              </w:rPr>
              <w:t>1</w:t>
            </w:r>
          </w:p>
        </w:tc>
      </w:tr>
      <w:tr w:rsidR="00C70567" w:rsidRPr="001D7930" w14:paraId="69C00FBB" w14:textId="77777777" w:rsidTr="00FD04C2">
        <w:tc>
          <w:tcPr>
            <w:tcW w:w="656" w:type="dxa"/>
            <w:shd w:val="clear" w:color="auto" w:fill="auto"/>
          </w:tcPr>
          <w:p w14:paraId="433D75E9" w14:textId="4A919993" w:rsidR="00C70567" w:rsidRPr="001D7930" w:rsidRDefault="00C70567" w:rsidP="00C70567">
            <w:pPr>
              <w:widowControl w:val="0"/>
              <w:suppressAutoHyphens/>
              <w:rPr>
                <w:sz w:val="20"/>
                <w:lang w:val="en-US"/>
              </w:rPr>
            </w:pPr>
            <w:r w:rsidRPr="001D7930">
              <w:rPr>
                <w:sz w:val="20"/>
              </w:rPr>
              <w:t>1932</w:t>
            </w:r>
          </w:p>
        </w:tc>
        <w:tc>
          <w:tcPr>
            <w:tcW w:w="1049" w:type="dxa"/>
          </w:tcPr>
          <w:p w14:paraId="4EBD7BC9" w14:textId="77777777" w:rsidR="00C70567" w:rsidRDefault="00C70567" w:rsidP="00C70567">
            <w:pPr>
              <w:widowControl w:val="0"/>
              <w:suppressAutoHyphens/>
              <w:rPr>
                <w:sz w:val="20"/>
              </w:rPr>
            </w:pPr>
            <w:r w:rsidRPr="00342D17">
              <w:rPr>
                <w:sz w:val="20"/>
              </w:rPr>
              <w:t xml:space="preserve">Mohamed </w:t>
            </w:r>
            <w:proofErr w:type="spellStart"/>
            <w:r w:rsidRPr="00342D17">
              <w:rPr>
                <w:sz w:val="20"/>
              </w:rPr>
              <w:t>Abouelseoud</w:t>
            </w:r>
            <w:proofErr w:type="spellEnd"/>
          </w:p>
          <w:p w14:paraId="5642B0A0" w14:textId="77777777" w:rsidR="00C70567" w:rsidRDefault="00C70567" w:rsidP="00C70567">
            <w:pPr>
              <w:rPr>
                <w:sz w:val="20"/>
              </w:rPr>
            </w:pPr>
          </w:p>
          <w:p w14:paraId="022206DE" w14:textId="77777777" w:rsidR="00C70567" w:rsidRPr="001D7930" w:rsidRDefault="00C70567" w:rsidP="00C70567">
            <w:pPr>
              <w:widowControl w:val="0"/>
              <w:suppressAutoHyphens/>
              <w:rPr>
                <w:sz w:val="20"/>
              </w:rPr>
            </w:pPr>
          </w:p>
        </w:tc>
        <w:tc>
          <w:tcPr>
            <w:tcW w:w="900" w:type="dxa"/>
            <w:shd w:val="clear" w:color="auto" w:fill="auto"/>
          </w:tcPr>
          <w:p w14:paraId="27E14F27" w14:textId="577EC576" w:rsidR="00C70567" w:rsidRPr="001D7930" w:rsidRDefault="00C70567" w:rsidP="00C70567">
            <w:pPr>
              <w:widowControl w:val="0"/>
              <w:suppressAutoHyphens/>
              <w:rPr>
                <w:sz w:val="20"/>
              </w:rPr>
            </w:pPr>
            <w:r w:rsidRPr="001D7930">
              <w:rPr>
                <w:sz w:val="20"/>
              </w:rPr>
              <w:t>11.55.2.2</w:t>
            </w:r>
          </w:p>
        </w:tc>
        <w:tc>
          <w:tcPr>
            <w:tcW w:w="810" w:type="dxa"/>
            <w:shd w:val="clear" w:color="auto" w:fill="auto"/>
          </w:tcPr>
          <w:p w14:paraId="09A6470A" w14:textId="356A29D1" w:rsidR="00C70567" w:rsidRPr="001D7930" w:rsidRDefault="00C70567" w:rsidP="00C70567">
            <w:pPr>
              <w:widowControl w:val="0"/>
              <w:suppressAutoHyphens/>
              <w:rPr>
                <w:sz w:val="20"/>
              </w:rPr>
            </w:pPr>
            <w:r w:rsidRPr="001D7930">
              <w:rPr>
                <w:sz w:val="20"/>
              </w:rPr>
              <w:t>191.54</w:t>
            </w:r>
          </w:p>
        </w:tc>
        <w:tc>
          <w:tcPr>
            <w:tcW w:w="2219" w:type="dxa"/>
            <w:shd w:val="clear" w:color="auto" w:fill="auto"/>
          </w:tcPr>
          <w:p w14:paraId="4B000321" w14:textId="44D30A9F" w:rsidR="00C70567" w:rsidRPr="001D7930" w:rsidRDefault="00C70567" w:rsidP="00C70567">
            <w:pPr>
              <w:widowControl w:val="0"/>
              <w:suppressAutoHyphens/>
              <w:rPr>
                <w:sz w:val="20"/>
              </w:rPr>
            </w:pPr>
            <w:r w:rsidRPr="001D7930">
              <w:rPr>
                <w:sz w:val="20"/>
              </w:rPr>
              <w:t xml:space="preserve">The sensing responder </w:t>
            </w:r>
            <w:proofErr w:type="spellStart"/>
            <w:r w:rsidRPr="001D7930">
              <w:rPr>
                <w:sz w:val="20"/>
              </w:rPr>
              <w:t>cant</w:t>
            </w:r>
            <w:proofErr w:type="spellEnd"/>
            <w:r w:rsidRPr="001D7930">
              <w:rPr>
                <w:sz w:val="20"/>
              </w:rPr>
              <w:t xml:space="preserve"> distinguish between a WLAN sensing setup and SBP sensing setup. The responder should have the capability to accept or reject the setup based on this information</w:t>
            </w:r>
          </w:p>
        </w:tc>
        <w:tc>
          <w:tcPr>
            <w:tcW w:w="1890" w:type="dxa"/>
            <w:shd w:val="clear" w:color="auto" w:fill="auto"/>
          </w:tcPr>
          <w:p w14:paraId="5A84E12D" w14:textId="6F4B4B7A" w:rsidR="00C70567" w:rsidRPr="001D7930" w:rsidRDefault="00C70567" w:rsidP="00C70567">
            <w:pPr>
              <w:widowControl w:val="0"/>
              <w:suppressAutoHyphens/>
              <w:rPr>
                <w:sz w:val="20"/>
              </w:rPr>
            </w:pPr>
            <w:r w:rsidRPr="001D7930">
              <w:rPr>
                <w:sz w:val="20"/>
              </w:rPr>
              <w:t>Include a bit in the sensing measurement parameter field to indicate if the setup is being done for a SBP session</w:t>
            </w:r>
          </w:p>
        </w:tc>
        <w:tc>
          <w:tcPr>
            <w:tcW w:w="2520" w:type="dxa"/>
          </w:tcPr>
          <w:p w14:paraId="36BF7389" w14:textId="369B7FBB" w:rsidR="00C70567" w:rsidRPr="001D7930" w:rsidRDefault="00C70567" w:rsidP="00C70567">
            <w:pPr>
              <w:widowControl w:val="0"/>
              <w:suppressAutoHyphens/>
              <w:rPr>
                <w:sz w:val="20"/>
              </w:rPr>
            </w:pPr>
            <w:r>
              <w:rPr>
                <w:sz w:val="20"/>
              </w:rPr>
              <w:t>Revised. See below for proposed changes.</w:t>
            </w:r>
          </w:p>
        </w:tc>
      </w:tr>
      <w:tr w:rsidR="00C70567" w:rsidRPr="001D7930" w14:paraId="000810BE" w14:textId="77777777" w:rsidTr="00FD04C2">
        <w:tc>
          <w:tcPr>
            <w:tcW w:w="656" w:type="dxa"/>
            <w:shd w:val="clear" w:color="auto" w:fill="auto"/>
          </w:tcPr>
          <w:p w14:paraId="73287FAE" w14:textId="067FFEE1" w:rsidR="00C70567" w:rsidRPr="001D7930" w:rsidRDefault="00C70567" w:rsidP="00C70567">
            <w:pPr>
              <w:widowControl w:val="0"/>
              <w:suppressAutoHyphens/>
              <w:rPr>
                <w:sz w:val="20"/>
                <w:lang w:val="en-US"/>
              </w:rPr>
            </w:pPr>
            <w:r w:rsidRPr="001D7930">
              <w:rPr>
                <w:sz w:val="20"/>
              </w:rPr>
              <w:t>2049</w:t>
            </w:r>
          </w:p>
        </w:tc>
        <w:tc>
          <w:tcPr>
            <w:tcW w:w="1049" w:type="dxa"/>
          </w:tcPr>
          <w:p w14:paraId="73B736C9" w14:textId="7761BE53" w:rsidR="00C70567" w:rsidRPr="001D7930" w:rsidRDefault="00C70567" w:rsidP="00C70567">
            <w:pPr>
              <w:widowControl w:val="0"/>
              <w:suppressAutoHyphens/>
              <w:rPr>
                <w:sz w:val="20"/>
              </w:rPr>
            </w:pPr>
            <w:proofErr w:type="spellStart"/>
            <w:r w:rsidRPr="00342D17">
              <w:rPr>
                <w:sz w:val="20"/>
              </w:rPr>
              <w:t>Debashis</w:t>
            </w:r>
            <w:proofErr w:type="spellEnd"/>
            <w:r w:rsidRPr="00342D17">
              <w:rPr>
                <w:sz w:val="20"/>
              </w:rPr>
              <w:t xml:space="preserve"> Dash</w:t>
            </w:r>
          </w:p>
        </w:tc>
        <w:tc>
          <w:tcPr>
            <w:tcW w:w="900" w:type="dxa"/>
            <w:shd w:val="clear" w:color="auto" w:fill="auto"/>
          </w:tcPr>
          <w:p w14:paraId="56BDB188" w14:textId="7BCF6604" w:rsidR="00C70567" w:rsidRPr="001D7930" w:rsidRDefault="00C70567" w:rsidP="00C70567">
            <w:pPr>
              <w:widowControl w:val="0"/>
              <w:suppressAutoHyphens/>
              <w:rPr>
                <w:sz w:val="20"/>
              </w:rPr>
            </w:pPr>
            <w:r w:rsidRPr="001D7930">
              <w:rPr>
                <w:sz w:val="20"/>
              </w:rPr>
              <w:t>11.55.2.2</w:t>
            </w:r>
          </w:p>
        </w:tc>
        <w:tc>
          <w:tcPr>
            <w:tcW w:w="810" w:type="dxa"/>
            <w:shd w:val="clear" w:color="auto" w:fill="auto"/>
          </w:tcPr>
          <w:p w14:paraId="465099A1" w14:textId="5E89AEFF" w:rsidR="00C70567" w:rsidRPr="001D7930" w:rsidRDefault="00C70567" w:rsidP="00C70567">
            <w:pPr>
              <w:widowControl w:val="0"/>
              <w:suppressAutoHyphens/>
              <w:rPr>
                <w:sz w:val="20"/>
              </w:rPr>
            </w:pPr>
            <w:r w:rsidRPr="001D7930">
              <w:rPr>
                <w:sz w:val="20"/>
              </w:rPr>
              <w:t>191.54</w:t>
            </w:r>
          </w:p>
        </w:tc>
        <w:tc>
          <w:tcPr>
            <w:tcW w:w="2219" w:type="dxa"/>
            <w:shd w:val="clear" w:color="auto" w:fill="auto"/>
          </w:tcPr>
          <w:p w14:paraId="1D228C8F" w14:textId="630B5D1A" w:rsidR="00C70567" w:rsidRPr="001D7930" w:rsidRDefault="00C70567" w:rsidP="00C70567">
            <w:pPr>
              <w:widowControl w:val="0"/>
              <w:suppressAutoHyphens/>
              <w:rPr>
                <w:sz w:val="20"/>
              </w:rPr>
            </w:pPr>
            <w:r w:rsidRPr="001D7930">
              <w:rPr>
                <w:sz w:val="20"/>
              </w:rPr>
              <w:t xml:space="preserve">From a sensing responder's perspective there is no way to distinguish between a WLAN sensing setup and one being done for a SBP sensing setup. The parameters for the sensing setup currently are copied over from the SBP request frame and uses the same sensing measurement setup request frame as done during a WLAN sensing setup: "The </w:t>
            </w:r>
            <w:proofErr w:type="spellStart"/>
            <w:r w:rsidRPr="001D7930">
              <w:rPr>
                <w:sz w:val="20"/>
              </w:rPr>
              <w:t>SensingMeasurementParameter</w:t>
            </w:r>
            <w:proofErr w:type="spellEnd"/>
            <w:r w:rsidRPr="001D7930">
              <w:rPr>
                <w:sz w:val="20"/>
              </w:rPr>
              <w:t xml:space="preserve"> parameter within the MLME-</w:t>
            </w:r>
            <w:proofErr w:type="spellStart"/>
            <w:r w:rsidRPr="001D7930">
              <w:rPr>
                <w:sz w:val="20"/>
              </w:rPr>
              <w:t>SENSMSMTSETUP.request</w:t>
            </w:r>
            <w:proofErr w:type="spellEnd"/>
            <w:r w:rsidRPr="001D7930">
              <w:rPr>
                <w:sz w:val="20"/>
              </w:rPr>
              <w:t xml:space="preserve"> primitive 55 issued to initiate a WLAN sensing procedure used to satisfy an SBP request shall be identical to the Sensing- </w:t>
            </w:r>
            <w:proofErr w:type="spellStart"/>
            <w:r w:rsidRPr="001D7930">
              <w:rPr>
                <w:sz w:val="20"/>
              </w:rPr>
              <w:t>MeasurementParameter</w:t>
            </w:r>
            <w:proofErr w:type="spellEnd"/>
            <w:r w:rsidRPr="001D7930">
              <w:rPr>
                <w:sz w:val="20"/>
              </w:rPr>
              <w:t xml:space="preserve"> </w:t>
            </w:r>
            <w:r w:rsidRPr="001D7930">
              <w:rPr>
                <w:sz w:val="20"/>
              </w:rPr>
              <w:lastRenderedPageBreak/>
              <w:t>parameter within the corresponding MLME-</w:t>
            </w:r>
            <w:proofErr w:type="spellStart"/>
            <w:r w:rsidRPr="001D7930">
              <w:rPr>
                <w:sz w:val="20"/>
              </w:rPr>
              <w:t>SBP.request</w:t>
            </w:r>
            <w:proofErr w:type="spellEnd"/>
            <w:r w:rsidRPr="001D7930">
              <w:rPr>
                <w:sz w:val="20"/>
              </w:rPr>
              <w:t xml:space="preserve"> primitive." This doesn't include any indication of the measurement setup being a part of a SBP setup.</w:t>
            </w:r>
          </w:p>
        </w:tc>
        <w:tc>
          <w:tcPr>
            <w:tcW w:w="1890" w:type="dxa"/>
            <w:shd w:val="clear" w:color="auto" w:fill="auto"/>
          </w:tcPr>
          <w:p w14:paraId="5176FFF9" w14:textId="45FFA0F0" w:rsidR="00C70567" w:rsidRPr="001D7930" w:rsidRDefault="00C70567" w:rsidP="00C70567">
            <w:pPr>
              <w:widowControl w:val="0"/>
              <w:suppressAutoHyphens/>
              <w:rPr>
                <w:sz w:val="20"/>
              </w:rPr>
            </w:pPr>
            <w:r w:rsidRPr="001D7930">
              <w:rPr>
                <w:sz w:val="20"/>
              </w:rPr>
              <w:lastRenderedPageBreak/>
              <w:t>Include a bit in the sensing measurement parameter field to indicate if the setup is being done for a SBP session</w:t>
            </w:r>
          </w:p>
        </w:tc>
        <w:tc>
          <w:tcPr>
            <w:tcW w:w="2520" w:type="dxa"/>
          </w:tcPr>
          <w:p w14:paraId="5D46CBDF" w14:textId="7ACDDFA4" w:rsidR="00C70567" w:rsidRPr="001D7930" w:rsidRDefault="00C70567" w:rsidP="00C70567">
            <w:pPr>
              <w:widowControl w:val="0"/>
              <w:suppressAutoHyphens/>
              <w:rPr>
                <w:sz w:val="20"/>
              </w:rPr>
            </w:pPr>
            <w:r>
              <w:rPr>
                <w:sz w:val="20"/>
              </w:rPr>
              <w:t>Revised. See below for proposed changes.</w:t>
            </w:r>
          </w:p>
        </w:tc>
      </w:tr>
      <w:tr w:rsidR="00FD04C2" w:rsidRPr="001D7930" w14:paraId="3AA08C7F" w14:textId="77777777" w:rsidTr="00CF72B6">
        <w:tc>
          <w:tcPr>
            <w:tcW w:w="10044" w:type="dxa"/>
            <w:gridSpan w:val="7"/>
            <w:shd w:val="clear" w:color="auto" w:fill="auto"/>
          </w:tcPr>
          <w:p w14:paraId="2BD8E39B" w14:textId="2E12801D" w:rsidR="00FD04C2" w:rsidRPr="00FD04C2" w:rsidRDefault="00FD04C2" w:rsidP="00E1352B">
            <w:pPr>
              <w:widowControl w:val="0"/>
              <w:suppressAutoHyphens/>
              <w:rPr>
                <w:b/>
                <w:bCs/>
                <w:sz w:val="20"/>
              </w:rPr>
            </w:pPr>
            <w:r w:rsidRPr="00FD04C2">
              <w:rPr>
                <w:b/>
                <w:bCs/>
                <w:sz w:val="20"/>
              </w:rPr>
              <w:t xml:space="preserve">Category </w:t>
            </w:r>
            <w:r>
              <w:rPr>
                <w:b/>
                <w:bCs/>
                <w:sz w:val="20"/>
              </w:rPr>
              <w:t>2</w:t>
            </w:r>
          </w:p>
        </w:tc>
      </w:tr>
      <w:tr w:rsidR="0049420B" w:rsidRPr="001D7930" w14:paraId="3EA555A6" w14:textId="77777777" w:rsidTr="00FD04C2">
        <w:tc>
          <w:tcPr>
            <w:tcW w:w="656" w:type="dxa"/>
            <w:shd w:val="clear" w:color="auto" w:fill="auto"/>
          </w:tcPr>
          <w:p w14:paraId="5CB3D0DB" w14:textId="65BDC22F" w:rsidR="0049420B" w:rsidRPr="001D7930" w:rsidRDefault="0049420B" w:rsidP="00E1352B">
            <w:pPr>
              <w:widowControl w:val="0"/>
              <w:suppressAutoHyphens/>
              <w:rPr>
                <w:sz w:val="20"/>
                <w:lang w:val="en-US"/>
              </w:rPr>
            </w:pPr>
            <w:r w:rsidRPr="001D7930">
              <w:rPr>
                <w:sz w:val="20"/>
              </w:rPr>
              <w:t>2050</w:t>
            </w:r>
          </w:p>
        </w:tc>
        <w:tc>
          <w:tcPr>
            <w:tcW w:w="1049" w:type="dxa"/>
          </w:tcPr>
          <w:p w14:paraId="587650BB" w14:textId="28D94286" w:rsidR="0049420B" w:rsidRPr="001D7930" w:rsidRDefault="00B227E0" w:rsidP="00E1352B">
            <w:pPr>
              <w:widowControl w:val="0"/>
              <w:suppressAutoHyphens/>
              <w:rPr>
                <w:sz w:val="20"/>
              </w:rPr>
            </w:pPr>
            <w:proofErr w:type="spellStart"/>
            <w:r w:rsidRPr="00B227E0">
              <w:rPr>
                <w:sz w:val="20"/>
              </w:rPr>
              <w:t>Debashis</w:t>
            </w:r>
            <w:proofErr w:type="spellEnd"/>
            <w:r w:rsidRPr="00B227E0">
              <w:rPr>
                <w:sz w:val="20"/>
              </w:rPr>
              <w:t xml:space="preserve"> Dash</w:t>
            </w:r>
          </w:p>
        </w:tc>
        <w:tc>
          <w:tcPr>
            <w:tcW w:w="900" w:type="dxa"/>
            <w:shd w:val="clear" w:color="auto" w:fill="auto"/>
          </w:tcPr>
          <w:p w14:paraId="79603F24" w14:textId="6CAD8939" w:rsidR="0049420B" w:rsidRPr="001D7930" w:rsidRDefault="0049420B" w:rsidP="00E1352B">
            <w:pPr>
              <w:widowControl w:val="0"/>
              <w:suppressAutoHyphens/>
              <w:rPr>
                <w:sz w:val="20"/>
              </w:rPr>
            </w:pPr>
            <w:r w:rsidRPr="001D7930">
              <w:rPr>
                <w:sz w:val="20"/>
              </w:rPr>
              <w:t>11.55.2.2</w:t>
            </w:r>
          </w:p>
        </w:tc>
        <w:tc>
          <w:tcPr>
            <w:tcW w:w="810" w:type="dxa"/>
            <w:shd w:val="clear" w:color="auto" w:fill="auto"/>
          </w:tcPr>
          <w:p w14:paraId="227DEEE0" w14:textId="77777777" w:rsidR="0049420B" w:rsidRPr="001D7930" w:rsidRDefault="0049420B" w:rsidP="00E1352B">
            <w:pPr>
              <w:widowControl w:val="0"/>
              <w:suppressAutoHyphens/>
              <w:rPr>
                <w:sz w:val="20"/>
              </w:rPr>
            </w:pPr>
            <w:r w:rsidRPr="001D7930">
              <w:rPr>
                <w:sz w:val="20"/>
              </w:rPr>
              <w:t>191.54</w:t>
            </w:r>
          </w:p>
          <w:p w14:paraId="7C634342" w14:textId="77777777" w:rsidR="0049420B" w:rsidRPr="001D7930" w:rsidRDefault="0049420B" w:rsidP="00E1352B">
            <w:pPr>
              <w:widowControl w:val="0"/>
              <w:suppressAutoHyphens/>
              <w:rPr>
                <w:sz w:val="20"/>
              </w:rPr>
            </w:pPr>
          </w:p>
        </w:tc>
        <w:tc>
          <w:tcPr>
            <w:tcW w:w="2219" w:type="dxa"/>
            <w:shd w:val="clear" w:color="auto" w:fill="auto"/>
          </w:tcPr>
          <w:p w14:paraId="07182C7F" w14:textId="5441B9BA" w:rsidR="0049420B" w:rsidRPr="001D7930" w:rsidRDefault="0049420B" w:rsidP="00E1352B">
            <w:pPr>
              <w:widowControl w:val="0"/>
              <w:suppressAutoHyphens/>
              <w:rPr>
                <w:sz w:val="20"/>
              </w:rPr>
            </w:pPr>
            <w:r w:rsidRPr="001D7930">
              <w:rPr>
                <w:sz w:val="20"/>
              </w:rPr>
              <w:t xml:space="preserve">When a sensing measurement setup is being done by a sensing initiator as a part of SBP measurement setup, the sensing responder has no way of identifying the SBP initiator. The parameters copied over from the SBP setup doesn't contain the identity of the SBP initiator: "The </w:t>
            </w:r>
            <w:proofErr w:type="spellStart"/>
            <w:r w:rsidRPr="001D7930">
              <w:rPr>
                <w:sz w:val="20"/>
              </w:rPr>
              <w:t>SensingMeasurementParameter</w:t>
            </w:r>
            <w:proofErr w:type="spellEnd"/>
            <w:r w:rsidRPr="001D7930">
              <w:rPr>
                <w:sz w:val="20"/>
              </w:rPr>
              <w:t xml:space="preserve"> parameter within the MLME-</w:t>
            </w:r>
            <w:proofErr w:type="spellStart"/>
            <w:r w:rsidRPr="001D7930">
              <w:rPr>
                <w:sz w:val="20"/>
              </w:rPr>
              <w:t>SENSMSMTSETUP.request</w:t>
            </w:r>
            <w:proofErr w:type="spellEnd"/>
            <w:r w:rsidRPr="001D7930">
              <w:rPr>
                <w:sz w:val="20"/>
              </w:rPr>
              <w:t xml:space="preserve"> primitive 55</w:t>
            </w:r>
            <w:r w:rsidRPr="001D7930">
              <w:rPr>
                <w:sz w:val="20"/>
              </w:rPr>
              <w:br/>
              <w:t xml:space="preserve">issued to initiate a WLAN sensing procedure used to satisfy an SBP request shall be identical to the Sensing- </w:t>
            </w:r>
            <w:proofErr w:type="spellStart"/>
            <w:r w:rsidRPr="001D7930">
              <w:rPr>
                <w:sz w:val="20"/>
              </w:rPr>
              <w:t>MeasurementParameter</w:t>
            </w:r>
            <w:proofErr w:type="spellEnd"/>
            <w:r w:rsidRPr="001D7930">
              <w:rPr>
                <w:sz w:val="20"/>
              </w:rPr>
              <w:t xml:space="preserve"> parameter within the corresponding MLME-</w:t>
            </w:r>
            <w:proofErr w:type="spellStart"/>
            <w:r w:rsidRPr="001D7930">
              <w:rPr>
                <w:sz w:val="20"/>
              </w:rPr>
              <w:t>SBP.request</w:t>
            </w:r>
            <w:proofErr w:type="spellEnd"/>
            <w:r w:rsidRPr="001D7930">
              <w:rPr>
                <w:sz w:val="20"/>
              </w:rPr>
              <w:t xml:space="preserve"> primitive."</w:t>
            </w:r>
          </w:p>
        </w:tc>
        <w:tc>
          <w:tcPr>
            <w:tcW w:w="1890" w:type="dxa"/>
            <w:shd w:val="clear" w:color="auto" w:fill="auto"/>
          </w:tcPr>
          <w:p w14:paraId="456FBECE" w14:textId="787EF0CE" w:rsidR="0049420B" w:rsidRPr="001D7930" w:rsidRDefault="0049420B" w:rsidP="00E1352B">
            <w:pPr>
              <w:widowControl w:val="0"/>
              <w:suppressAutoHyphens/>
              <w:rPr>
                <w:sz w:val="20"/>
              </w:rPr>
            </w:pPr>
            <w:r w:rsidRPr="001D7930">
              <w:rPr>
                <w:sz w:val="20"/>
              </w:rPr>
              <w:t>Include a new field in the setup request to indicate the SBP initiator's identity. The identity can be any existing identifiers like AID, USID or MAC address.</w:t>
            </w:r>
            <w:r w:rsidRPr="001D7930">
              <w:rPr>
                <w:sz w:val="20"/>
              </w:rPr>
              <w:br/>
            </w:r>
            <w:r w:rsidRPr="001D7930">
              <w:rPr>
                <w:sz w:val="20"/>
              </w:rPr>
              <w:br/>
              <w:t>Include a parameter in the SBP setup to indicate to the SBP responder if it can include the SBP initiator's identity in the WLAN sensing setup with the sensing responder.</w:t>
            </w:r>
          </w:p>
        </w:tc>
        <w:tc>
          <w:tcPr>
            <w:tcW w:w="2520" w:type="dxa"/>
          </w:tcPr>
          <w:p w14:paraId="6AF7C74A" w14:textId="38E8FFAE" w:rsidR="0049420B" w:rsidRPr="001D7930" w:rsidRDefault="0049420B" w:rsidP="00E1352B">
            <w:pPr>
              <w:widowControl w:val="0"/>
              <w:suppressAutoHyphens/>
              <w:rPr>
                <w:sz w:val="20"/>
              </w:rPr>
            </w:pPr>
            <w:r>
              <w:rPr>
                <w:sz w:val="20"/>
              </w:rPr>
              <w:t>Revised. See below for proposed changes.</w:t>
            </w:r>
          </w:p>
        </w:tc>
      </w:tr>
      <w:tr w:rsidR="0049420B" w:rsidRPr="001D7930" w14:paraId="102818A6" w14:textId="77777777" w:rsidTr="00FD04C2">
        <w:tc>
          <w:tcPr>
            <w:tcW w:w="656" w:type="dxa"/>
            <w:shd w:val="clear" w:color="auto" w:fill="auto"/>
          </w:tcPr>
          <w:p w14:paraId="3398C61C" w14:textId="5DA57EF7" w:rsidR="0049420B" w:rsidRPr="001D7930" w:rsidRDefault="0049420B" w:rsidP="00E1352B">
            <w:pPr>
              <w:widowControl w:val="0"/>
              <w:suppressAutoHyphens/>
              <w:rPr>
                <w:sz w:val="20"/>
                <w:lang w:val="en-US"/>
              </w:rPr>
            </w:pPr>
            <w:r w:rsidRPr="001D7930">
              <w:rPr>
                <w:sz w:val="20"/>
              </w:rPr>
              <w:t>2300</w:t>
            </w:r>
          </w:p>
        </w:tc>
        <w:tc>
          <w:tcPr>
            <w:tcW w:w="1049" w:type="dxa"/>
          </w:tcPr>
          <w:p w14:paraId="08E14607" w14:textId="4386541C" w:rsidR="0049420B" w:rsidRPr="001D7930" w:rsidRDefault="008F7F57" w:rsidP="00E1352B">
            <w:pPr>
              <w:widowControl w:val="0"/>
              <w:suppressAutoHyphens/>
              <w:rPr>
                <w:sz w:val="20"/>
              </w:rPr>
            </w:pPr>
            <w:proofErr w:type="spellStart"/>
            <w:r w:rsidRPr="008F7F57">
              <w:rPr>
                <w:sz w:val="20"/>
              </w:rPr>
              <w:t>Firouz</w:t>
            </w:r>
            <w:proofErr w:type="spellEnd"/>
            <w:r w:rsidRPr="008F7F57">
              <w:rPr>
                <w:sz w:val="20"/>
              </w:rPr>
              <w:t xml:space="preserve"> </w:t>
            </w:r>
            <w:proofErr w:type="spellStart"/>
            <w:r w:rsidRPr="008F7F57">
              <w:rPr>
                <w:sz w:val="20"/>
              </w:rPr>
              <w:t>Behnamfar</w:t>
            </w:r>
            <w:proofErr w:type="spellEnd"/>
          </w:p>
        </w:tc>
        <w:tc>
          <w:tcPr>
            <w:tcW w:w="900" w:type="dxa"/>
            <w:shd w:val="clear" w:color="auto" w:fill="auto"/>
          </w:tcPr>
          <w:p w14:paraId="06F4E542" w14:textId="5F4583E1" w:rsidR="0049420B" w:rsidRPr="001D7930" w:rsidRDefault="0049420B" w:rsidP="00E1352B">
            <w:pPr>
              <w:widowControl w:val="0"/>
              <w:suppressAutoHyphens/>
              <w:rPr>
                <w:sz w:val="20"/>
              </w:rPr>
            </w:pPr>
            <w:r w:rsidRPr="001D7930">
              <w:rPr>
                <w:sz w:val="20"/>
              </w:rPr>
              <w:t>11.55.2.2</w:t>
            </w:r>
          </w:p>
        </w:tc>
        <w:tc>
          <w:tcPr>
            <w:tcW w:w="810" w:type="dxa"/>
            <w:shd w:val="clear" w:color="auto" w:fill="auto"/>
          </w:tcPr>
          <w:p w14:paraId="7C0BDA95" w14:textId="1C28F103" w:rsidR="0049420B" w:rsidRPr="001D7930" w:rsidRDefault="0049420B" w:rsidP="00E1352B">
            <w:pPr>
              <w:widowControl w:val="0"/>
              <w:suppressAutoHyphens/>
              <w:rPr>
                <w:sz w:val="20"/>
              </w:rPr>
            </w:pPr>
            <w:r w:rsidRPr="001D7930">
              <w:rPr>
                <w:sz w:val="20"/>
              </w:rPr>
              <w:t>191.54</w:t>
            </w:r>
          </w:p>
        </w:tc>
        <w:tc>
          <w:tcPr>
            <w:tcW w:w="2219" w:type="dxa"/>
            <w:shd w:val="clear" w:color="auto" w:fill="auto"/>
          </w:tcPr>
          <w:p w14:paraId="6DCD7C83" w14:textId="69B2C59F" w:rsidR="0049420B" w:rsidRPr="001D7930" w:rsidRDefault="0049420B" w:rsidP="00E1352B">
            <w:pPr>
              <w:widowControl w:val="0"/>
              <w:suppressAutoHyphens/>
              <w:rPr>
                <w:sz w:val="20"/>
              </w:rPr>
            </w:pPr>
            <w:r w:rsidRPr="001D7930">
              <w:rPr>
                <w:sz w:val="20"/>
              </w:rPr>
              <w:t>WLAN sensing responder is unable to identify the actual WLAN sensing initiator in the SBP procedure.</w:t>
            </w:r>
            <w:r w:rsidRPr="001D7930">
              <w:rPr>
                <w:sz w:val="20"/>
              </w:rPr>
              <w:br/>
            </w:r>
            <w:r w:rsidRPr="001D7930">
              <w:rPr>
                <w:sz w:val="20"/>
              </w:rPr>
              <w:br/>
              <w:t xml:space="preserve">The sensing measurement setup in SBP does not contain any information on the identity of the sensing </w:t>
            </w:r>
            <w:proofErr w:type="spellStart"/>
            <w:r w:rsidRPr="001D7930">
              <w:rPr>
                <w:sz w:val="20"/>
              </w:rPr>
              <w:t>inititor</w:t>
            </w:r>
            <w:proofErr w:type="spellEnd"/>
            <w:r w:rsidRPr="001D7930">
              <w:rPr>
                <w:sz w:val="20"/>
              </w:rPr>
              <w:t xml:space="preserve">. In fact, from the sensing responder perspective, the WLAN </w:t>
            </w:r>
            <w:proofErr w:type="spellStart"/>
            <w:r w:rsidRPr="001D7930">
              <w:rPr>
                <w:sz w:val="20"/>
              </w:rPr>
              <w:t>measurment</w:t>
            </w:r>
            <w:proofErr w:type="spellEnd"/>
            <w:r w:rsidRPr="001D7930">
              <w:rPr>
                <w:sz w:val="20"/>
              </w:rPr>
              <w:t xml:space="preserve"> setup request in SBP, which is initiated by a non-AP STA, and the WLAN sensing request, which originates from the AP, are identical. Due to various concerns, including privacy, the </w:t>
            </w:r>
            <w:r w:rsidRPr="001D7930">
              <w:rPr>
                <w:sz w:val="20"/>
              </w:rPr>
              <w:lastRenderedPageBreak/>
              <w:t>WLAN sensing measurement setup must contain information which enables the sensing responder to identify the true sensing initiator, so that the responder can decide whether or not to accept the setup request.</w:t>
            </w:r>
          </w:p>
        </w:tc>
        <w:tc>
          <w:tcPr>
            <w:tcW w:w="1890" w:type="dxa"/>
            <w:shd w:val="clear" w:color="auto" w:fill="auto"/>
          </w:tcPr>
          <w:p w14:paraId="7F2EAD7D" w14:textId="0A54542F" w:rsidR="0049420B" w:rsidRPr="001D7930" w:rsidRDefault="0049420B" w:rsidP="00E1352B">
            <w:pPr>
              <w:widowControl w:val="0"/>
              <w:suppressAutoHyphens/>
              <w:rPr>
                <w:sz w:val="20"/>
              </w:rPr>
            </w:pPr>
            <w:r w:rsidRPr="001D7930">
              <w:rPr>
                <w:sz w:val="20"/>
              </w:rPr>
              <w:lastRenderedPageBreak/>
              <w:t>Add a new field to the setup request frame to enable the sensing responder to identify the true sensing initiator.</w:t>
            </w:r>
          </w:p>
        </w:tc>
        <w:tc>
          <w:tcPr>
            <w:tcW w:w="2520" w:type="dxa"/>
          </w:tcPr>
          <w:p w14:paraId="3CC29703" w14:textId="602E465F" w:rsidR="0049420B" w:rsidRPr="001D7930" w:rsidRDefault="0049420B" w:rsidP="00E1352B">
            <w:pPr>
              <w:widowControl w:val="0"/>
              <w:suppressAutoHyphens/>
              <w:rPr>
                <w:sz w:val="20"/>
              </w:rPr>
            </w:pPr>
            <w:r>
              <w:rPr>
                <w:sz w:val="20"/>
              </w:rPr>
              <w:t>Revised. See below for proposed changes.</w:t>
            </w:r>
          </w:p>
        </w:tc>
      </w:tr>
      <w:tr w:rsidR="00FD04C2" w:rsidRPr="001D7930" w14:paraId="32C0F2DD" w14:textId="77777777" w:rsidTr="004B3AAA">
        <w:tc>
          <w:tcPr>
            <w:tcW w:w="10044" w:type="dxa"/>
            <w:gridSpan w:val="7"/>
            <w:shd w:val="clear" w:color="auto" w:fill="auto"/>
          </w:tcPr>
          <w:p w14:paraId="776D2F6A" w14:textId="39D1328D" w:rsidR="00FD04C2" w:rsidRPr="00FD04C2" w:rsidRDefault="00FD04C2" w:rsidP="009510AB">
            <w:pPr>
              <w:widowControl w:val="0"/>
              <w:suppressAutoHyphens/>
              <w:rPr>
                <w:b/>
                <w:bCs/>
                <w:sz w:val="20"/>
              </w:rPr>
            </w:pPr>
            <w:r w:rsidRPr="00FD04C2">
              <w:rPr>
                <w:b/>
                <w:bCs/>
                <w:sz w:val="20"/>
              </w:rPr>
              <w:t>Category 3</w:t>
            </w:r>
          </w:p>
        </w:tc>
      </w:tr>
      <w:tr w:rsidR="0049420B" w:rsidRPr="001D7930" w14:paraId="7E7FA6C7" w14:textId="505AF0A3" w:rsidTr="00FD04C2">
        <w:tc>
          <w:tcPr>
            <w:tcW w:w="656" w:type="dxa"/>
            <w:shd w:val="clear" w:color="auto" w:fill="auto"/>
          </w:tcPr>
          <w:p w14:paraId="56E214E9" w14:textId="3BB0CC70" w:rsidR="0049420B" w:rsidRPr="001D7930" w:rsidRDefault="0049420B" w:rsidP="000A184D">
            <w:pPr>
              <w:widowControl w:val="0"/>
              <w:suppressAutoHyphens/>
              <w:rPr>
                <w:sz w:val="20"/>
                <w:lang w:val="en-US"/>
              </w:rPr>
            </w:pPr>
            <w:r w:rsidRPr="001D7930">
              <w:rPr>
                <w:sz w:val="20"/>
                <w:lang w:val="en-US"/>
              </w:rPr>
              <w:t>1674</w:t>
            </w:r>
          </w:p>
        </w:tc>
        <w:tc>
          <w:tcPr>
            <w:tcW w:w="1049" w:type="dxa"/>
          </w:tcPr>
          <w:p w14:paraId="6F549EB3" w14:textId="0B255EB2" w:rsidR="0049420B" w:rsidRPr="001D7930" w:rsidRDefault="00B227E0" w:rsidP="00B227E0">
            <w:pPr>
              <w:widowControl w:val="0"/>
              <w:suppressAutoHyphens/>
              <w:rPr>
                <w:sz w:val="20"/>
              </w:rPr>
            </w:pPr>
            <w:r w:rsidRPr="00B227E0">
              <w:rPr>
                <w:sz w:val="20"/>
              </w:rPr>
              <w:t>Chaoming Luo</w:t>
            </w:r>
          </w:p>
        </w:tc>
        <w:tc>
          <w:tcPr>
            <w:tcW w:w="900" w:type="dxa"/>
            <w:shd w:val="clear" w:color="auto" w:fill="auto"/>
          </w:tcPr>
          <w:p w14:paraId="3A4916DF" w14:textId="3E2011B8" w:rsidR="0049420B" w:rsidRPr="001D7930" w:rsidRDefault="0049420B" w:rsidP="000A184D">
            <w:pPr>
              <w:widowControl w:val="0"/>
              <w:suppressAutoHyphens/>
              <w:jc w:val="center"/>
              <w:rPr>
                <w:sz w:val="20"/>
                <w:lang w:val="en-US"/>
              </w:rPr>
            </w:pPr>
            <w:r w:rsidRPr="001D7930">
              <w:rPr>
                <w:sz w:val="20"/>
              </w:rPr>
              <w:t>11.55.2.2</w:t>
            </w:r>
          </w:p>
        </w:tc>
        <w:tc>
          <w:tcPr>
            <w:tcW w:w="810" w:type="dxa"/>
            <w:shd w:val="clear" w:color="auto" w:fill="auto"/>
          </w:tcPr>
          <w:p w14:paraId="20FF35E4" w14:textId="7E3B2D85" w:rsidR="0049420B" w:rsidRPr="001D7930" w:rsidRDefault="0049420B" w:rsidP="000A184D">
            <w:pPr>
              <w:widowControl w:val="0"/>
              <w:suppressAutoHyphens/>
              <w:rPr>
                <w:sz w:val="20"/>
                <w:lang w:val="en-US"/>
              </w:rPr>
            </w:pPr>
            <w:r w:rsidRPr="001D7930">
              <w:rPr>
                <w:sz w:val="20"/>
              </w:rPr>
              <w:t>191.25</w:t>
            </w:r>
          </w:p>
        </w:tc>
        <w:tc>
          <w:tcPr>
            <w:tcW w:w="2219" w:type="dxa"/>
            <w:shd w:val="clear" w:color="auto" w:fill="auto"/>
          </w:tcPr>
          <w:p w14:paraId="79C32D3D" w14:textId="45EFED04" w:rsidR="0049420B" w:rsidRPr="001D7930" w:rsidRDefault="0049420B" w:rsidP="000A184D">
            <w:pPr>
              <w:widowControl w:val="0"/>
              <w:suppressAutoHyphens/>
              <w:rPr>
                <w:sz w:val="20"/>
                <w:lang w:val="en-US"/>
              </w:rPr>
            </w:pPr>
            <w:r w:rsidRPr="001D7930">
              <w:rPr>
                <w:sz w:val="20"/>
              </w:rPr>
              <w:t>It's not clear whether an existing MS (established before the SBP request) could be reused to satisfy the SBP request.</w:t>
            </w:r>
          </w:p>
        </w:tc>
        <w:tc>
          <w:tcPr>
            <w:tcW w:w="1890" w:type="dxa"/>
            <w:shd w:val="clear" w:color="auto" w:fill="auto"/>
          </w:tcPr>
          <w:p w14:paraId="4FAB6CF4" w14:textId="4E5B146A" w:rsidR="0049420B" w:rsidRPr="001D7930" w:rsidRDefault="0049420B" w:rsidP="000A184D">
            <w:pPr>
              <w:widowControl w:val="0"/>
              <w:suppressAutoHyphens/>
              <w:rPr>
                <w:sz w:val="20"/>
                <w:lang w:val="en-US"/>
              </w:rPr>
            </w:pPr>
            <w:r w:rsidRPr="001D7930">
              <w:rPr>
                <w:sz w:val="20"/>
              </w:rPr>
              <w:t>Add a paragraph to clarify: An existing MS which was established before the SBP request may be reused to satisfy the SBP request.</w:t>
            </w:r>
          </w:p>
        </w:tc>
        <w:tc>
          <w:tcPr>
            <w:tcW w:w="2520" w:type="dxa"/>
          </w:tcPr>
          <w:p w14:paraId="4BCE751B" w14:textId="3B33CBAA" w:rsidR="0049420B" w:rsidRPr="001D7930" w:rsidRDefault="0049420B" w:rsidP="000A184D">
            <w:pPr>
              <w:widowControl w:val="0"/>
              <w:suppressAutoHyphens/>
              <w:rPr>
                <w:sz w:val="20"/>
              </w:rPr>
            </w:pPr>
            <w:r>
              <w:rPr>
                <w:sz w:val="20"/>
              </w:rPr>
              <w:t>Revised. See below for proposed changes.</w:t>
            </w:r>
          </w:p>
        </w:tc>
      </w:tr>
      <w:tr w:rsidR="0049420B" w:rsidRPr="001D7930" w14:paraId="3440A8E8" w14:textId="7917A2DF" w:rsidTr="00FD04C2">
        <w:tc>
          <w:tcPr>
            <w:tcW w:w="656" w:type="dxa"/>
            <w:shd w:val="clear" w:color="auto" w:fill="auto"/>
          </w:tcPr>
          <w:p w14:paraId="3BFEEAAB" w14:textId="1AC8494B" w:rsidR="0049420B" w:rsidRPr="001D7930" w:rsidRDefault="0049420B" w:rsidP="001C17E1">
            <w:pPr>
              <w:widowControl w:val="0"/>
              <w:suppressAutoHyphens/>
              <w:rPr>
                <w:sz w:val="20"/>
                <w:lang w:val="en-US"/>
              </w:rPr>
            </w:pPr>
            <w:r w:rsidRPr="001D7930">
              <w:rPr>
                <w:sz w:val="20"/>
                <w:lang w:val="en-US"/>
              </w:rPr>
              <w:t>1795</w:t>
            </w:r>
          </w:p>
        </w:tc>
        <w:tc>
          <w:tcPr>
            <w:tcW w:w="1049" w:type="dxa"/>
          </w:tcPr>
          <w:p w14:paraId="2DF9F72F" w14:textId="0E621784" w:rsidR="0049420B" w:rsidRPr="001D7930" w:rsidRDefault="00C70567" w:rsidP="00C70567">
            <w:pPr>
              <w:widowControl w:val="0"/>
              <w:suppressAutoHyphens/>
              <w:rPr>
                <w:sz w:val="20"/>
              </w:rPr>
            </w:pPr>
            <w:r w:rsidRPr="00C70567">
              <w:rPr>
                <w:sz w:val="20"/>
              </w:rPr>
              <w:t>Anuj Batra</w:t>
            </w:r>
          </w:p>
        </w:tc>
        <w:tc>
          <w:tcPr>
            <w:tcW w:w="900" w:type="dxa"/>
            <w:shd w:val="clear" w:color="auto" w:fill="auto"/>
          </w:tcPr>
          <w:p w14:paraId="3D7D75BE" w14:textId="571DD179" w:rsidR="0049420B" w:rsidRPr="001D7930" w:rsidRDefault="0049420B" w:rsidP="001C17E1">
            <w:pPr>
              <w:widowControl w:val="0"/>
              <w:suppressAutoHyphens/>
              <w:jc w:val="center"/>
              <w:rPr>
                <w:sz w:val="20"/>
              </w:rPr>
            </w:pPr>
            <w:r w:rsidRPr="001D7930">
              <w:rPr>
                <w:sz w:val="20"/>
              </w:rPr>
              <w:t>11.55.2.2</w:t>
            </w:r>
          </w:p>
        </w:tc>
        <w:tc>
          <w:tcPr>
            <w:tcW w:w="810" w:type="dxa"/>
            <w:shd w:val="clear" w:color="auto" w:fill="auto"/>
          </w:tcPr>
          <w:p w14:paraId="111AC8C7" w14:textId="762A70EB" w:rsidR="0049420B" w:rsidRPr="001D7930" w:rsidRDefault="0049420B" w:rsidP="001C17E1">
            <w:pPr>
              <w:widowControl w:val="0"/>
              <w:suppressAutoHyphens/>
              <w:rPr>
                <w:sz w:val="20"/>
              </w:rPr>
            </w:pPr>
            <w:r w:rsidRPr="001D7930">
              <w:rPr>
                <w:sz w:val="20"/>
              </w:rPr>
              <w:t>192.26</w:t>
            </w:r>
          </w:p>
        </w:tc>
        <w:tc>
          <w:tcPr>
            <w:tcW w:w="2219" w:type="dxa"/>
            <w:shd w:val="clear" w:color="auto" w:fill="auto"/>
          </w:tcPr>
          <w:p w14:paraId="4B952A19" w14:textId="4885A72F" w:rsidR="0049420B" w:rsidRPr="001D7930" w:rsidRDefault="0049420B" w:rsidP="001C17E1">
            <w:pPr>
              <w:widowControl w:val="0"/>
              <w:suppressAutoHyphens/>
              <w:rPr>
                <w:sz w:val="20"/>
              </w:rPr>
            </w:pPr>
            <w:r w:rsidRPr="001D7930">
              <w:rPr>
                <w:sz w:val="20"/>
              </w:rPr>
              <w:t>No normative text to limit using existing measurement setup for any new SBP setup requests</w:t>
            </w:r>
          </w:p>
        </w:tc>
        <w:tc>
          <w:tcPr>
            <w:tcW w:w="1890" w:type="dxa"/>
            <w:shd w:val="clear" w:color="auto" w:fill="auto"/>
          </w:tcPr>
          <w:p w14:paraId="347CD694" w14:textId="4A6B8D84" w:rsidR="0049420B" w:rsidRPr="001D7930" w:rsidRDefault="0049420B" w:rsidP="001C17E1">
            <w:pPr>
              <w:widowControl w:val="0"/>
              <w:suppressAutoHyphens/>
              <w:rPr>
                <w:sz w:val="20"/>
              </w:rPr>
            </w:pPr>
            <w:r w:rsidRPr="001D7930">
              <w:rPr>
                <w:sz w:val="20"/>
              </w:rPr>
              <w:t>Either add normative text to indicate that for each SBP request, SBP responder shall initiate a new measurement setup with WLAN sensing responders, or remove SBP</w:t>
            </w:r>
          </w:p>
        </w:tc>
        <w:tc>
          <w:tcPr>
            <w:tcW w:w="2520" w:type="dxa"/>
          </w:tcPr>
          <w:p w14:paraId="1AD0328F" w14:textId="73BEDCA4" w:rsidR="0049420B" w:rsidRPr="001D7930" w:rsidRDefault="0049420B" w:rsidP="001C17E1">
            <w:pPr>
              <w:widowControl w:val="0"/>
              <w:suppressAutoHyphens/>
              <w:rPr>
                <w:sz w:val="20"/>
              </w:rPr>
            </w:pPr>
            <w:r>
              <w:rPr>
                <w:sz w:val="20"/>
              </w:rPr>
              <w:t>Revised. See below for proposed changes.</w:t>
            </w:r>
          </w:p>
        </w:tc>
      </w:tr>
      <w:tr w:rsidR="0049420B" w:rsidRPr="001D7930" w14:paraId="424D05A5" w14:textId="77777777" w:rsidTr="00FD04C2">
        <w:tc>
          <w:tcPr>
            <w:tcW w:w="656" w:type="dxa"/>
            <w:shd w:val="clear" w:color="auto" w:fill="auto"/>
          </w:tcPr>
          <w:p w14:paraId="5BD9F617" w14:textId="70C70EDE" w:rsidR="0049420B" w:rsidRPr="001D7930" w:rsidRDefault="0049420B" w:rsidP="005453E8">
            <w:pPr>
              <w:widowControl w:val="0"/>
              <w:suppressAutoHyphens/>
              <w:rPr>
                <w:sz w:val="20"/>
                <w:lang w:val="en-US"/>
              </w:rPr>
            </w:pPr>
            <w:r w:rsidRPr="001D7930">
              <w:rPr>
                <w:sz w:val="20"/>
              </w:rPr>
              <w:t>1933</w:t>
            </w:r>
          </w:p>
        </w:tc>
        <w:tc>
          <w:tcPr>
            <w:tcW w:w="1049" w:type="dxa"/>
          </w:tcPr>
          <w:p w14:paraId="4E26F817" w14:textId="43BE26A7" w:rsidR="0049420B" w:rsidRPr="001D7930" w:rsidRDefault="00342D17" w:rsidP="00342D17">
            <w:pPr>
              <w:widowControl w:val="0"/>
              <w:suppressAutoHyphens/>
              <w:rPr>
                <w:sz w:val="20"/>
              </w:rPr>
            </w:pPr>
            <w:r w:rsidRPr="00342D17">
              <w:rPr>
                <w:sz w:val="20"/>
              </w:rPr>
              <w:t>Daniel Borges</w:t>
            </w:r>
          </w:p>
        </w:tc>
        <w:tc>
          <w:tcPr>
            <w:tcW w:w="900" w:type="dxa"/>
            <w:shd w:val="clear" w:color="auto" w:fill="auto"/>
          </w:tcPr>
          <w:p w14:paraId="53C2AB48" w14:textId="634E4E84" w:rsidR="0049420B" w:rsidRPr="001D7930" w:rsidRDefault="0049420B" w:rsidP="005453E8">
            <w:pPr>
              <w:widowControl w:val="0"/>
              <w:suppressAutoHyphens/>
              <w:jc w:val="center"/>
              <w:rPr>
                <w:sz w:val="20"/>
              </w:rPr>
            </w:pPr>
            <w:r w:rsidRPr="001D7930">
              <w:rPr>
                <w:sz w:val="20"/>
              </w:rPr>
              <w:t>11.55.2.2</w:t>
            </w:r>
          </w:p>
        </w:tc>
        <w:tc>
          <w:tcPr>
            <w:tcW w:w="810" w:type="dxa"/>
            <w:shd w:val="clear" w:color="auto" w:fill="auto"/>
          </w:tcPr>
          <w:p w14:paraId="6E31BFEC" w14:textId="4844C1F3" w:rsidR="0049420B" w:rsidRPr="001D7930" w:rsidRDefault="0049420B" w:rsidP="005453E8">
            <w:pPr>
              <w:widowControl w:val="0"/>
              <w:suppressAutoHyphens/>
              <w:rPr>
                <w:sz w:val="20"/>
              </w:rPr>
            </w:pPr>
            <w:r w:rsidRPr="001D7930">
              <w:rPr>
                <w:sz w:val="20"/>
              </w:rPr>
              <w:t>192.5</w:t>
            </w:r>
          </w:p>
        </w:tc>
        <w:tc>
          <w:tcPr>
            <w:tcW w:w="2219" w:type="dxa"/>
            <w:shd w:val="clear" w:color="auto" w:fill="auto"/>
          </w:tcPr>
          <w:p w14:paraId="059CA79D" w14:textId="10D1713B" w:rsidR="0049420B" w:rsidRPr="001D7930" w:rsidRDefault="0049420B" w:rsidP="005453E8">
            <w:pPr>
              <w:widowControl w:val="0"/>
              <w:suppressAutoHyphens/>
              <w:rPr>
                <w:sz w:val="20"/>
              </w:rPr>
            </w:pPr>
            <w:r w:rsidRPr="001D7930">
              <w:rPr>
                <w:sz w:val="20"/>
              </w:rPr>
              <w:t>I would like see some more normative text regarding privacy concerns and issues from the responder side for the SBP Setup procedure.</w:t>
            </w:r>
          </w:p>
        </w:tc>
        <w:tc>
          <w:tcPr>
            <w:tcW w:w="1890" w:type="dxa"/>
            <w:shd w:val="clear" w:color="auto" w:fill="auto"/>
          </w:tcPr>
          <w:p w14:paraId="65D6F4A5" w14:textId="4DF191C4" w:rsidR="0049420B" w:rsidRPr="001D7930" w:rsidRDefault="0049420B" w:rsidP="005453E8">
            <w:pPr>
              <w:widowControl w:val="0"/>
              <w:suppressAutoHyphens/>
              <w:rPr>
                <w:sz w:val="20"/>
              </w:rPr>
            </w:pPr>
            <w:r w:rsidRPr="001D7930">
              <w:rPr>
                <w:sz w:val="20"/>
              </w:rPr>
              <w:t>Please add normative text which does not re-use existing measurement setups without the explicit knowledge of the sensing responder.</w:t>
            </w:r>
          </w:p>
        </w:tc>
        <w:tc>
          <w:tcPr>
            <w:tcW w:w="2520" w:type="dxa"/>
          </w:tcPr>
          <w:p w14:paraId="02744A24" w14:textId="4771E1EC" w:rsidR="0049420B" w:rsidRDefault="0049420B" w:rsidP="005453E8">
            <w:pPr>
              <w:widowControl w:val="0"/>
              <w:suppressAutoHyphens/>
              <w:rPr>
                <w:sz w:val="20"/>
              </w:rPr>
            </w:pPr>
            <w:r>
              <w:rPr>
                <w:sz w:val="20"/>
              </w:rPr>
              <w:t>Revised. See below for proposed changes.</w:t>
            </w:r>
          </w:p>
        </w:tc>
      </w:tr>
      <w:tr w:rsidR="0049420B" w:rsidRPr="001D7930" w14:paraId="7AB57A55" w14:textId="77777777" w:rsidTr="00FD04C2">
        <w:tc>
          <w:tcPr>
            <w:tcW w:w="656" w:type="dxa"/>
            <w:shd w:val="clear" w:color="auto" w:fill="auto"/>
          </w:tcPr>
          <w:p w14:paraId="4779A077" w14:textId="194E20E2" w:rsidR="0049420B" w:rsidRPr="001D7930" w:rsidRDefault="0049420B" w:rsidP="00F14D72">
            <w:pPr>
              <w:widowControl w:val="0"/>
              <w:suppressAutoHyphens/>
              <w:rPr>
                <w:sz w:val="20"/>
                <w:lang w:val="en-US"/>
              </w:rPr>
            </w:pPr>
            <w:r w:rsidRPr="001D7930">
              <w:rPr>
                <w:sz w:val="20"/>
              </w:rPr>
              <w:t>2051</w:t>
            </w:r>
          </w:p>
        </w:tc>
        <w:tc>
          <w:tcPr>
            <w:tcW w:w="1049" w:type="dxa"/>
          </w:tcPr>
          <w:p w14:paraId="1D3AA5E8" w14:textId="5E759BCA" w:rsidR="0049420B" w:rsidRPr="001D7930" w:rsidRDefault="008F7F57" w:rsidP="008F7F57">
            <w:pPr>
              <w:widowControl w:val="0"/>
              <w:suppressAutoHyphens/>
              <w:rPr>
                <w:sz w:val="20"/>
              </w:rPr>
            </w:pPr>
            <w:proofErr w:type="spellStart"/>
            <w:r w:rsidRPr="008F7F57">
              <w:rPr>
                <w:sz w:val="20"/>
              </w:rPr>
              <w:t>Debashis</w:t>
            </w:r>
            <w:proofErr w:type="spellEnd"/>
            <w:r w:rsidRPr="008F7F57">
              <w:rPr>
                <w:sz w:val="20"/>
              </w:rPr>
              <w:t xml:space="preserve"> Dash</w:t>
            </w:r>
          </w:p>
        </w:tc>
        <w:tc>
          <w:tcPr>
            <w:tcW w:w="900" w:type="dxa"/>
            <w:shd w:val="clear" w:color="auto" w:fill="auto"/>
          </w:tcPr>
          <w:p w14:paraId="200DE1E1" w14:textId="1C08EB61" w:rsidR="0049420B" w:rsidRPr="001D7930" w:rsidRDefault="0049420B" w:rsidP="00F14D72">
            <w:pPr>
              <w:widowControl w:val="0"/>
              <w:suppressAutoHyphens/>
              <w:jc w:val="center"/>
              <w:rPr>
                <w:sz w:val="20"/>
              </w:rPr>
            </w:pPr>
            <w:r w:rsidRPr="001D7930">
              <w:rPr>
                <w:sz w:val="20"/>
              </w:rPr>
              <w:t>11.55.2.2</w:t>
            </w:r>
          </w:p>
        </w:tc>
        <w:tc>
          <w:tcPr>
            <w:tcW w:w="810" w:type="dxa"/>
            <w:shd w:val="clear" w:color="auto" w:fill="auto"/>
          </w:tcPr>
          <w:p w14:paraId="51260574" w14:textId="77777777" w:rsidR="0049420B" w:rsidRPr="001D7930" w:rsidRDefault="0049420B" w:rsidP="00F14D72">
            <w:pPr>
              <w:widowControl w:val="0"/>
              <w:suppressAutoHyphens/>
              <w:rPr>
                <w:sz w:val="20"/>
              </w:rPr>
            </w:pPr>
            <w:r w:rsidRPr="001D7930">
              <w:rPr>
                <w:sz w:val="20"/>
              </w:rPr>
              <w:t>192.26</w:t>
            </w:r>
          </w:p>
          <w:p w14:paraId="4F9F36C0" w14:textId="77777777" w:rsidR="0049420B" w:rsidRPr="001D7930" w:rsidRDefault="0049420B" w:rsidP="00F14D72">
            <w:pPr>
              <w:widowControl w:val="0"/>
              <w:suppressAutoHyphens/>
              <w:rPr>
                <w:sz w:val="20"/>
              </w:rPr>
            </w:pPr>
          </w:p>
        </w:tc>
        <w:tc>
          <w:tcPr>
            <w:tcW w:w="2219" w:type="dxa"/>
            <w:shd w:val="clear" w:color="auto" w:fill="auto"/>
          </w:tcPr>
          <w:p w14:paraId="2A043E91" w14:textId="3AAC142C" w:rsidR="0049420B" w:rsidRPr="001D7930" w:rsidRDefault="0049420B" w:rsidP="00F14D72">
            <w:pPr>
              <w:widowControl w:val="0"/>
              <w:suppressAutoHyphens/>
              <w:rPr>
                <w:sz w:val="20"/>
              </w:rPr>
            </w:pPr>
            <w:r w:rsidRPr="001D7930">
              <w:rPr>
                <w:sz w:val="20"/>
              </w:rPr>
              <w:t xml:space="preserve">There is no normative text to limit the use of an existing measurement setups for any new SBP setup requests. The privacy requirement for a SBP setup cannot be assumed to be same as that of a WLAN sensing setup, since a SBP can be requested by any associated non-AP STA or un-associated non-AP STA. Current text doesn't dis-allow the use of any existing session to be used by a new SBP request that </w:t>
            </w:r>
            <w:proofErr w:type="spellStart"/>
            <w:r w:rsidRPr="001D7930">
              <w:rPr>
                <w:sz w:val="20"/>
              </w:rPr>
              <w:t>statisfies</w:t>
            </w:r>
            <w:proofErr w:type="spellEnd"/>
            <w:r w:rsidRPr="001D7930">
              <w:rPr>
                <w:sz w:val="20"/>
              </w:rPr>
              <w:t xml:space="preserve"> the sensing parameters.</w:t>
            </w:r>
          </w:p>
        </w:tc>
        <w:tc>
          <w:tcPr>
            <w:tcW w:w="1890" w:type="dxa"/>
            <w:shd w:val="clear" w:color="auto" w:fill="auto"/>
          </w:tcPr>
          <w:p w14:paraId="7FE0F9D8" w14:textId="768EBE70" w:rsidR="0049420B" w:rsidRPr="001D7930" w:rsidRDefault="0049420B" w:rsidP="00F14D72">
            <w:pPr>
              <w:widowControl w:val="0"/>
              <w:suppressAutoHyphens/>
              <w:rPr>
                <w:sz w:val="20"/>
              </w:rPr>
            </w:pPr>
            <w:r w:rsidRPr="001D7930">
              <w:rPr>
                <w:sz w:val="20"/>
              </w:rPr>
              <w:t>Please add normative text to indicate that the SBP responder shall initiate a new measurement setup with WLAN sensing responders for each SBP request.</w:t>
            </w:r>
            <w:r w:rsidRPr="001D7930">
              <w:rPr>
                <w:sz w:val="20"/>
              </w:rPr>
              <w:br/>
            </w:r>
            <w:r w:rsidRPr="001D7930">
              <w:rPr>
                <w:sz w:val="20"/>
              </w:rPr>
              <w:br/>
              <w:t xml:space="preserve">Include a bit during the session setup for the sensing responder to indicate if the sensing session(s) can be shared with any SBP initiator. If the sensing responder has indicated that their sessions can be shared with any SBP </w:t>
            </w:r>
            <w:r w:rsidRPr="001D7930">
              <w:rPr>
                <w:sz w:val="20"/>
              </w:rPr>
              <w:lastRenderedPageBreak/>
              <w:t>initiator, AP may skip a new measurement setup.</w:t>
            </w:r>
            <w:r w:rsidRPr="001D7930">
              <w:rPr>
                <w:sz w:val="20"/>
              </w:rPr>
              <w:br/>
            </w:r>
            <w:r w:rsidRPr="001D7930">
              <w:rPr>
                <w:sz w:val="20"/>
              </w:rPr>
              <w:br/>
              <w:t xml:space="preserve">Please add a note that once the measurement setup is </w:t>
            </w:r>
            <w:proofErr w:type="spellStart"/>
            <w:r w:rsidRPr="001D7930">
              <w:rPr>
                <w:sz w:val="20"/>
              </w:rPr>
              <w:t>sucessfully</w:t>
            </w:r>
            <w:proofErr w:type="spellEnd"/>
            <w:r w:rsidRPr="001D7930">
              <w:rPr>
                <w:sz w:val="20"/>
              </w:rPr>
              <w:t xml:space="preserve"> completed, the sensing PPDUs can be shared if there are multiple measurement setups between the same sensing initiator and sensing responder with common parameters.</w:t>
            </w:r>
          </w:p>
        </w:tc>
        <w:tc>
          <w:tcPr>
            <w:tcW w:w="2520" w:type="dxa"/>
          </w:tcPr>
          <w:p w14:paraId="74DDC402" w14:textId="5D2CC273" w:rsidR="0049420B" w:rsidRDefault="0049420B" w:rsidP="00F14D72">
            <w:pPr>
              <w:widowControl w:val="0"/>
              <w:suppressAutoHyphens/>
              <w:rPr>
                <w:sz w:val="20"/>
              </w:rPr>
            </w:pPr>
            <w:r>
              <w:rPr>
                <w:sz w:val="20"/>
              </w:rPr>
              <w:lastRenderedPageBreak/>
              <w:t>Revised. See below for proposed changes.</w:t>
            </w:r>
          </w:p>
        </w:tc>
      </w:tr>
    </w:tbl>
    <w:p w14:paraId="0D84034E" w14:textId="55BEA7CD" w:rsidR="009358C3" w:rsidRDefault="009358C3" w:rsidP="009358C3">
      <w:pPr>
        <w:rPr>
          <w:szCs w:val="22"/>
          <w:lang w:val="en-US"/>
        </w:rPr>
      </w:pPr>
    </w:p>
    <w:p w14:paraId="1C7F8827" w14:textId="1D99E5BA" w:rsidR="009358C3" w:rsidRPr="00FD04C2" w:rsidRDefault="00FD04C2" w:rsidP="009358C3">
      <w:pPr>
        <w:rPr>
          <w:b/>
          <w:bCs/>
          <w:szCs w:val="22"/>
          <w:lang w:val="en-US"/>
        </w:rPr>
      </w:pPr>
      <w:r>
        <w:rPr>
          <w:b/>
          <w:bCs/>
          <w:szCs w:val="22"/>
          <w:lang w:val="en-US"/>
        </w:rPr>
        <w:t>Discussion:</w:t>
      </w:r>
    </w:p>
    <w:p w14:paraId="037DE06F" w14:textId="6ECB6560" w:rsidR="001D7930" w:rsidRDefault="001D7930" w:rsidP="006B36D7">
      <w:pPr>
        <w:rPr>
          <w:szCs w:val="22"/>
          <w:lang w:val="en-US"/>
        </w:rPr>
      </w:pPr>
      <w:r>
        <w:rPr>
          <w:szCs w:val="22"/>
          <w:lang w:val="en-US"/>
        </w:rPr>
        <w:t xml:space="preserve">All these CIDs are talking about SBP on one or more of the following </w:t>
      </w:r>
      <w:r w:rsidR="00FD04C2">
        <w:rPr>
          <w:szCs w:val="22"/>
          <w:lang w:val="en-US"/>
        </w:rPr>
        <w:t>categories</w:t>
      </w:r>
      <w:r>
        <w:rPr>
          <w:szCs w:val="22"/>
          <w:lang w:val="en-US"/>
        </w:rPr>
        <w:t>.</w:t>
      </w:r>
    </w:p>
    <w:p w14:paraId="25847AFA" w14:textId="17CBDC5F" w:rsidR="005A3992" w:rsidRDefault="005A3992" w:rsidP="0068183C">
      <w:pPr>
        <w:pStyle w:val="ListParagraph"/>
        <w:numPr>
          <w:ilvl w:val="0"/>
          <w:numId w:val="33"/>
        </w:numPr>
        <w:rPr>
          <w:szCs w:val="22"/>
          <w:lang w:val="en-US"/>
        </w:rPr>
      </w:pPr>
      <w:r>
        <w:rPr>
          <w:szCs w:val="22"/>
          <w:lang w:val="en-US"/>
        </w:rPr>
        <w:t>Problem statement:</w:t>
      </w:r>
    </w:p>
    <w:p w14:paraId="027A4FBB" w14:textId="5710406D" w:rsidR="001D7930" w:rsidRDefault="001D7930" w:rsidP="005A3992">
      <w:pPr>
        <w:pStyle w:val="ListParagraph"/>
        <w:rPr>
          <w:szCs w:val="22"/>
          <w:lang w:val="en-US"/>
        </w:rPr>
      </w:pPr>
      <w:r w:rsidRPr="001D7930">
        <w:rPr>
          <w:szCs w:val="22"/>
          <w:lang w:val="en-US"/>
        </w:rPr>
        <w:t xml:space="preserve">From the non-AP STA’s point of view, there is no differentiation between a sensing measurement setup used for a conventional sensing procedure and a sensing measurement setup triggered by an SBP procedure. In other words, if a non-AP STA receives a Sensing Measurement Setup Request frame from an AP, it </w:t>
      </w:r>
      <w:r>
        <w:rPr>
          <w:szCs w:val="22"/>
          <w:lang w:val="en-US"/>
        </w:rPr>
        <w:t>cannot</w:t>
      </w:r>
      <w:r w:rsidRPr="001D7930">
        <w:rPr>
          <w:szCs w:val="22"/>
          <w:lang w:val="en-US"/>
        </w:rPr>
        <w:t xml:space="preserve"> identify whether this request comes from the AP itself, or from another non-AP STA through the SBP procedure. </w:t>
      </w:r>
      <w:r>
        <w:rPr>
          <w:szCs w:val="22"/>
          <w:lang w:val="en-US"/>
        </w:rPr>
        <w:t>As a result, this lack of information to identify the actual initiator of the sensing measurement setup may lead to some security concerns.</w:t>
      </w:r>
    </w:p>
    <w:p w14:paraId="3C016EF9" w14:textId="77777777" w:rsidR="005A3992" w:rsidRDefault="005A3992" w:rsidP="005A3992">
      <w:pPr>
        <w:pStyle w:val="ListParagraph"/>
        <w:rPr>
          <w:szCs w:val="22"/>
          <w:lang w:val="en-US"/>
        </w:rPr>
      </w:pPr>
    </w:p>
    <w:p w14:paraId="79782E82" w14:textId="2A5A2D50" w:rsidR="005A3992" w:rsidRDefault="005A3992" w:rsidP="005A3992">
      <w:pPr>
        <w:pStyle w:val="ListParagraph"/>
        <w:rPr>
          <w:szCs w:val="22"/>
          <w:lang w:val="en-US"/>
        </w:rPr>
      </w:pPr>
      <w:r>
        <w:rPr>
          <w:szCs w:val="22"/>
          <w:lang w:val="en-US"/>
        </w:rPr>
        <w:t xml:space="preserve">Discussion: </w:t>
      </w:r>
    </w:p>
    <w:p w14:paraId="2EE719BD" w14:textId="4605A7F4" w:rsidR="005A3992" w:rsidRDefault="005A3992" w:rsidP="005A3992">
      <w:pPr>
        <w:pStyle w:val="ListParagraph"/>
        <w:rPr>
          <w:szCs w:val="22"/>
          <w:lang w:val="en-US"/>
        </w:rPr>
      </w:pPr>
      <w:r>
        <w:rPr>
          <w:szCs w:val="22"/>
          <w:lang w:val="en-US"/>
        </w:rPr>
        <w:t xml:space="preserve">It is indeed true that currently we do not have a signaling to differentiate a sensing measurement setup used for </w:t>
      </w:r>
      <w:r w:rsidR="008A2E48">
        <w:rPr>
          <w:szCs w:val="22"/>
          <w:lang w:val="en-US"/>
        </w:rPr>
        <w:t xml:space="preserve">a </w:t>
      </w:r>
      <w:r>
        <w:rPr>
          <w:szCs w:val="22"/>
          <w:lang w:val="en-US"/>
        </w:rPr>
        <w:t xml:space="preserve">sensing procedure </w:t>
      </w:r>
      <w:r w:rsidR="008A2E48">
        <w:rPr>
          <w:szCs w:val="22"/>
          <w:lang w:val="en-US"/>
        </w:rPr>
        <w:t xml:space="preserve">triggered by the AP itself between a sensing measurement setup used for satisfying an SBP request from a non-AP STA. The easiest way to differentiate it is to add </w:t>
      </w:r>
      <w:r w:rsidR="003E1DF5">
        <w:rPr>
          <w:szCs w:val="22"/>
          <w:lang w:val="en-US"/>
        </w:rPr>
        <w:t>some signaling</w:t>
      </w:r>
      <w:r w:rsidR="008A2E48">
        <w:rPr>
          <w:szCs w:val="22"/>
          <w:lang w:val="en-US"/>
        </w:rPr>
        <w:t xml:space="preserve"> in the Sensing Measurement </w:t>
      </w:r>
      <w:r w:rsidR="00283AA4">
        <w:rPr>
          <w:szCs w:val="22"/>
          <w:lang w:val="en-US"/>
        </w:rPr>
        <w:t>Setup Request frame to identify whether the corresponding sensing measurement setup is used to satisfy an SBP procedure.</w:t>
      </w:r>
      <w:r w:rsidR="00461D7E">
        <w:rPr>
          <w:szCs w:val="22"/>
          <w:lang w:val="en-US"/>
        </w:rPr>
        <w:t xml:space="preserve"> In this case, when a non-AP STA receives a Sensing Measurement Setup Request frame from an AP, it will be able to know whether this is for the sensing procedure triggered by the AP itself, or for an SBP procedure triggered by another non-AP STA, which it can then determine whether to accept the request or not.</w:t>
      </w:r>
    </w:p>
    <w:p w14:paraId="0875B450" w14:textId="77777777" w:rsidR="005A3992" w:rsidRDefault="005A3992" w:rsidP="005A3992">
      <w:pPr>
        <w:pStyle w:val="ListParagraph"/>
        <w:rPr>
          <w:szCs w:val="22"/>
          <w:lang w:val="en-US"/>
        </w:rPr>
      </w:pPr>
    </w:p>
    <w:p w14:paraId="2D0AE7F6" w14:textId="2693093A" w:rsidR="005A3992" w:rsidRDefault="005A3992" w:rsidP="005A3992">
      <w:pPr>
        <w:pStyle w:val="ListParagraph"/>
        <w:rPr>
          <w:szCs w:val="22"/>
          <w:lang w:val="en-US"/>
        </w:rPr>
      </w:pPr>
      <w:r>
        <w:rPr>
          <w:szCs w:val="22"/>
          <w:lang w:val="en-US"/>
        </w:rPr>
        <w:t>Proposed resolutions:</w:t>
      </w:r>
    </w:p>
    <w:p w14:paraId="15DBF586" w14:textId="6B597C6B" w:rsidR="00CD02DA" w:rsidRDefault="003E1DF5" w:rsidP="005A3992">
      <w:pPr>
        <w:pStyle w:val="ListParagraph"/>
        <w:rPr>
          <w:szCs w:val="22"/>
          <w:lang w:val="en-US"/>
        </w:rPr>
      </w:pPr>
      <w:r>
        <w:rPr>
          <w:szCs w:val="22"/>
          <w:lang w:val="en-US"/>
        </w:rPr>
        <w:t>See below.</w:t>
      </w:r>
    </w:p>
    <w:p w14:paraId="1D621E09" w14:textId="77777777" w:rsidR="003E1DF5" w:rsidRDefault="003E1DF5" w:rsidP="005A3992">
      <w:pPr>
        <w:pStyle w:val="ListParagraph"/>
        <w:rPr>
          <w:szCs w:val="22"/>
          <w:lang w:val="en-US"/>
        </w:rPr>
      </w:pPr>
    </w:p>
    <w:p w14:paraId="11900374" w14:textId="77777777" w:rsidR="006400AE" w:rsidRPr="001D7930" w:rsidRDefault="006400AE" w:rsidP="006400AE">
      <w:pPr>
        <w:pStyle w:val="ListParagraph"/>
        <w:rPr>
          <w:szCs w:val="22"/>
          <w:lang w:val="en-US"/>
        </w:rPr>
      </w:pPr>
    </w:p>
    <w:p w14:paraId="108159DA" w14:textId="31097AF0" w:rsidR="003A49F0" w:rsidRDefault="003A49F0" w:rsidP="001D7930">
      <w:pPr>
        <w:pStyle w:val="ListParagraph"/>
        <w:numPr>
          <w:ilvl w:val="0"/>
          <w:numId w:val="33"/>
        </w:numPr>
        <w:rPr>
          <w:szCs w:val="22"/>
          <w:lang w:val="en-US"/>
        </w:rPr>
      </w:pPr>
      <w:r>
        <w:rPr>
          <w:szCs w:val="22"/>
          <w:lang w:val="en-US"/>
        </w:rPr>
        <w:t>Problem statement:</w:t>
      </w:r>
    </w:p>
    <w:p w14:paraId="5098756D" w14:textId="1BB52CB8" w:rsidR="001D7930" w:rsidRDefault="003A49F0" w:rsidP="003A49F0">
      <w:pPr>
        <w:pStyle w:val="ListParagraph"/>
        <w:rPr>
          <w:szCs w:val="22"/>
          <w:lang w:val="en-US"/>
        </w:rPr>
      </w:pPr>
      <w:r>
        <w:rPr>
          <w:szCs w:val="22"/>
          <w:lang w:val="en-US"/>
        </w:rPr>
        <w:t>If the sensing measurement setup is used to satisfy an SBP procedure, the non-AP STAs chosen as sensing responders cannot identify who is the SBP initiator that triggered the AP to initiate such a sensing measurement setup. Several commenters think we should enable these non-AP STAs to understand the identity of the SBP initiator so that they have more information to decide whether to accept the sensing measurement setup request.</w:t>
      </w:r>
    </w:p>
    <w:p w14:paraId="7C14FBE8" w14:textId="77777777" w:rsidR="003A49F0" w:rsidRDefault="003A49F0" w:rsidP="003A49F0">
      <w:pPr>
        <w:pStyle w:val="ListParagraph"/>
        <w:rPr>
          <w:szCs w:val="22"/>
          <w:lang w:val="en-US"/>
        </w:rPr>
      </w:pPr>
    </w:p>
    <w:p w14:paraId="3F5A04D0" w14:textId="08488ECD" w:rsidR="003A49F0" w:rsidRDefault="003A49F0" w:rsidP="003A49F0">
      <w:pPr>
        <w:pStyle w:val="ListParagraph"/>
        <w:rPr>
          <w:szCs w:val="22"/>
          <w:lang w:val="en-US"/>
        </w:rPr>
      </w:pPr>
      <w:r>
        <w:rPr>
          <w:szCs w:val="22"/>
          <w:lang w:val="en-US"/>
        </w:rPr>
        <w:t>Discussion:</w:t>
      </w:r>
    </w:p>
    <w:p w14:paraId="6DB54F52" w14:textId="3C7CB986" w:rsidR="003A49F0" w:rsidRDefault="003A49F0" w:rsidP="003A49F0">
      <w:pPr>
        <w:pStyle w:val="ListParagraph"/>
        <w:rPr>
          <w:szCs w:val="22"/>
          <w:lang w:val="en-US"/>
        </w:rPr>
      </w:pPr>
      <w:r>
        <w:rPr>
          <w:szCs w:val="22"/>
          <w:lang w:val="en-US"/>
        </w:rPr>
        <w:t xml:space="preserve">In an SBP procedure, </w:t>
      </w:r>
      <w:r w:rsidR="00162CC6">
        <w:rPr>
          <w:szCs w:val="22"/>
          <w:lang w:val="en-US"/>
        </w:rPr>
        <w:t>even if the SBP initiator does not know any of the sensing responders in the sensing procedure triggered by the SBP procedure, it</w:t>
      </w:r>
      <w:r>
        <w:rPr>
          <w:szCs w:val="22"/>
          <w:lang w:val="en-US"/>
        </w:rPr>
        <w:t xml:space="preserve"> is able to understand the AID/USID of each sensing responder </w:t>
      </w:r>
      <w:r w:rsidR="004418F0">
        <w:rPr>
          <w:szCs w:val="22"/>
          <w:lang w:val="en-US"/>
        </w:rPr>
        <w:t xml:space="preserve">in the SBP Report frame. </w:t>
      </w:r>
      <w:r w:rsidR="00162CC6">
        <w:rPr>
          <w:szCs w:val="22"/>
          <w:lang w:val="en-US"/>
        </w:rPr>
        <w:t xml:space="preserve">In the meanwhile, it is true that currently a sensing </w:t>
      </w:r>
      <w:r w:rsidR="00162CC6">
        <w:rPr>
          <w:szCs w:val="22"/>
          <w:lang w:val="en-US"/>
        </w:rPr>
        <w:lastRenderedPageBreak/>
        <w:t>responder does not know the identifier of the SBP initiator if it receives a sensing measurement setup request from an AP triggered by an SBP procedure.</w:t>
      </w:r>
    </w:p>
    <w:p w14:paraId="7063D437" w14:textId="558363FE" w:rsidR="00162CC6" w:rsidRDefault="00162CC6" w:rsidP="003A49F0">
      <w:pPr>
        <w:pStyle w:val="ListParagraph"/>
        <w:rPr>
          <w:szCs w:val="22"/>
          <w:lang w:val="en-US"/>
        </w:rPr>
      </w:pPr>
      <w:r>
        <w:rPr>
          <w:szCs w:val="22"/>
          <w:lang w:val="en-US"/>
        </w:rPr>
        <w:t xml:space="preserve">Therefore, a reasonable method is to also include the AID/USID of the SBP initiator in the </w:t>
      </w:r>
      <w:proofErr w:type="spellStart"/>
      <w:r>
        <w:rPr>
          <w:szCs w:val="22"/>
          <w:lang w:val="en-US"/>
        </w:rPr>
        <w:t>Senisng</w:t>
      </w:r>
      <w:proofErr w:type="spellEnd"/>
      <w:r>
        <w:rPr>
          <w:szCs w:val="22"/>
          <w:lang w:val="en-US"/>
        </w:rPr>
        <w:t xml:space="preserve"> Measurement Setup Request frame if it </w:t>
      </w:r>
      <w:r w:rsidR="00BB2EBA">
        <w:rPr>
          <w:szCs w:val="22"/>
          <w:lang w:val="en-US"/>
        </w:rPr>
        <w:t xml:space="preserve">is used to satisfy an SBP procedure. </w:t>
      </w:r>
    </w:p>
    <w:p w14:paraId="6E7D2867" w14:textId="77777777" w:rsidR="009701E3" w:rsidRDefault="009701E3" w:rsidP="003A49F0">
      <w:pPr>
        <w:pStyle w:val="ListParagraph"/>
        <w:rPr>
          <w:szCs w:val="22"/>
          <w:lang w:val="en-US"/>
        </w:rPr>
      </w:pPr>
    </w:p>
    <w:p w14:paraId="74AD9866" w14:textId="22309C3F" w:rsidR="00BB2EBA" w:rsidRDefault="00BB2EBA" w:rsidP="00BB2EBA">
      <w:pPr>
        <w:pStyle w:val="ListParagraph"/>
        <w:rPr>
          <w:szCs w:val="22"/>
          <w:lang w:val="en-US"/>
        </w:rPr>
      </w:pPr>
      <w:r>
        <w:rPr>
          <w:szCs w:val="22"/>
          <w:lang w:val="en-US"/>
        </w:rPr>
        <w:t>Proposed resolutions:</w:t>
      </w:r>
    </w:p>
    <w:p w14:paraId="6095FA3B" w14:textId="292E496D" w:rsidR="00BB2EBA" w:rsidRDefault="00A15BE0" w:rsidP="009701E3">
      <w:pPr>
        <w:pStyle w:val="ListParagraph"/>
        <w:numPr>
          <w:ilvl w:val="0"/>
          <w:numId w:val="35"/>
        </w:numPr>
        <w:rPr>
          <w:szCs w:val="22"/>
          <w:lang w:val="en-US"/>
        </w:rPr>
      </w:pPr>
      <w:r>
        <w:rPr>
          <w:szCs w:val="22"/>
          <w:lang w:val="en-US"/>
        </w:rPr>
        <w:t xml:space="preserve">Define a new </w:t>
      </w:r>
      <w:proofErr w:type="spellStart"/>
      <w:r>
        <w:rPr>
          <w:szCs w:val="22"/>
          <w:lang w:val="en-US"/>
        </w:rPr>
        <w:t>subelement</w:t>
      </w:r>
      <w:proofErr w:type="spellEnd"/>
      <w:r>
        <w:rPr>
          <w:szCs w:val="22"/>
          <w:lang w:val="en-US"/>
        </w:rPr>
        <w:t xml:space="preserve"> “SBP Specific </w:t>
      </w:r>
      <w:proofErr w:type="spellStart"/>
      <w:r>
        <w:rPr>
          <w:szCs w:val="22"/>
          <w:lang w:val="en-US"/>
        </w:rPr>
        <w:t>subelement</w:t>
      </w:r>
      <w:proofErr w:type="spellEnd"/>
      <w:r>
        <w:rPr>
          <w:szCs w:val="22"/>
          <w:lang w:val="en-US"/>
        </w:rPr>
        <w:t xml:space="preserve">” for Sensing Parameters in Table 9-401r. If </w:t>
      </w:r>
      <w:r w:rsidR="00DB7493">
        <w:rPr>
          <w:szCs w:val="22"/>
          <w:lang w:val="en-US"/>
        </w:rPr>
        <w:t xml:space="preserve">the sensing measurement setup is for an </w:t>
      </w:r>
      <w:r w:rsidR="0059029C" w:rsidRPr="00A15BE0">
        <w:rPr>
          <w:szCs w:val="22"/>
          <w:lang w:val="en-US"/>
        </w:rPr>
        <w:t>SBP Procedure</w:t>
      </w:r>
      <w:r w:rsidR="00557922" w:rsidRPr="00A15BE0">
        <w:rPr>
          <w:szCs w:val="22"/>
          <w:lang w:val="en-US"/>
        </w:rPr>
        <w:t xml:space="preserve">, </w:t>
      </w:r>
      <w:r>
        <w:rPr>
          <w:szCs w:val="22"/>
          <w:lang w:val="en-US"/>
        </w:rPr>
        <w:t xml:space="preserve">this </w:t>
      </w:r>
      <w:proofErr w:type="spellStart"/>
      <w:r>
        <w:rPr>
          <w:szCs w:val="22"/>
          <w:lang w:val="en-US"/>
        </w:rPr>
        <w:t>subelement</w:t>
      </w:r>
      <w:proofErr w:type="spellEnd"/>
      <w:r>
        <w:rPr>
          <w:szCs w:val="22"/>
          <w:lang w:val="en-US"/>
        </w:rPr>
        <w:t xml:space="preserve"> is also included in the Sensing </w:t>
      </w:r>
      <w:proofErr w:type="spellStart"/>
      <w:r>
        <w:rPr>
          <w:szCs w:val="22"/>
          <w:lang w:val="en-US"/>
        </w:rPr>
        <w:t>subelements</w:t>
      </w:r>
      <w:proofErr w:type="spellEnd"/>
      <w:r>
        <w:rPr>
          <w:szCs w:val="22"/>
          <w:lang w:val="en-US"/>
        </w:rPr>
        <w:t xml:space="preserve"> field within the Sensing Measurement Parameters element. We then define one field “SBP Initiator AID12/USID12” in the SBP Specific </w:t>
      </w:r>
      <w:proofErr w:type="spellStart"/>
      <w:r>
        <w:rPr>
          <w:szCs w:val="22"/>
          <w:lang w:val="en-US"/>
        </w:rPr>
        <w:t>subelement</w:t>
      </w:r>
      <w:proofErr w:type="spellEnd"/>
      <w:r>
        <w:rPr>
          <w:szCs w:val="22"/>
          <w:lang w:val="en-US"/>
        </w:rPr>
        <w:t xml:space="preserve"> to include the AID12/USID12 of the SBP initiator.</w:t>
      </w:r>
    </w:p>
    <w:p w14:paraId="53D80994" w14:textId="484E57A3" w:rsidR="009701E3" w:rsidRPr="00A15BE0" w:rsidRDefault="009701E3" w:rsidP="009701E3">
      <w:pPr>
        <w:pStyle w:val="ListParagraph"/>
        <w:numPr>
          <w:ilvl w:val="0"/>
          <w:numId w:val="35"/>
        </w:numPr>
        <w:rPr>
          <w:szCs w:val="22"/>
          <w:lang w:val="en-US"/>
        </w:rPr>
      </w:pPr>
      <w:r>
        <w:rPr>
          <w:szCs w:val="22"/>
          <w:lang w:val="en-US"/>
        </w:rPr>
        <w:t xml:space="preserve">The presence of the SBP Specific </w:t>
      </w:r>
      <w:proofErr w:type="spellStart"/>
      <w:r>
        <w:rPr>
          <w:szCs w:val="22"/>
          <w:lang w:val="en-US"/>
        </w:rPr>
        <w:t>subelement</w:t>
      </w:r>
      <w:proofErr w:type="spellEnd"/>
      <w:r>
        <w:rPr>
          <w:szCs w:val="22"/>
          <w:lang w:val="en-US"/>
        </w:rPr>
        <w:t xml:space="preserve"> also serves as the differentiation signaling for the previous problem. That is, if the SBP Specific </w:t>
      </w:r>
      <w:proofErr w:type="spellStart"/>
      <w:r>
        <w:rPr>
          <w:szCs w:val="22"/>
          <w:lang w:val="en-US"/>
        </w:rPr>
        <w:t>subelement</w:t>
      </w:r>
      <w:proofErr w:type="spellEnd"/>
      <w:r>
        <w:rPr>
          <w:szCs w:val="22"/>
          <w:lang w:val="en-US"/>
        </w:rPr>
        <w:t xml:space="preserve"> is present in the Sensing Measurement Parameters element, the corresponding sensing measurement setup is used for satisfying an SBP procedure.</w:t>
      </w:r>
    </w:p>
    <w:p w14:paraId="2170EA45" w14:textId="77777777" w:rsidR="003A49F0" w:rsidRDefault="003A49F0" w:rsidP="003A49F0">
      <w:pPr>
        <w:pStyle w:val="ListParagraph"/>
        <w:rPr>
          <w:szCs w:val="22"/>
          <w:lang w:val="en-US"/>
        </w:rPr>
      </w:pPr>
    </w:p>
    <w:p w14:paraId="0AD4A7F2" w14:textId="1F718769" w:rsidR="007E59EB" w:rsidRDefault="007E59EB" w:rsidP="007E59EB">
      <w:pPr>
        <w:pStyle w:val="ListParagraph"/>
        <w:jc w:val="center"/>
        <w:rPr>
          <w:szCs w:val="22"/>
          <w:lang w:val="en-US"/>
        </w:rPr>
      </w:pPr>
      <w:r>
        <w:rPr>
          <w:szCs w:val="22"/>
          <w:lang w:val="en-US"/>
        </w:rPr>
        <w:t xml:space="preserve">Table 9-401r: Sensing </w:t>
      </w:r>
      <w:proofErr w:type="spellStart"/>
      <w:r>
        <w:rPr>
          <w:szCs w:val="22"/>
          <w:lang w:val="en-US"/>
        </w:rPr>
        <w:t>subelement</w:t>
      </w:r>
      <w:proofErr w:type="spellEnd"/>
      <w:r>
        <w:rPr>
          <w:szCs w:val="22"/>
          <w:lang w:val="en-US"/>
        </w:rPr>
        <w:t xml:space="preserve"> IDs for Sensing Parameters</w:t>
      </w:r>
    </w:p>
    <w:tbl>
      <w:tblPr>
        <w:tblStyle w:val="TableGrid"/>
        <w:tblW w:w="0" w:type="auto"/>
        <w:tblInd w:w="720" w:type="dxa"/>
        <w:tblLook w:val="04A0" w:firstRow="1" w:lastRow="0" w:firstColumn="1" w:lastColumn="0" w:noHBand="0" w:noVBand="1"/>
      </w:tblPr>
      <w:tblGrid>
        <w:gridCol w:w="2883"/>
        <w:gridCol w:w="2878"/>
        <w:gridCol w:w="2869"/>
      </w:tblGrid>
      <w:tr w:rsidR="000B4C51" w14:paraId="3D23E726" w14:textId="77777777" w:rsidTr="000B4C51">
        <w:tc>
          <w:tcPr>
            <w:tcW w:w="3116" w:type="dxa"/>
          </w:tcPr>
          <w:p w14:paraId="194467FC" w14:textId="7DD02214" w:rsidR="000B4C51" w:rsidRDefault="000B4C51" w:rsidP="003A49F0">
            <w:pPr>
              <w:pStyle w:val="ListParagraph"/>
              <w:ind w:left="0"/>
              <w:rPr>
                <w:szCs w:val="22"/>
                <w:lang w:val="en-US"/>
              </w:rPr>
            </w:pPr>
            <w:proofErr w:type="spellStart"/>
            <w:r>
              <w:rPr>
                <w:szCs w:val="22"/>
                <w:lang w:val="en-US"/>
              </w:rPr>
              <w:t>Subelement</w:t>
            </w:r>
            <w:proofErr w:type="spellEnd"/>
            <w:r>
              <w:rPr>
                <w:szCs w:val="22"/>
                <w:lang w:val="en-US"/>
              </w:rPr>
              <w:t xml:space="preserve"> ID</w:t>
            </w:r>
          </w:p>
        </w:tc>
        <w:tc>
          <w:tcPr>
            <w:tcW w:w="3117" w:type="dxa"/>
          </w:tcPr>
          <w:p w14:paraId="7055ED56" w14:textId="24158C81" w:rsidR="000B4C51" w:rsidRDefault="000B4C51" w:rsidP="003A49F0">
            <w:pPr>
              <w:pStyle w:val="ListParagraph"/>
              <w:ind w:left="0"/>
              <w:rPr>
                <w:szCs w:val="22"/>
                <w:lang w:val="en-US"/>
              </w:rPr>
            </w:pPr>
            <w:r>
              <w:rPr>
                <w:szCs w:val="22"/>
                <w:lang w:val="en-US"/>
              </w:rPr>
              <w:t>Name</w:t>
            </w:r>
          </w:p>
        </w:tc>
        <w:tc>
          <w:tcPr>
            <w:tcW w:w="3117" w:type="dxa"/>
          </w:tcPr>
          <w:p w14:paraId="2B7EDE53" w14:textId="78EF27D3" w:rsidR="000B4C51" w:rsidRDefault="000B4C51" w:rsidP="003A49F0">
            <w:pPr>
              <w:pStyle w:val="ListParagraph"/>
              <w:ind w:left="0"/>
              <w:rPr>
                <w:szCs w:val="22"/>
                <w:lang w:val="en-US"/>
              </w:rPr>
            </w:pPr>
            <w:r>
              <w:rPr>
                <w:szCs w:val="22"/>
                <w:lang w:val="en-US"/>
              </w:rPr>
              <w:t>Extensible</w:t>
            </w:r>
          </w:p>
        </w:tc>
      </w:tr>
      <w:tr w:rsidR="000B4C51" w14:paraId="40D72986" w14:textId="77777777" w:rsidTr="000B4C51">
        <w:tc>
          <w:tcPr>
            <w:tcW w:w="3116" w:type="dxa"/>
          </w:tcPr>
          <w:p w14:paraId="25678435" w14:textId="09D7CC2E" w:rsidR="000B4C51" w:rsidRDefault="000B4C51" w:rsidP="003A49F0">
            <w:pPr>
              <w:pStyle w:val="ListParagraph"/>
              <w:ind w:left="0"/>
              <w:rPr>
                <w:szCs w:val="22"/>
                <w:lang w:val="en-US"/>
              </w:rPr>
            </w:pPr>
            <w:r>
              <w:rPr>
                <w:szCs w:val="22"/>
                <w:lang w:val="en-US"/>
              </w:rPr>
              <w:t>0</w:t>
            </w:r>
          </w:p>
        </w:tc>
        <w:tc>
          <w:tcPr>
            <w:tcW w:w="3117" w:type="dxa"/>
          </w:tcPr>
          <w:p w14:paraId="0F47B235" w14:textId="4A7088D4" w:rsidR="000B4C51" w:rsidRDefault="000B4C51" w:rsidP="003A49F0">
            <w:pPr>
              <w:pStyle w:val="ListParagraph"/>
              <w:ind w:left="0"/>
              <w:rPr>
                <w:szCs w:val="22"/>
                <w:lang w:val="en-US"/>
              </w:rPr>
            </w:pPr>
            <w:r>
              <w:rPr>
                <w:szCs w:val="22"/>
                <w:lang w:val="en-US"/>
              </w:rPr>
              <w:t xml:space="preserve">Non-TB Sensing Specific </w:t>
            </w:r>
            <w:proofErr w:type="spellStart"/>
            <w:r>
              <w:rPr>
                <w:szCs w:val="22"/>
                <w:lang w:val="en-US"/>
              </w:rPr>
              <w:t>subelement</w:t>
            </w:r>
            <w:proofErr w:type="spellEnd"/>
          </w:p>
        </w:tc>
        <w:tc>
          <w:tcPr>
            <w:tcW w:w="3117" w:type="dxa"/>
          </w:tcPr>
          <w:p w14:paraId="4C8C63A2" w14:textId="07BA069A" w:rsidR="000B4C51" w:rsidRDefault="000B4C51" w:rsidP="003A49F0">
            <w:pPr>
              <w:pStyle w:val="ListParagraph"/>
              <w:ind w:left="0"/>
              <w:rPr>
                <w:szCs w:val="22"/>
                <w:lang w:val="en-US"/>
              </w:rPr>
            </w:pPr>
            <w:r>
              <w:rPr>
                <w:szCs w:val="22"/>
                <w:lang w:val="en-US"/>
              </w:rPr>
              <w:t>Yes</w:t>
            </w:r>
          </w:p>
        </w:tc>
      </w:tr>
      <w:tr w:rsidR="000B4C51" w14:paraId="2A9F1706" w14:textId="77777777" w:rsidTr="000B4C51">
        <w:tc>
          <w:tcPr>
            <w:tcW w:w="3116" w:type="dxa"/>
          </w:tcPr>
          <w:p w14:paraId="1960D432" w14:textId="273A2C62" w:rsidR="000B4C51" w:rsidRDefault="000B4C51" w:rsidP="003A49F0">
            <w:pPr>
              <w:pStyle w:val="ListParagraph"/>
              <w:ind w:left="0"/>
              <w:rPr>
                <w:szCs w:val="22"/>
                <w:lang w:val="en-US"/>
              </w:rPr>
            </w:pPr>
            <w:r>
              <w:rPr>
                <w:szCs w:val="22"/>
                <w:lang w:val="en-US"/>
              </w:rPr>
              <w:t xml:space="preserve">1 </w:t>
            </w:r>
          </w:p>
        </w:tc>
        <w:tc>
          <w:tcPr>
            <w:tcW w:w="3117" w:type="dxa"/>
          </w:tcPr>
          <w:p w14:paraId="32B945D3" w14:textId="0F6D0855" w:rsidR="000B4C51" w:rsidRDefault="000B4C51" w:rsidP="003A49F0">
            <w:pPr>
              <w:pStyle w:val="ListParagraph"/>
              <w:ind w:left="0"/>
              <w:rPr>
                <w:szCs w:val="22"/>
                <w:lang w:val="en-US"/>
              </w:rPr>
            </w:pPr>
            <w:r>
              <w:rPr>
                <w:szCs w:val="22"/>
                <w:lang w:val="en-US"/>
              </w:rPr>
              <w:t xml:space="preserve">TB Sensing Specific </w:t>
            </w:r>
            <w:proofErr w:type="spellStart"/>
            <w:r>
              <w:rPr>
                <w:szCs w:val="22"/>
                <w:lang w:val="en-US"/>
              </w:rPr>
              <w:t>subelement</w:t>
            </w:r>
            <w:proofErr w:type="spellEnd"/>
          </w:p>
        </w:tc>
        <w:tc>
          <w:tcPr>
            <w:tcW w:w="3117" w:type="dxa"/>
          </w:tcPr>
          <w:p w14:paraId="08B88A52" w14:textId="6BA709DE" w:rsidR="000B4C51" w:rsidRDefault="000B4C51" w:rsidP="003A49F0">
            <w:pPr>
              <w:pStyle w:val="ListParagraph"/>
              <w:ind w:left="0"/>
              <w:rPr>
                <w:szCs w:val="22"/>
                <w:lang w:val="en-US"/>
              </w:rPr>
            </w:pPr>
            <w:r>
              <w:rPr>
                <w:szCs w:val="22"/>
                <w:lang w:val="en-US"/>
              </w:rPr>
              <w:t>Yes</w:t>
            </w:r>
          </w:p>
        </w:tc>
      </w:tr>
      <w:tr w:rsidR="000B4C51" w14:paraId="0334A6A1" w14:textId="77777777" w:rsidTr="000B4C51">
        <w:tc>
          <w:tcPr>
            <w:tcW w:w="3116" w:type="dxa"/>
          </w:tcPr>
          <w:p w14:paraId="3443139A" w14:textId="30808231" w:rsidR="000B4C51" w:rsidRPr="000B4C51" w:rsidRDefault="000B4C51" w:rsidP="003A49F0">
            <w:pPr>
              <w:pStyle w:val="ListParagraph"/>
              <w:ind w:left="0"/>
              <w:rPr>
                <w:color w:val="FF0000"/>
                <w:szCs w:val="22"/>
                <w:u w:val="single"/>
                <w:lang w:val="en-US"/>
              </w:rPr>
            </w:pPr>
            <w:r w:rsidRPr="000B4C51">
              <w:rPr>
                <w:color w:val="FF0000"/>
                <w:szCs w:val="22"/>
                <w:u w:val="single"/>
                <w:lang w:val="en-US"/>
              </w:rPr>
              <w:t>2</w:t>
            </w:r>
          </w:p>
        </w:tc>
        <w:tc>
          <w:tcPr>
            <w:tcW w:w="3117" w:type="dxa"/>
          </w:tcPr>
          <w:p w14:paraId="0C53CD4C" w14:textId="0EA4F215" w:rsidR="000B4C51" w:rsidRPr="000B4C51" w:rsidRDefault="000B4C51" w:rsidP="003A49F0">
            <w:pPr>
              <w:pStyle w:val="ListParagraph"/>
              <w:ind w:left="0"/>
              <w:rPr>
                <w:color w:val="FF0000"/>
                <w:szCs w:val="22"/>
                <w:u w:val="single"/>
                <w:lang w:val="en-US"/>
              </w:rPr>
            </w:pPr>
            <w:r w:rsidRPr="000B4C51">
              <w:rPr>
                <w:color w:val="FF0000"/>
                <w:szCs w:val="22"/>
                <w:u w:val="single"/>
                <w:lang w:val="en-US"/>
              </w:rPr>
              <w:t xml:space="preserve">SBP Specific </w:t>
            </w:r>
            <w:proofErr w:type="spellStart"/>
            <w:r w:rsidRPr="000B4C51">
              <w:rPr>
                <w:color w:val="FF0000"/>
                <w:szCs w:val="22"/>
                <w:u w:val="single"/>
                <w:lang w:val="en-US"/>
              </w:rPr>
              <w:t>subelement</w:t>
            </w:r>
            <w:proofErr w:type="spellEnd"/>
          </w:p>
        </w:tc>
        <w:tc>
          <w:tcPr>
            <w:tcW w:w="3117" w:type="dxa"/>
          </w:tcPr>
          <w:p w14:paraId="05F781A1" w14:textId="35BCCEFB" w:rsidR="000B4C51" w:rsidRPr="000B4C51" w:rsidRDefault="000B4C51" w:rsidP="003A49F0">
            <w:pPr>
              <w:pStyle w:val="ListParagraph"/>
              <w:ind w:left="0"/>
              <w:rPr>
                <w:color w:val="FF0000"/>
                <w:szCs w:val="22"/>
                <w:u w:val="single"/>
                <w:lang w:val="en-US"/>
              </w:rPr>
            </w:pPr>
            <w:r w:rsidRPr="000B4C51">
              <w:rPr>
                <w:color w:val="FF0000"/>
                <w:szCs w:val="22"/>
                <w:u w:val="single"/>
                <w:lang w:val="en-US"/>
              </w:rPr>
              <w:t>Yes</w:t>
            </w:r>
          </w:p>
        </w:tc>
      </w:tr>
      <w:tr w:rsidR="000B4C51" w14:paraId="24AA88BA" w14:textId="77777777" w:rsidTr="000B4C51">
        <w:tc>
          <w:tcPr>
            <w:tcW w:w="3116" w:type="dxa"/>
          </w:tcPr>
          <w:p w14:paraId="15E91741" w14:textId="13FD86F0" w:rsidR="000B4C51" w:rsidRDefault="000B4C51" w:rsidP="003A49F0">
            <w:pPr>
              <w:pStyle w:val="ListParagraph"/>
              <w:ind w:left="0"/>
              <w:rPr>
                <w:szCs w:val="22"/>
                <w:lang w:val="en-US"/>
              </w:rPr>
            </w:pPr>
            <w:r w:rsidRPr="000B4C51">
              <w:rPr>
                <w:strike/>
                <w:color w:val="FF0000"/>
                <w:szCs w:val="22"/>
                <w:lang w:val="en-US"/>
              </w:rPr>
              <w:t>2</w:t>
            </w:r>
            <w:r>
              <w:rPr>
                <w:color w:val="FF0000"/>
                <w:szCs w:val="22"/>
                <w:u w:val="single"/>
                <w:lang w:val="en-US"/>
              </w:rPr>
              <w:t>3</w:t>
            </w:r>
            <w:r>
              <w:rPr>
                <w:szCs w:val="22"/>
                <w:lang w:val="en-US"/>
              </w:rPr>
              <w:t>-255</w:t>
            </w:r>
          </w:p>
        </w:tc>
        <w:tc>
          <w:tcPr>
            <w:tcW w:w="3117" w:type="dxa"/>
          </w:tcPr>
          <w:p w14:paraId="2A2DC4E6" w14:textId="503508A5" w:rsidR="000B4C51" w:rsidRDefault="000B4C51" w:rsidP="003A49F0">
            <w:pPr>
              <w:pStyle w:val="ListParagraph"/>
              <w:ind w:left="0"/>
              <w:rPr>
                <w:szCs w:val="22"/>
                <w:lang w:val="en-US"/>
              </w:rPr>
            </w:pPr>
            <w:r>
              <w:rPr>
                <w:szCs w:val="22"/>
                <w:lang w:val="en-US"/>
              </w:rPr>
              <w:t>Reserved</w:t>
            </w:r>
          </w:p>
        </w:tc>
        <w:tc>
          <w:tcPr>
            <w:tcW w:w="3117" w:type="dxa"/>
          </w:tcPr>
          <w:p w14:paraId="38E78372" w14:textId="77777777" w:rsidR="000B4C51" w:rsidRDefault="000B4C51" w:rsidP="003A49F0">
            <w:pPr>
              <w:pStyle w:val="ListParagraph"/>
              <w:ind w:left="0"/>
              <w:rPr>
                <w:szCs w:val="22"/>
                <w:lang w:val="en-US"/>
              </w:rPr>
            </w:pPr>
          </w:p>
        </w:tc>
      </w:tr>
    </w:tbl>
    <w:p w14:paraId="4764CC28" w14:textId="77777777" w:rsidR="000B4C51" w:rsidRDefault="000B4C51" w:rsidP="003A49F0">
      <w:pPr>
        <w:pStyle w:val="ListParagraph"/>
        <w:rPr>
          <w:szCs w:val="22"/>
          <w:lang w:val="en-US"/>
        </w:rPr>
      </w:pPr>
    </w:p>
    <w:tbl>
      <w:tblPr>
        <w:tblStyle w:val="TableGrid"/>
        <w:tblW w:w="0" w:type="auto"/>
        <w:tblInd w:w="720" w:type="dxa"/>
        <w:tblLook w:val="04A0" w:firstRow="1" w:lastRow="0" w:firstColumn="1" w:lastColumn="0" w:noHBand="0" w:noVBand="1"/>
      </w:tblPr>
      <w:tblGrid>
        <w:gridCol w:w="1637"/>
        <w:gridCol w:w="1760"/>
        <w:gridCol w:w="1686"/>
        <w:gridCol w:w="1826"/>
        <w:gridCol w:w="1721"/>
      </w:tblGrid>
      <w:tr w:rsidR="00EA7056" w14:paraId="1E4DA3F6" w14:textId="77777777" w:rsidTr="00EA7056">
        <w:tc>
          <w:tcPr>
            <w:tcW w:w="1870" w:type="dxa"/>
          </w:tcPr>
          <w:p w14:paraId="4CA5A292" w14:textId="77777777" w:rsidR="00EA7056" w:rsidRPr="00EA7056" w:rsidRDefault="00EA7056" w:rsidP="003A49F0">
            <w:pPr>
              <w:pStyle w:val="ListParagraph"/>
              <w:ind w:left="0"/>
              <w:rPr>
                <w:color w:val="FF0000"/>
                <w:szCs w:val="22"/>
                <w:u w:val="single"/>
                <w:lang w:val="en-US"/>
              </w:rPr>
            </w:pPr>
          </w:p>
        </w:tc>
        <w:tc>
          <w:tcPr>
            <w:tcW w:w="1870" w:type="dxa"/>
          </w:tcPr>
          <w:p w14:paraId="095AAB5C" w14:textId="1243C2CC" w:rsidR="00EA7056" w:rsidRPr="00EA7056" w:rsidRDefault="00EA7056" w:rsidP="003A49F0">
            <w:pPr>
              <w:pStyle w:val="ListParagraph"/>
              <w:ind w:left="0"/>
              <w:rPr>
                <w:color w:val="FF0000"/>
                <w:szCs w:val="22"/>
                <w:u w:val="single"/>
                <w:lang w:val="en-US"/>
              </w:rPr>
            </w:pPr>
            <w:proofErr w:type="spellStart"/>
            <w:r w:rsidRPr="00EA7056">
              <w:rPr>
                <w:color w:val="FF0000"/>
                <w:szCs w:val="22"/>
                <w:u w:val="single"/>
                <w:lang w:val="en-US"/>
              </w:rPr>
              <w:t>Subelement</w:t>
            </w:r>
            <w:proofErr w:type="spellEnd"/>
            <w:r w:rsidRPr="00EA7056">
              <w:rPr>
                <w:color w:val="FF0000"/>
                <w:szCs w:val="22"/>
                <w:u w:val="single"/>
                <w:lang w:val="en-US"/>
              </w:rPr>
              <w:t xml:space="preserve"> ID</w:t>
            </w:r>
          </w:p>
        </w:tc>
        <w:tc>
          <w:tcPr>
            <w:tcW w:w="1870" w:type="dxa"/>
          </w:tcPr>
          <w:p w14:paraId="766CA69C" w14:textId="53EF4B6F"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Length</w:t>
            </w:r>
          </w:p>
        </w:tc>
        <w:tc>
          <w:tcPr>
            <w:tcW w:w="1870" w:type="dxa"/>
          </w:tcPr>
          <w:p w14:paraId="4140A5BC" w14:textId="00749B41"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SBP Initiator AID12/USID12</w:t>
            </w:r>
          </w:p>
        </w:tc>
        <w:tc>
          <w:tcPr>
            <w:tcW w:w="1870" w:type="dxa"/>
          </w:tcPr>
          <w:p w14:paraId="6822E8E6" w14:textId="249DE5CE"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Reserved</w:t>
            </w:r>
          </w:p>
        </w:tc>
      </w:tr>
      <w:tr w:rsidR="00EA7056" w14:paraId="25EFE8E4" w14:textId="77777777" w:rsidTr="00EA7056">
        <w:tc>
          <w:tcPr>
            <w:tcW w:w="1870" w:type="dxa"/>
          </w:tcPr>
          <w:p w14:paraId="2397D721" w14:textId="51521A34"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Bits</w:t>
            </w:r>
          </w:p>
        </w:tc>
        <w:tc>
          <w:tcPr>
            <w:tcW w:w="1870" w:type="dxa"/>
          </w:tcPr>
          <w:p w14:paraId="1324E0C3" w14:textId="55C417A1"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8</w:t>
            </w:r>
          </w:p>
        </w:tc>
        <w:tc>
          <w:tcPr>
            <w:tcW w:w="1870" w:type="dxa"/>
          </w:tcPr>
          <w:p w14:paraId="08CF4F2B" w14:textId="5ECB540D"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8</w:t>
            </w:r>
          </w:p>
        </w:tc>
        <w:tc>
          <w:tcPr>
            <w:tcW w:w="1870" w:type="dxa"/>
          </w:tcPr>
          <w:p w14:paraId="141CCC30" w14:textId="177B7701"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12</w:t>
            </w:r>
          </w:p>
        </w:tc>
        <w:tc>
          <w:tcPr>
            <w:tcW w:w="1870" w:type="dxa"/>
          </w:tcPr>
          <w:p w14:paraId="2FD1FD51" w14:textId="7691325C"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4</w:t>
            </w:r>
          </w:p>
        </w:tc>
      </w:tr>
    </w:tbl>
    <w:p w14:paraId="315FFD19" w14:textId="57914ADD" w:rsidR="000B4C51" w:rsidRPr="007E59EB" w:rsidRDefault="00EA7056" w:rsidP="00EA7056">
      <w:pPr>
        <w:pStyle w:val="ListParagraph"/>
        <w:jc w:val="center"/>
        <w:rPr>
          <w:color w:val="FF0000"/>
          <w:szCs w:val="22"/>
          <w:u w:val="single"/>
          <w:lang w:val="en-US"/>
        </w:rPr>
      </w:pPr>
      <w:r w:rsidRPr="007E59EB">
        <w:rPr>
          <w:color w:val="FF0000"/>
          <w:szCs w:val="22"/>
          <w:u w:val="single"/>
          <w:lang w:val="en-US"/>
        </w:rPr>
        <w:t xml:space="preserve">SBP Specific </w:t>
      </w:r>
      <w:proofErr w:type="spellStart"/>
      <w:r w:rsidRPr="007E59EB">
        <w:rPr>
          <w:color w:val="FF0000"/>
          <w:szCs w:val="22"/>
          <w:u w:val="single"/>
          <w:lang w:val="en-US"/>
        </w:rPr>
        <w:t>subelement</w:t>
      </w:r>
      <w:proofErr w:type="spellEnd"/>
      <w:r w:rsidRPr="007E59EB">
        <w:rPr>
          <w:color w:val="FF0000"/>
          <w:szCs w:val="22"/>
          <w:u w:val="single"/>
          <w:lang w:val="en-US"/>
        </w:rPr>
        <w:t xml:space="preserve"> format</w:t>
      </w:r>
    </w:p>
    <w:p w14:paraId="526C56E9" w14:textId="77777777" w:rsidR="000B4C51" w:rsidRDefault="000B4C51" w:rsidP="003A49F0">
      <w:pPr>
        <w:pStyle w:val="ListParagraph"/>
        <w:rPr>
          <w:szCs w:val="22"/>
          <w:lang w:val="en-US"/>
        </w:rPr>
      </w:pPr>
    </w:p>
    <w:p w14:paraId="1AC5E3CB" w14:textId="0ECBBC5D" w:rsidR="006C35E1" w:rsidRDefault="006C35E1" w:rsidP="001D7930">
      <w:pPr>
        <w:pStyle w:val="ListParagraph"/>
        <w:numPr>
          <w:ilvl w:val="0"/>
          <w:numId w:val="33"/>
        </w:numPr>
        <w:rPr>
          <w:szCs w:val="22"/>
          <w:lang w:val="en-US"/>
        </w:rPr>
      </w:pPr>
      <w:r>
        <w:rPr>
          <w:szCs w:val="22"/>
          <w:lang w:val="en-US"/>
        </w:rPr>
        <w:t>Problem statement:</w:t>
      </w:r>
    </w:p>
    <w:p w14:paraId="3BD4C8F2" w14:textId="3A8EFE7D" w:rsidR="003A49F0" w:rsidRDefault="00023B92" w:rsidP="006C35E1">
      <w:pPr>
        <w:pStyle w:val="ListParagraph"/>
        <w:rPr>
          <w:szCs w:val="22"/>
          <w:lang w:val="en-US"/>
        </w:rPr>
      </w:pPr>
      <w:r>
        <w:rPr>
          <w:szCs w:val="22"/>
          <w:lang w:val="en-US"/>
        </w:rPr>
        <w:t>Whether existing sensing measurement setups</w:t>
      </w:r>
      <w:r w:rsidR="006C35E1">
        <w:rPr>
          <w:szCs w:val="22"/>
          <w:lang w:val="en-US"/>
        </w:rPr>
        <w:t>, which may be established for other applications,</w:t>
      </w:r>
      <w:r>
        <w:rPr>
          <w:szCs w:val="22"/>
          <w:lang w:val="en-US"/>
        </w:rPr>
        <w:t xml:space="preserve"> can be reused for an SBP procedure.</w:t>
      </w:r>
    </w:p>
    <w:p w14:paraId="4F342C92" w14:textId="77777777" w:rsidR="006C35E1" w:rsidRDefault="006C35E1" w:rsidP="006C35E1">
      <w:pPr>
        <w:pStyle w:val="ListParagraph"/>
        <w:rPr>
          <w:szCs w:val="22"/>
          <w:lang w:val="en-US"/>
        </w:rPr>
      </w:pPr>
    </w:p>
    <w:p w14:paraId="326A1473" w14:textId="01487957" w:rsidR="006C35E1" w:rsidRDefault="006C35E1" w:rsidP="006C35E1">
      <w:pPr>
        <w:pStyle w:val="ListParagraph"/>
        <w:rPr>
          <w:szCs w:val="22"/>
          <w:lang w:val="en-US"/>
        </w:rPr>
      </w:pPr>
      <w:r>
        <w:rPr>
          <w:szCs w:val="22"/>
          <w:lang w:val="en-US"/>
        </w:rPr>
        <w:t>Discussion:</w:t>
      </w:r>
    </w:p>
    <w:p w14:paraId="1B6BE4D2" w14:textId="6F45E183" w:rsidR="006C35E1" w:rsidRDefault="006C35E1" w:rsidP="006C35E1">
      <w:pPr>
        <w:pStyle w:val="ListParagraph"/>
        <w:rPr>
          <w:szCs w:val="22"/>
          <w:lang w:val="en-US"/>
        </w:rPr>
      </w:pPr>
      <w:r>
        <w:rPr>
          <w:szCs w:val="22"/>
          <w:lang w:val="en-US"/>
        </w:rPr>
        <w:t>The contributor thinks that we should not reuse existing sensing measurement setup(s) to satisfy an SBP procedure due to the following reasons:</w:t>
      </w:r>
    </w:p>
    <w:p w14:paraId="6125F1FC" w14:textId="4A17A6D1" w:rsidR="006C35E1" w:rsidRPr="006C35E1" w:rsidRDefault="006C35E1" w:rsidP="006C35E1">
      <w:pPr>
        <w:pStyle w:val="ListParagraph"/>
        <w:numPr>
          <w:ilvl w:val="0"/>
          <w:numId w:val="34"/>
        </w:numPr>
        <w:rPr>
          <w:szCs w:val="22"/>
          <w:lang w:val="en-US"/>
        </w:rPr>
      </w:pPr>
      <w:r>
        <w:rPr>
          <w:szCs w:val="22"/>
          <w:lang w:val="en-US"/>
        </w:rPr>
        <w:t>I</w:t>
      </w:r>
      <w:r w:rsidRPr="006C35E1">
        <w:rPr>
          <w:szCs w:val="22"/>
          <w:lang w:val="en-US"/>
        </w:rPr>
        <w:t xml:space="preserve">t </w:t>
      </w:r>
      <w:r w:rsidR="00842AD0">
        <w:rPr>
          <w:szCs w:val="22"/>
          <w:lang w:val="en-US"/>
        </w:rPr>
        <w:t>i</w:t>
      </w:r>
      <w:r w:rsidR="0018218B">
        <w:rPr>
          <w:szCs w:val="22"/>
          <w:lang w:val="en-US"/>
        </w:rPr>
        <w:t>s</w:t>
      </w:r>
      <w:r w:rsidR="00842AD0">
        <w:rPr>
          <w:szCs w:val="22"/>
          <w:lang w:val="en-US"/>
        </w:rPr>
        <w:t xml:space="preserve"> not necessarily true</w:t>
      </w:r>
      <w:r w:rsidRPr="006C35E1">
        <w:rPr>
          <w:szCs w:val="22"/>
          <w:lang w:val="en-US"/>
        </w:rPr>
        <w:t xml:space="preserve"> that the existing measurement setup will have exactly the same parameters with the one </w:t>
      </w:r>
      <w:proofErr w:type="spellStart"/>
      <w:r w:rsidRPr="006C35E1">
        <w:rPr>
          <w:szCs w:val="22"/>
          <w:lang w:val="en-US"/>
        </w:rPr>
        <w:t>triggerd</w:t>
      </w:r>
      <w:proofErr w:type="spellEnd"/>
      <w:r w:rsidRPr="006C35E1">
        <w:rPr>
          <w:szCs w:val="22"/>
          <w:lang w:val="en-US"/>
        </w:rPr>
        <w:t xml:space="preserve"> by the SBP request.</w:t>
      </w:r>
    </w:p>
    <w:p w14:paraId="07C14284" w14:textId="4D736B81" w:rsidR="006C35E1" w:rsidRPr="006C35E1" w:rsidRDefault="006C35E1" w:rsidP="001A29FD">
      <w:pPr>
        <w:pStyle w:val="ListParagraph"/>
        <w:numPr>
          <w:ilvl w:val="0"/>
          <w:numId w:val="34"/>
        </w:numPr>
        <w:rPr>
          <w:szCs w:val="22"/>
          <w:lang w:val="en-US"/>
        </w:rPr>
      </w:pPr>
      <w:r w:rsidRPr="006C35E1">
        <w:rPr>
          <w:szCs w:val="22"/>
          <w:lang w:val="en-US"/>
        </w:rPr>
        <w:t>The sensing measurement setup triggered by the SBP request will typically have a different Measurement Setup ID with the existing one, which will be used in the SBP reporting procedure to identify the SBP report.</w:t>
      </w:r>
    </w:p>
    <w:p w14:paraId="1C217FFF" w14:textId="55065845" w:rsidR="006C35E1" w:rsidRDefault="006C35E1" w:rsidP="001A29FD">
      <w:pPr>
        <w:pStyle w:val="ListParagraph"/>
        <w:numPr>
          <w:ilvl w:val="0"/>
          <w:numId w:val="34"/>
        </w:numPr>
        <w:rPr>
          <w:szCs w:val="22"/>
          <w:lang w:val="en-US"/>
        </w:rPr>
      </w:pPr>
      <w:r w:rsidRPr="006C35E1">
        <w:rPr>
          <w:szCs w:val="22"/>
          <w:lang w:val="en-US"/>
        </w:rPr>
        <w:t>The existing sensing measurement setup is triggered by a sensing application running on the SBP responder AP’s end, while the sensing measurement setup is triggered by a sensing application running on the SBP initiator’s end. We are not supposed to mix the two applications.</w:t>
      </w:r>
    </w:p>
    <w:p w14:paraId="3BA9C22A" w14:textId="1F5535BD" w:rsidR="002C620B" w:rsidRDefault="001A29FD" w:rsidP="006C35E1">
      <w:pPr>
        <w:pStyle w:val="ListParagraph"/>
        <w:numPr>
          <w:ilvl w:val="0"/>
          <w:numId w:val="34"/>
        </w:numPr>
        <w:rPr>
          <w:szCs w:val="22"/>
          <w:lang w:val="en-US"/>
        </w:rPr>
      </w:pPr>
      <w:r>
        <w:rPr>
          <w:szCs w:val="22"/>
          <w:lang w:val="en-US"/>
        </w:rPr>
        <w:t xml:space="preserve">Even if the </w:t>
      </w:r>
      <w:r w:rsidR="004746BA">
        <w:rPr>
          <w:szCs w:val="22"/>
          <w:lang w:val="en-US"/>
        </w:rPr>
        <w:t>existing sensing measurement setup has exactly the same set of parameters with the one triggered by an SBP request, the sensing responders do not necessarily want to accept being involved in the SBP procedure</w:t>
      </w:r>
      <w:r w:rsidR="00252B0C">
        <w:rPr>
          <w:szCs w:val="22"/>
          <w:lang w:val="en-US"/>
        </w:rPr>
        <w:t>. We should give them the option to choose whether to be involved in the SBP procedure or not, instead of directly assuming they agree to do it.</w:t>
      </w:r>
    </w:p>
    <w:p w14:paraId="1EAB06F5" w14:textId="77777777" w:rsidR="00252B0C" w:rsidRPr="00252B0C" w:rsidRDefault="00252B0C" w:rsidP="00252B0C">
      <w:pPr>
        <w:rPr>
          <w:szCs w:val="22"/>
          <w:lang w:val="en-US"/>
        </w:rPr>
      </w:pPr>
    </w:p>
    <w:p w14:paraId="7398DD7D" w14:textId="06ECFFEF" w:rsidR="00252B0C" w:rsidRDefault="00252B0C" w:rsidP="00252B0C">
      <w:pPr>
        <w:pStyle w:val="ListParagraph"/>
        <w:rPr>
          <w:szCs w:val="22"/>
          <w:lang w:val="en-US"/>
        </w:rPr>
      </w:pPr>
      <w:r>
        <w:rPr>
          <w:szCs w:val="22"/>
          <w:lang w:val="en-US"/>
        </w:rPr>
        <w:t>Proposed resolution:</w:t>
      </w:r>
    </w:p>
    <w:p w14:paraId="240306AD" w14:textId="7E0D87D9" w:rsidR="001A61F6" w:rsidRPr="006A614E" w:rsidRDefault="00CD02DA" w:rsidP="006A614E">
      <w:pPr>
        <w:pStyle w:val="ListParagraph"/>
        <w:rPr>
          <w:szCs w:val="22"/>
          <w:lang w:val="en-US"/>
        </w:rPr>
      </w:pPr>
      <w:r>
        <w:rPr>
          <w:szCs w:val="22"/>
          <w:lang w:val="en-US"/>
        </w:rPr>
        <w:lastRenderedPageBreak/>
        <w:t>Add some normative text to specify that after accepting an SBP request from an SBP initiator, the SBP responder AP shall initiate a new sensing procedure and shall initiate new sensing measurement setups with the sensing responders.</w:t>
      </w:r>
    </w:p>
    <w:p w14:paraId="11DAFF2B" w14:textId="77777777" w:rsidR="009D7959" w:rsidRDefault="009D7959" w:rsidP="00252B0C">
      <w:pPr>
        <w:pStyle w:val="ListParagraph"/>
        <w:rPr>
          <w:szCs w:val="22"/>
          <w:lang w:val="en-US"/>
        </w:rPr>
      </w:pPr>
    </w:p>
    <w:p w14:paraId="34E7BBB0" w14:textId="4D96D0D5" w:rsidR="001A61F6" w:rsidRPr="00FD04C2" w:rsidRDefault="009D7959" w:rsidP="009D7959">
      <w:pPr>
        <w:rPr>
          <w:b/>
          <w:bCs/>
          <w:szCs w:val="22"/>
          <w:lang w:val="en-US"/>
        </w:rPr>
      </w:pPr>
      <w:r w:rsidRPr="00FD04C2">
        <w:rPr>
          <w:b/>
          <w:bCs/>
          <w:szCs w:val="22"/>
          <w:lang w:val="en-US"/>
        </w:rPr>
        <w:t xml:space="preserve">Proposed changes to </w:t>
      </w:r>
      <w:proofErr w:type="spellStart"/>
      <w:r w:rsidRPr="00FD04C2">
        <w:rPr>
          <w:b/>
          <w:bCs/>
          <w:szCs w:val="22"/>
          <w:lang w:val="en-US"/>
        </w:rPr>
        <w:t>TGbf</w:t>
      </w:r>
      <w:proofErr w:type="spellEnd"/>
      <w:r w:rsidRPr="00FD04C2">
        <w:rPr>
          <w:b/>
          <w:bCs/>
          <w:szCs w:val="22"/>
          <w:lang w:val="en-US"/>
        </w:rPr>
        <w:t xml:space="preserve"> D1.0</w:t>
      </w:r>
    </w:p>
    <w:p w14:paraId="59D2A2D4" w14:textId="56CB9B11" w:rsidR="001A61F6" w:rsidRPr="009D7959" w:rsidRDefault="009D7959">
      <w:pPr>
        <w:rPr>
          <w:b/>
          <w:bCs/>
          <w:i/>
          <w:iCs/>
          <w:szCs w:val="22"/>
        </w:rPr>
      </w:pPr>
      <w:proofErr w:type="spellStart"/>
      <w:r w:rsidRPr="009D7959">
        <w:rPr>
          <w:b/>
          <w:bCs/>
          <w:i/>
          <w:iCs/>
          <w:szCs w:val="22"/>
        </w:rPr>
        <w:t>TGbf</w:t>
      </w:r>
      <w:proofErr w:type="spellEnd"/>
      <w:r w:rsidRPr="009D7959">
        <w:rPr>
          <w:b/>
          <w:bCs/>
          <w:i/>
          <w:iCs/>
          <w:szCs w:val="22"/>
        </w:rPr>
        <w:t xml:space="preserve"> editor, make the following changes in </w:t>
      </w:r>
      <w:proofErr w:type="spellStart"/>
      <w:r w:rsidRPr="009D7959">
        <w:rPr>
          <w:b/>
          <w:bCs/>
          <w:i/>
          <w:iCs/>
          <w:szCs w:val="22"/>
        </w:rPr>
        <w:t>TGbf</w:t>
      </w:r>
      <w:proofErr w:type="spellEnd"/>
      <w:r w:rsidRPr="009D7959">
        <w:rPr>
          <w:b/>
          <w:bCs/>
          <w:i/>
          <w:iCs/>
          <w:szCs w:val="22"/>
        </w:rPr>
        <w:t xml:space="preserve"> D1.0</w:t>
      </w:r>
    </w:p>
    <w:p w14:paraId="03A0AF65" w14:textId="7F19F6E5" w:rsidR="001A61F6" w:rsidRDefault="008438A8">
      <w:pPr>
        <w:rPr>
          <w:szCs w:val="22"/>
        </w:rPr>
      </w:pPr>
      <w:r>
        <w:rPr>
          <w:szCs w:val="22"/>
        </w:rPr>
        <w:t xml:space="preserve">Modify Table 9-401r as follows and add the following paragraphs at the end of </w:t>
      </w:r>
      <w:r w:rsidR="002546C0">
        <w:rPr>
          <w:szCs w:val="22"/>
        </w:rPr>
        <w:t>9.4.2.319</w:t>
      </w:r>
    </w:p>
    <w:p w14:paraId="00AEAEE4" w14:textId="77777777" w:rsidR="002546C0" w:rsidRPr="008438A8" w:rsidRDefault="002546C0">
      <w:pPr>
        <w:rPr>
          <w:szCs w:val="22"/>
        </w:rPr>
      </w:pPr>
    </w:p>
    <w:p w14:paraId="54172C8E" w14:textId="77777777" w:rsidR="002546C0" w:rsidRDefault="002546C0" w:rsidP="002546C0">
      <w:pPr>
        <w:pStyle w:val="ListParagraph"/>
        <w:jc w:val="center"/>
        <w:rPr>
          <w:szCs w:val="22"/>
          <w:lang w:val="en-US"/>
        </w:rPr>
      </w:pPr>
      <w:r>
        <w:rPr>
          <w:szCs w:val="22"/>
          <w:lang w:val="en-US"/>
        </w:rPr>
        <w:t xml:space="preserve">Table 9-401r: Sensing </w:t>
      </w:r>
      <w:proofErr w:type="spellStart"/>
      <w:r>
        <w:rPr>
          <w:szCs w:val="22"/>
          <w:lang w:val="en-US"/>
        </w:rPr>
        <w:t>subelement</w:t>
      </w:r>
      <w:proofErr w:type="spellEnd"/>
      <w:r>
        <w:rPr>
          <w:szCs w:val="22"/>
          <w:lang w:val="en-US"/>
        </w:rPr>
        <w:t xml:space="preserve"> IDs for Sensing Parameters</w:t>
      </w:r>
    </w:p>
    <w:tbl>
      <w:tblPr>
        <w:tblStyle w:val="TableGrid"/>
        <w:tblW w:w="0" w:type="auto"/>
        <w:tblInd w:w="720" w:type="dxa"/>
        <w:tblLook w:val="04A0" w:firstRow="1" w:lastRow="0" w:firstColumn="1" w:lastColumn="0" w:noHBand="0" w:noVBand="1"/>
      </w:tblPr>
      <w:tblGrid>
        <w:gridCol w:w="2883"/>
        <w:gridCol w:w="2878"/>
        <w:gridCol w:w="2869"/>
      </w:tblGrid>
      <w:tr w:rsidR="002546C0" w14:paraId="2B802DE2" w14:textId="77777777" w:rsidTr="00DC14AD">
        <w:tc>
          <w:tcPr>
            <w:tcW w:w="3116" w:type="dxa"/>
          </w:tcPr>
          <w:p w14:paraId="181531CF" w14:textId="77777777" w:rsidR="002546C0" w:rsidRDefault="002546C0" w:rsidP="00DC14AD">
            <w:pPr>
              <w:pStyle w:val="ListParagraph"/>
              <w:ind w:left="0"/>
              <w:rPr>
                <w:szCs w:val="22"/>
                <w:lang w:val="en-US"/>
              </w:rPr>
            </w:pPr>
            <w:proofErr w:type="spellStart"/>
            <w:r>
              <w:rPr>
                <w:szCs w:val="22"/>
                <w:lang w:val="en-US"/>
              </w:rPr>
              <w:t>Subelement</w:t>
            </w:r>
            <w:proofErr w:type="spellEnd"/>
            <w:r>
              <w:rPr>
                <w:szCs w:val="22"/>
                <w:lang w:val="en-US"/>
              </w:rPr>
              <w:t xml:space="preserve"> ID</w:t>
            </w:r>
          </w:p>
        </w:tc>
        <w:tc>
          <w:tcPr>
            <w:tcW w:w="3117" w:type="dxa"/>
          </w:tcPr>
          <w:p w14:paraId="00248D19" w14:textId="77777777" w:rsidR="002546C0" w:rsidRDefault="002546C0" w:rsidP="00DC14AD">
            <w:pPr>
              <w:pStyle w:val="ListParagraph"/>
              <w:ind w:left="0"/>
              <w:rPr>
                <w:szCs w:val="22"/>
                <w:lang w:val="en-US"/>
              </w:rPr>
            </w:pPr>
            <w:r>
              <w:rPr>
                <w:szCs w:val="22"/>
                <w:lang w:val="en-US"/>
              </w:rPr>
              <w:t>Name</w:t>
            </w:r>
          </w:p>
        </w:tc>
        <w:tc>
          <w:tcPr>
            <w:tcW w:w="3117" w:type="dxa"/>
          </w:tcPr>
          <w:p w14:paraId="1545A2B8" w14:textId="77777777" w:rsidR="002546C0" w:rsidRDefault="002546C0" w:rsidP="00DC14AD">
            <w:pPr>
              <w:pStyle w:val="ListParagraph"/>
              <w:ind w:left="0"/>
              <w:rPr>
                <w:szCs w:val="22"/>
                <w:lang w:val="en-US"/>
              </w:rPr>
            </w:pPr>
            <w:r>
              <w:rPr>
                <w:szCs w:val="22"/>
                <w:lang w:val="en-US"/>
              </w:rPr>
              <w:t>Extensible</w:t>
            </w:r>
          </w:p>
        </w:tc>
      </w:tr>
      <w:tr w:rsidR="002546C0" w14:paraId="37E582A8" w14:textId="77777777" w:rsidTr="00DC14AD">
        <w:tc>
          <w:tcPr>
            <w:tcW w:w="3116" w:type="dxa"/>
          </w:tcPr>
          <w:p w14:paraId="6F6D126B" w14:textId="77777777" w:rsidR="002546C0" w:rsidRDefault="002546C0" w:rsidP="00DC14AD">
            <w:pPr>
              <w:pStyle w:val="ListParagraph"/>
              <w:ind w:left="0"/>
              <w:rPr>
                <w:szCs w:val="22"/>
                <w:lang w:val="en-US"/>
              </w:rPr>
            </w:pPr>
            <w:r>
              <w:rPr>
                <w:szCs w:val="22"/>
                <w:lang w:val="en-US"/>
              </w:rPr>
              <w:t>0</w:t>
            </w:r>
          </w:p>
        </w:tc>
        <w:tc>
          <w:tcPr>
            <w:tcW w:w="3117" w:type="dxa"/>
          </w:tcPr>
          <w:p w14:paraId="466884B0" w14:textId="77777777" w:rsidR="002546C0" w:rsidRDefault="002546C0" w:rsidP="00DC14AD">
            <w:pPr>
              <w:pStyle w:val="ListParagraph"/>
              <w:ind w:left="0"/>
              <w:rPr>
                <w:szCs w:val="22"/>
                <w:lang w:val="en-US"/>
              </w:rPr>
            </w:pPr>
            <w:r>
              <w:rPr>
                <w:szCs w:val="22"/>
                <w:lang w:val="en-US"/>
              </w:rPr>
              <w:t xml:space="preserve">Non-TB Sensing Specific </w:t>
            </w:r>
            <w:proofErr w:type="spellStart"/>
            <w:r>
              <w:rPr>
                <w:szCs w:val="22"/>
                <w:lang w:val="en-US"/>
              </w:rPr>
              <w:t>subelement</w:t>
            </w:r>
            <w:proofErr w:type="spellEnd"/>
          </w:p>
        </w:tc>
        <w:tc>
          <w:tcPr>
            <w:tcW w:w="3117" w:type="dxa"/>
          </w:tcPr>
          <w:p w14:paraId="32B72A7B" w14:textId="77777777" w:rsidR="002546C0" w:rsidRDefault="002546C0" w:rsidP="00DC14AD">
            <w:pPr>
              <w:pStyle w:val="ListParagraph"/>
              <w:ind w:left="0"/>
              <w:rPr>
                <w:szCs w:val="22"/>
                <w:lang w:val="en-US"/>
              </w:rPr>
            </w:pPr>
            <w:r>
              <w:rPr>
                <w:szCs w:val="22"/>
                <w:lang w:val="en-US"/>
              </w:rPr>
              <w:t>Yes</w:t>
            </w:r>
          </w:p>
        </w:tc>
      </w:tr>
      <w:tr w:rsidR="002546C0" w14:paraId="093DFA6E" w14:textId="77777777" w:rsidTr="00DC14AD">
        <w:tc>
          <w:tcPr>
            <w:tcW w:w="3116" w:type="dxa"/>
          </w:tcPr>
          <w:p w14:paraId="7AD235ED" w14:textId="77777777" w:rsidR="002546C0" w:rsidRDefault="002546C0" w:rsidP="00DC14AD">
            <w:pPr>
              <w:pStyle w:val="ListParagraph"/>
              <w:ind w:left="0"/>
              <w:rPr>
                <w:szCs w:val="22"/>
                <w:lang w:val="en-US"/>
              </w:rPr>
            </w:pPr>
            <w:r>
              <w:rPr>
                <w:szCs w:val="22"/>
                <w:lang w:val="en-US"/>
              </w:rPr>
              <w:t xml:space="preserve">1 </w:t>
            </w:r>
          </w:p>
        </w:tc>
        <w:tc>
          <w:tcPr>
            <w:tcW w:w="3117" w:type="dxa"/>
          </w:tcPr>
          <w:p w14:paraId="6D6BCF90" w14:textId="77777777" w:rsidR="002546C0" w:rsidRDefault="002546C0" w:rsidP="00DC14AD">
            <w:pPr>
              <w:pStyle w:val="ListParagraph"/>
              <w:ind w:left="0"/>
              <w:rPr>
                <w:szCs w:val="22"/>
                <w:lang w:val="en-US"/>
              </w:rPr>
            </w:pPr>
            <w:r>
              <w:rPr>
                <w:szCs w:val="22"/>
                <w:lang w:val="en-US"/>
              </w:rPr>
              <w:t xml:space="preserve">TB Sensing Specific </w:t>
            </w:r>
            <w:proofErr w:type="spellStart"/>
            <w:r>
              <w:rPr>
                <w:szCs w:val="22"/>
                <w:lang w:val="en-US"/>
              </w:rPr>
              <w:t>subelement</w:t>
            </w:r>
            <w:proofErr w:type="spellEnd"/>
          </w:p>
        </w:tc>
        <w:tc>
          <w:tcPr>
            <w:tcW w:w="3117" w:type="dxa"/>
          </w:tcPr>
          <w:p w14:paraId="5C06BAED" w14:textId="77777777" w:rsidR="002546C0" w:rsidRDefault="002546C0" w:rsidP="00DC14AD">
            <w:pPr>
              <w:pStyle w:val="ListParagraph"/>
              <w:ind w:left="0"/>
              <w:rPr>
                <w:szCs w:val="22"/>
                <w:lang w:val="en-US"/>
              </w:rPr>
            </w:pPr>
            <w:r>
              <w:rPr>
                <w:szCs w:val="22"/>
                <w:lang w:val="en-US"/>
              </w:rPr>
              <w:t>Yes</w:t>
            </w:r>
          </w:p>
        </w:tc>
      </w:tr>
      <w:tr w:rsidR="002546C0" w14:paraId="2D64894C" w14:textId="77777777" w:rsidTr="00DC14AD">
        <w:tc>
          <w:tcPr>
            <w:tcW w:w="3116" w:type="dxa"/>
          </w:tcPr>
          <w:p w14:paraId="29BD09C1" w14:textId="77777777" w:rsidR="002546C0" w:rsidRPr="000B4C51" w:rsidRDefault="002546C0" w:rsidP="00DC14AD">
            <w:pPr>
              <w:pStyle w:val="ListParagraph"/>
              <w:ind w:left="0"/>
              <w:rPr>
                <w:color w:val="FF0000"/>
                <w:szCs w:val="22"/>
                <w:u w:val="single"/>
                <w:lang w:val="en-US"/>
              </w:rPr>
            </w:pPr>
            <w:r w:rsidRPr="000B4C51">
              <w:rPr>
                <w:color w:val="FF0000"/>
                <w:szCs w:val="22"/>
                <w:u w:val="single"/>
                <w:lang w:val="en-US"/>
              </w:rPr>
              <w:t>2</w:t>
            </w:r>
          </w:p>
        </w:tc>
        <w:tc>
          <w:tcPr>
            <w:tcW w:w="3117" w:type="dxa"/>
          </w:tcPr>
          <w:p w14:paraId="542C0901" w14:textId="77777777" w:rsidR="002546C0" w:rsidRPr="000B4C51" w:rsidRDefault="002546C0" w:rsidP="00DC14AD">
            <w:pPr>
              <w:pStyle w:val="ListParagraph"/>
              <w:ind w:left="0"/>
              <w:rPr>
                <w:color w:val="FF0000"/>
                <w:szCs w:val="22"/>
                <w:u w:val="single"/>
                <w:lang w:val="en-US"/>
              </w:rPr>
            </w:pPr>
            <w:r w:rsidRPr="000B4C51">
              <w:rPr>
                <w:color w:val="FF0000"/>
                <w:szCs w:val="22"/>
                <w:u w:val="single"/>
                <w:lang w:val="en-US"/>
              </w:rPr>
              <w:t xml:space="preserve">SBP Specific </w:t>
            </w:r>
            <w:proofErr w:type="spellStart"/>
            <w:r w:rsidRPr="000B4C51">
              <w:rPr>
                <w:color w:val="FF0000"/>
                <w:szCs w:val="22"/>
                <w:u w:val="single"/>
                <w:lang w:val="en-US"/>
              </w:rPr>
              <w:t>subelement</w:t>
            </w:r>
            <w:proofErr w:type="spellEnd"/>
          </w:p>
        </w:tc>
        <w:tc>
          <w:tcPr>
            <w:tcW w:w="3117" w:type="dxa"/>
          </w:tcPr>
          <w:p w14:paraId="386247AD" w14:textId="77777777" w:rsidR="002546C0" w:rsidRPr="000B4C51" w:rsidRDefault="002546C0" w:rsidP="00DC14AD">
            <w:pPr>
              <w:pStyle w:val="ListParagraph"/>
              <w:ind w:left="0"/>
              <w:rPr>
                <w:color w:val="FF0000"/>
                <w:szCs w:val="22"/>
                <w:u w:val="single"/>
                <w:lang w:val="en-US"/>
              </w:rPr>
            </w:pPr>
            <w:r w:rsidRPr="000B4C51">
              <w:rPr>
                <w:color w:val="FF0000"/>
                <w:szCs w:val="22"/>
                <w:u w:val="single"/>
                <w:lang w:val="en-US"/>
              </w:rPr>
              <w:t>Yes</w:t>
            </w:r>
          </w:p>
        </w:tc>
      </w:tr>
    </w:tbl>
    <w:p w14:paraId="0E499EA3" w14:textId="77777777" w:rsidR="008438A8" w:rsidRDefault="008438A8">
      <w:pPr>
        <w:rPr>
          <w:color w:val="FF0000"/>
          <w:szCs w:val="22"/>
          <w:u w:val="single"/>
        </w:rPr>
      </w:pPr>
    </w:p>
    <w:p w14:paraId="1CDB8C4F" w14:textId="6409DBD8" w:rsidR="002546C0" w:rsidRDefault="002546C0">
      <w:pPr>
        <w:rPr>
          <w:color w:val="FF0000"/>
          <w:szCs w:val="22"/>
          <w:u w:val="single"/>
        </w:rPr>
      </w:pPr>
      <w:r>
        <w:rPr>
          <w:color w:val="FF0000"/>
          <w:szCs w:val="22"/>
          <w:u w:val="single"/>
        </w:rPr>
        <w:t>If the sensing initiator is an AP, and if the Sensing Measurement Request frame</w:t>
      </w:r>
      <w:r w:rsidR="00506E37">
        <w:rPr>
          <w:color w:val="FF0000"/>
          <w:szCs w:val="22"/>
          <w:u w:val="single"/>
        </w:rPr>
        <w:t xml:space="preserve"> is tra</w:t>
      </w:r>
      <w:r w:rsidR="007700C8">
        <w:rPr>
          <w:color w:val="FF0000"/>
          <w:szCs w:val="22"/>
          <w:u w:val="single"/>
        </w:rPr>
        <w:t xml:space="preserve">nsmitted to satisfy an SBP </w:t>
      </w:r>
      <w:r w:rsidR="005D33BA">
        <w:rPr>
          <w:color w:val="FF0000"/>
          <w:szCs w:val="22"/>
          <w:u w:val="single"/>
        </w:rPr>
        <w:t>request</w:t>
      </w:r>
      <w:r w:rsidR="007700C8">
        <w:rPr>
          <w:color w:val="FF0000"/>
          <w:szCs w:val="22"/>
          <w:u w:val="single"/>
        </w:rPr>
        <w:t>,</w:t>
      </w:r>
      <w:r w:rsidR="005D33BA">
        <w:rPr>
          <w:color w:val="FF0000"/>
          <w:szCs w:val="22"/>
          <w:u w:val="single"/>
        </w:rPr>
        <w:t xml:space="preserve"> </w:t>
      </w:r>
      <w:r w:rsidR="001F6F3C">
        <w:rPr>
          <w:color w:val="FF0000"/>
          <w:szCs w:val="22"/>
          <w:u w:val="single"/>
        </w:rPr>
        <w:t xml:space="preserve">it </w:t>
      </w:r>
      <w:r w:rsidR="008D67C3">
        <w:rPr>
          <w:color w:val="FF0000"/>
          <w:szCs w:val="22"/>
          <w:u w:val="single"/>
        </w:rPr>
        <w:t xml:space="preserve">also </w:t>
      </w:r>
      <w:r w:rsidR="001F6F3C">
        <w:rPr>
          <w:color w:val="FF0000"/>
          <w:szCs w:val="22"/>
          <w:u w:val="single"/>
        </w:rPr>
        <w:t xml:space="preserve">includes an SBP Specific </w:t>
      </w:r>
      <w:proofErr w:type="spellStart"/>
      <w:r w:rsidR="001F6F3C">
        <w:rPr>
          <w:color w:val="FF0000"/>
          <w:szCs w:val="22"/>
          <w:u w:val="single"/>
        </w:rPr>
        <w:t>subelement</w:t>
      </w:r>
      <w:proofErr w:type="spellEnd"/>
      <w:r w:rsidR="001F6F3C">
        <w:rPr>
          <w:color w:val="FF0000"/>
          <w:szCs w:val="22"/>
          <w:u w:val="single"/>
        </w:rPr>
        <w:t xml:space="preserve"> in the Sensing Measurement Request frame to describe the set of parameters </w:t>
      </w:r>
      <w:r w:rsidR="00D50820">
        <w:rPr>
          <w:color w:val="FF0000"/>
          <w:szCs w:val="22"/>
          <w:u w:val="single"/>
        </w:rPr>
        <w:t xml:space="preserve">associated with the SBP request. The format of the SBP Specific </w:t>
      </w:r>
      <w:proofErr w:type="spellStart"/>
      <w:r w:rsidR="00D50820">
        <w:rPr>
          <w:color w:val="FF0000"/>
          <w:szCs w:val="22"/>
          <w:u w:val="single"/>
        </w:rPr>
        <w:t>subelement</w:t>
      </w:r>
      <w:proofErr w:type="spellEnd"/>
      <w:r w:rsidR="00D50820">
        <w:rPr>
          <w:color w:val="FF0000"/>
          <w:szCs w:val="22"/>
          <w:u w:val="single"/>
        </w:rPr>
        <w:t xml:space="preserve"> is as shown in Figure 9-xxx (SBP Specific </w:t>
      </w:r>
      <w:proofErr w:type="spellStart"/>
      <w:r w:rsidR="00D50820">
        <w:rPr>
          <w:color w:val="FF0000"/>
          <w:szCs w:val="22"/>
          <w:u w:val="single"/>
        </w:rPr>
        <w:t>subelement</w:t>
      </w:r>
      <w:proofErr w:type="spellEnd"/>
      <w:r w:rsidR="00D50820">
        <w:rPr>
          <w:color w:val="FF0000"/>
          <w:szCs w:val="22"/>
          <w:u w:val="single"/>
        </w:rPr>
        <w:t xml:space="preserve"> format).</w:t>
      </w:r>
    </w:p>
    <w:p w14:paraId="187F9E15" w14:textId="77777777" w:rsidR="00D50820" w:rsidRDefault="00D50820">
      <w:pPr>
        <w:rPr>
          <w:color w:val="FF0000"/>
          <w:szCs w:val="22"/>
          <w:u w:val="single"/>
        </w:rPr>
      </w:pPr>
    </w:p>
    <w:tbl>
      <w:tblPr>
        <w:tblStyle w:val="TableGrid"/>
        <w:tblW w:w="0" w:type="auto"/>
        <w:tblInd w:w="720" w:type="dxa"/>
        <w:tblLook w:val="04A0" w:firstRow="1" w:lastRow="0" w:firstColumn="1" w:lastColumn="0" w:noHBand="0" w:noVBand="1"/>
      </w:tblPr>
      <w:tblGrid>
        <w:gridCol w:w="1637"/>
        <w:gridCol w:w="1760"/>
        <w:gridCol w:w="1686"/>
        <w:gridCol w:w="1826"/>
        <w:gridCol w:w="1721"/>
      </w:tblGrid>
      <w:tr w:rsidR="00D50820" w14:paraId="4ED7F00D" w14:textId="77777777" w:rsidTr="00DC14AD">
        <w:tc>
          <w:tcPr>
            <w:tcW w:w="1870" w:type="dxa"/>
          </w:tcPr>
          <w:p w14:paraId="38EAF78F" w14:textId="77777777" w:rsidR="00D50820" w:rsidRPr="00EA7056" w:rsidRDefault="00D50820" w:rsidP="00DC14AD">
            <w:pPr>
              <w:pStyle w:val="ListParagraph"/>
              <w:ind w:left="0"/>
              <w:rPr>
                <w:color w:val="FF0000"/>
                <w:szCs w:val="22"/>
                <w:u w:val="single"/>
                <w:lang w:val="en-US"/>
              </w:rPr>
            </w:pPr>
          </w:p>
        </w:tc>
        <w:tc>
          <w:tcPr>
            <w:tcW w:w="1870" w:type="dxa"/>
          </w:tcPr>
          <w:p w14:paraId="2928051D" w14:textId="77777777" w:rsidR="00D50820" w:rsidRPr="00EA7056" w:rsidRDefault="00D50820" w:rsidP="00DC14AD">
            <w:pPr>
              <w:pStyle w:val="ListParagraph"/>
              <w:ind w:left="0"/>
              <w:rPr>
                <w:color w:val="FF0000"/>
                <w:szCs w:val="22"/>
                <w:u w:val="single"/>
                <w:lang w:val="en-US"/>
              </w:rPr>
            </w:pPr>
            <w:proofErr w:type="spellStart"/>
            <w:r w:rsidRPr="00EA7056">
              <w:rPr>
                <w:color w:val="FF0000"/>
                <w:szCs w:val="22"/>
                <w:u w:val="single"/>
                <w:lang w:val="en-US"/>
              </w:rPr>
              <w:t>Subelement</w:t>
            </w:r>
            <w:proofErr w:type="spellEnd"/>
            <w:r w:rsidRPr="00EA7056">
              <w:rPr>
                <w:color w:val="FF0000"/>
                <w:szCs w:val="22"/>
                <w:u w:val="single"/>
                <w:lang w:val="en-US"/>
              </w:rPr>
              <w:t xml:space="preserve"> ID</w:t>
            </w:r>
          </w:p>
        </w:tc>
        <w:tc>
          <w:tcPr>
            <w:tcW w:w="1870" w:type="dxa"/>
          </w:tcPr>
          <w:p w14:paraId="7F58ED0B"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Length</w:t>
            </w:r>
          </w:p>
        </w:tc>
        <w:tc>
          <w:tcPr>
            <w:tcW w:w="1870" w:type="dxa"/>
          </w:tcPr>
          <w:p w14:paraId="118AB217"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SBP Initiator AID12/USID12</w:t>
            </w:r>
          </w:p>
        </w:tc>
        <w:tc>
          <w:tcPr>
            <w:tcW w:w="1870" w:type="dxa"/>
          </w:tcPr>
          <w:p w14:paraId="10DECFD6"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Reserved</w:t>
            </w:r>
          </w:p>
        </w:tc>
      </w:tr>
      <w:tr w:rsidR="00D50820" w14:paraId="05D9F4F5" w14:textId="77777777" w:rsidTr="00DC14AD">
        <w:tc>
          <w:tcPr>
            <w:tcW w:w="1870" w:type="dxa"/>
          </w:tcPr>
          <w:p w14:paraId="4D20FC1D"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Bits</w:t>
            </w:r>
          </w:p>
        </w:tc>
        <w:tc>
          <w:tcPr>
            <w:tcW w:w="1870" w:type="dxa"/>
          </w:tcPr>
          <w:p w14:paraId="0574B2C4"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8</w:t>
            </w:r>
          </w:p>
        </w:tc>
        <w:tc>
          <w:tcPr>
            <w:tcW w:w="1870" w:type="dxa"/>
          </w:tcPr>
          <w:p w14:paraId="68FAAE97"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8</w:t>
            </w:r>
          </w:p>
        </w:tc>
        <w:tc>
          <w:tcPr>
            <w:tcW w:w="1870" w:type="dxa"/>
          </w:tcPr>
          <w:p w14:paraId="7408C931"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12</w:t>
            </w:r>
          </w:p>
        </w:tc>
        <w:tc>
          <w:tcPr>
            <w:tcW w:w="1870" w:type="dxa"/>
          </w:tcPr>
          <w:p w14:paraId="101B640D"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4</w:t>
            </w:r>
          </w:p>
        </w:tc>
      </w:tr>
    </w:tbl>
    <w:p w14:paraId="219F4C70" w14:textId="32BF1DBB" w:rsidR="00D50820" w:rsidRDefault="00D50820" w:rsidP="00D50820">
      <w:pPr>
        <w:jc w:val="center"/>
        <w:rPr>
          <w:color w:val="FF0000"/>
          <w:szCs w:val="22"/>
          <w:u w:val="single"/>
        </w:rPr>
      </w:pPr>
      <w:r>
        <w:rPr>
          <w:color w:val="FF0000"/>
          <w:szCs w:val="22"/>
          <w:u w:val="single"/>
        </w:rPr>
        <w:t xml:space="preserve">Figure 9-xxx: SBP Specific </w:t>
      </w:r>
      <w:proofErr w:type="spellStart"/>
      <w:r>
        <w:rPr>
          <w:color w:val="FF0000"/>
          <w:szCs w:val="22"/>
          <w:u w:val="single"/>
        </w:rPr>
        <w:t>subelement</w:t>
      </w:r>
      <w:proofErr w:type="spellEnd"/>
      <w:r>
        <w:rPr>
          <w:color w:val="FF0000"/>
          <w:szCs w:val="22"/>
          <w:u w:val="single"/>
        </w:rPr>
        <w:t xml:space="preserve"> format</w:t>
      </w:r>
    </w:p>
    <w:p w14:paraId="18F3E12F" w14:textId="77777777" w:rsidR="00D50820" w:rsidRDefault="00D50820" w:rsidP="00D50820">
      <w:pPr>
        <w:jc w:val="center"/>
        <w:rPr>
          <w:color w:val="FF0000"/>
          <w:szCs w:val="22"/>
          <w:u w:val="single"/>
        </w:rPr>
      </w:pPr>
    </w:p>
    <w:p w14:paraId="64AA2FEB" w14:textId="4CCFAD85" w:rsidR="00D50820" w:rsidRDefault="00D50820" w:rsidP="00D50820">
      <w:pPr>
        <w:rPr>
          <w:color w:val="FF0000"/>
          <w:szCs w:val="22"/>
          <w:u w:val="single"/>
        </w:rPr>
      </w:pPr>
      <w:r>
        <w:rPr>
          <w:color w:val="FF0000"/>
          <w:szCs w:val="22"/>
          <w:u w:val="single"/>
        </w:rPr>
        <w:t>The SBP Initiator AID12/USID12 field indicates</w:t>
      </w:r>
      <w:r w:rsidR="00EA4605">
        <w:rPr>
          <w:color w:val="FF0000"/>
          <w:szCs w:val="22"/>
          <w:u w:val="single"/>
        </w:rPr>
        <w:t xml:space="preserve"> </w:t>
      </w:r>
      <w:r>
        <w:rPr>
          <w:color w:val="FF0000"/>
          <w:szCs w:val="22"/>
          <w:u w:val="single"/>
        </w:rPr>
        <w:t xml:space="preserve">the </w:t>
      </w:r>
      <w:r w:rsidR="00EA4605">
        <w:rPr>
          <w:color w:val="FF0000"/>
          <w:szCs w:val="22"/>
          <w:u w:val="single"/>
        </w:rPr>
        <w:t xml:space="preserve">12LSBs of either the AID or the USID for the SBP initiator </w:t>
      </w:r>
      <w:r w:rsidR="004C6F19">
        <w:rPr>
          <w:color w:val="FF0000"/>
          <w:szCs w:val="22"/>
          <w:u w:val="single"/>
        </w:rPr>
        <w:t>that</w:t>
      </w:r>
      <w:r w:rsidR="00E5787B">
        <w:rPr>
          <w:color w:val="FF0000"/>
          <w:szCs w:val="22"/>
          <w:u w:val="single"/>
        </w:rPr>
        <w:t xml:space="preserve"> triggers the </w:t>
      </w:r>
      <w:r w:rsidR="007B3F5B">
        <w:rPr>
          <w:color w:val="FF0000"/>
          <w:szCs w:val="22"/>
          <w:u w:val="single"/>
        </w:rPr>
        <w:t xml:space="preserve">AP to transmit the associated </w:t>
      </w:r>
      <w:r w:rsidR="00716436">
        <w:rPr>
          <w:color w:val="FF0000"/>
          <w:szCs w:val="22"/>
          <w:u w:val="single"/>
        </w:rPr>
        <w:t xml:space="preserve">Sensing Measurement </w:t>
      </w:r>
      <w:r w:rsidR="001139D9">
        <w:rPr>
          <w:color w:val="FF0000"/>
          <w:szCs w:val="22"/>
          <w:u w:val="single"/>
        </w:rPr>
        <w:t xml:space="preserve">Setup </w:t>
      </w:r>
      <w:r w:rsidR="00716436">
        <w:rPr>
          <w:color w:val="FF0000"/>
          <w:szCs w:val="22"/>
          <w:u w:val="single"/>
        </w:rPr>
        <w:t>Request frame</w:t>
      </w:r>
      <w:r w:rsidR="007B3F5B">
        <w:rPr>
          <w:color w:val="FF0000"/>
          <w:szCs w:val="22"/>
          <w:u w:val="single"/>
        </w:rPr>
        <w:t xml:space="preserve"> </w:t>
      </w:r>
      <w:r w:rsidR="004C6F19">
        <w:rPr>
          <w:color w:val="FF0000"/>
          <w:szCs w:val="22"/>
          <w:u w:val="single"/>
        </w:rPr>
        <w:t>to satisfy the SBP request from the SBP initiator.</w:t>
      </w:r>
    </w:p>
    <w:p w14:paraId="701C46E2" w14:textId="77777777" w:rsidR="000E5D12" w:rsidRDefault="000E5D12" w:rsidP="00D50820">
      <w:pPr>
        <w:rPr>
          <w:color w:val="FF0000"/>
          <w:szCs w:val="22"/>
          <w:u w:val="single"/>
        </w:rPr>
      </w:pPr>
    </w:p>
    <w:p w14:paraId="352A15F4" w14:textId="655B74B3" w:rsidR="00B556B6" w:rsidRDefault="007F1BAD" w:rsidP="00B556B6">
      <w:pPr>
        <w:rPr>
          <w:szCs w:val="22"/>
        </w:rPr>
      </w:pPr>
      <w:r>
        <w:rPr>
          <w:szCs w:val="22"/>
        </w:rPr>
        <w:t>Add</w:t>
      </w:r>
      <w:r w:rsidR="00B556B6">
        <w:rPr>
          <w:szCs w:val="22"/>
        </w:rPr>
        <w:t xml:space="preserve"> the following paragraph in 11.55.2.2</w:t>
      </w:r>
    </w:p>
    <w:p w14:paraId="02D95795" w14:textId="45FA57EE" w:rsidR="007F1BAD" w:rsidRDefault="006A0F47" w:rsidP="00B556B6">
      <w:pPr>
        <w:rPr>
          <w:rFonts w:ascii="TimesNewRoman" w:eastAsia="TimesNewRoman" w:hAnsi="TimesNewRoman"/>
          <w:color w:val="000000"/>
          <w:szCs w:val="22"/>
        </w:rPr>
      </w:pPr>
      <w:r w:rsidRPr="006A0F47">
        <w:rPr>
          <w:rFonts w:ascii="TimesNewRoman" w:eastAsia="TimesNewRoman" w:hAnsi="TimesNewRoman"/>
          <w:color w:val="000000"/>
          <w:szCs w:val="22"/>
        </w:rPr>
        <w:t>An SBP responder that sends an SBP Response frame with status code SUCCESS shall include an RSTA Availability Window element in the SBP response frame. The RSTA Availability Information field in the RSTA Availability Window element shall contain exactly one Availability Window Information subfield. The Availability Window Information subfield represents the availability window assigned by the SBP responder to the SBP initiator. The SBP responder shall set the Availability Window Broadcast Format subfield of the Header subfield in the RSTA Availability Information field of the RSTA Availability Window element to 0.</w:t>
      </w:r>
    </w:p>
    <w:p w14:paraId="5D456E19" w14:textId="77777777" w:rsidR="006A0F47" w:rsidRDefault="006A0F47" w:rsidP="00B556B6">
      <w:pPr>
        <w:rPr>
          <w:rFonts w:ascii="TimesNewRoman" w:eastAsia="TimesNewRoman" w:hAnsi="TimesNewRoman"/>
          <w:color w:val="000000"/>
          <w:szCs w:val="22"/>
        </w:rPr>
      </w:pPr>
    </w:p>
    <w:p w14:paraId="75FF6B39" w14:textId="6B1A1E50" w:rsidR="006A0F47" w:rsidRPr="005000D7" w:rsidRDefault="00BD51C0" w:rsidP="00B556B6">
      <w:pPr>
        <w:rPr>
          <w:rFonts w:ascii="TimesNewRoman" w:eastAsia="TimesNewRoman" w:hAnsi="TimesNewRoman"/>
          <w:color w:val="FF0000"/>
          <w:u w:val="single"/>
          <w:lang w:val="en-US"/>
        </w:rPr>
      </w:pPr>
      <w:r>
        <w:rPr>
          <w:rFonts w:ascii="TimesNewRoman" w:eastAsia="TimesNewRoman" w:hAnsi="TimesNewRoman"/>
          <w:color w:val="FF0000"/>
          <w:szCs w:val="22"/>
          <w:u w:val="single"/>
        </w:rPr>
        <w:t>To satisfy an SBP request, the</w:t>
      </w:r>
      <w:r w:rsidR="001C4FED">
        <w:rPr>
          <w:rFonts w:ascii="TimesNewRoman" w:eastAsia="TimesNewRoman" w:hAnsi="TimesNewRoman"/>
          <w:color w:val="FF0000"/>
          <w:szCs w:val="22"/>
          <w:u w:val="single"/>
        </w:rPr>
        <w:t xml:space="preserve"> SBP responder </w:t>
      </w:r>
      <w:r>
        <w:rPr>
          <w:rFonts w:ascii="TimesNewRoman" w:eastAsia="TimesNewRoman" w:hAnsi="TimesNewRoman"/>
          <w:color w:val="FF0000"/>
          <w:szCs w:val="22"/>
          <w:u w:val="single"/>
        </w:rPr>
        <w:t xml:space="preserve">shall </w:t>
      </w:r>
      <w:r w:rsidR="001C4FED">
        <w:rPr>
          <w:rFonts w:ascii="TimesNewRoman" w:eastAsia="TimesNewRoman" w:hAnsi="TimesNewRoman"/>
          <w:color w:val="FF0000"/>
          <w:szCs w:val="22"/>
          <w:u w:val="single"/>
        </w:rPr>
        <w:t xml:space="preserve">initiate </w:t>
      </w:r>
      <w:r w:rsidR="0096754C">
        <w:rPr>
          <w:rFonts w:ascii="TimesNewRoman" w:eastAsia="TimesNewRoman" w:hAnsi="TimesNewRoman"/>
          <w:color w:val="FF0000"/>
          <w:szCs w:val="22"/>
          <w:u w:val="single"/>
        </w:rPr>
        <w:t xml:space="preserve">a </w:t>
      </w:r>
      <w:r>
        <w:rPr>
          <w:rFonts w:ascii="TimesNewRoman" w:eastAsia="TimesNewRoman" w:hAnsi="TimesNewRoman"/>
          <w:color w:val="FF0000"/>
          <w:szCs w:val="22"/>
          <w:u w:val="single"/>
        </w:rPr>
        <w:t xml:space="preserve">new </w:t>
      </w:r>
      <w:r w:rsidR="0096754C">
        <w:rPr>
          <w:rFonts w:ascii="TimesNewRoman" w:eastAsia="TimesNewRoman" w:hAnsi="TimesNewRoman"/>
          <w:color w:val="FF0000"/>
          <w:szCs w:val="22"/>
          <w:u w:val="single"/>
        </w:rPr>
        <w:t>sensing procedure</w:t>
      </w:r>
      <w:r>
        <w:rPr>
          <w:rFonts w:ascii="TimesNewRoman" w:eastAsia="TimesNewRoman" w:hAnsi="TimesNewRoman"/>
          <w:color w:val="FF0000"/>
          <w:szCs w:val="22"/>
          <w:u w:val="single"/>
        </w:rPr>
        <w:t>.</w:t>
      </w:r>
      <w:r w:rsidR="0096754C">
        <w:rPr>
          <w:rFonts w:ascii="TimesNewRoman" w:eastAsia="TimesNewRoman" w:hAnsi="TimesNewRoman"/>
          <w:color w:val="FF0000"/>
          <w:szCs w:val="22"/>
          <w:u w:val="single"/>
        </w:rPr>
        <w:t xml:space="preserve"> </w:t>
      </w:r>
      <w:r w:rsidR="00BC1126">
        <w:rPr>
          <w:rFonts w:ascii="TimesNewRoman" w:eastAsia="TimesNewRoman" w:hAnsi="TimesNewRoman"/>
          <w:color w:val="FF0000"/>
          <w:szCs w:val="22"/>
          <w:u w:val="single"/>
        </w:rPr>
        <w:t>T</w:t>
      </w:r>
      <w:r w:rsidR="0096754C">
        <w:rPr>
          <w:rFonts w:ascii="TimesNewRoman" w:eastAsia="TimesNewRoman" w:hAnsi="TimesNewRoman"/>
          <w:color w:val="FF0000"/>
          <w:szCs w:val="22"/>
          <w:u w:val="single"/>
        </w:rPr>
        <w:t xml:space="preserve">he </w:t>
      </w:r>
      <w:r w:rsidR="00FE7E4F">
        <w:rPr>
          <w:rFonts w:ascii="TimesNewRoman" w:eastAsia="TimesNewRoman" w:hAnsi="TimesNewRoman"/>
          <w:color w:val="FF0000"/>
          <w:szCs w:val="22"/>
          <w:u w:val="single"/>
        </w:rPr>
        <w:t>Sensing Measurement Request frame transmitted to</w:t>
      </w:r>
      <w:r w:rsidR="00983457">
        <w:rPr>
          <w:rFonts w:ascii="TimesNewRoman" w:eastAsia="TimesNewRoman" w:hAnsi="TimesNewRoman"/>
          <w:color w:val="FF0000"/>
          <w:szCs w:val="22"/>
          <w:u w:val="single"/>
        </w:rPr>
        <w:t xml:space="preserve"> a sensing responder </w:t>
      </w:r>
      <w:r w:rsidR="00CC0139">
        <w:rPr>
          <w:rFonts w:ascii="TimesNewRoman" w:eastAsia="TimesNewRoman" w:hAnsi="TimesNewRoman"/>
          <w:color w:val="FF0000"/>
          <w:szCs w:val="22"/>
          <w:u w:val="single"/>
        </w:rPr>
        <w:t xml:space="preserve">used to satisfy an SBP request </w:t>
      </w:r>
      <w:r w:rsidR="00983457">
        <w:rPr>
          <w:rFonts w:ascii="TimesNewRoman" w:eastAsia="TimesNewRoman" w:hAnsi="TimesNewRoman"/>
          <w:color w:val="FF0000"/>
          <w:szCs w:val="22"/>
          <w:u w:val="single"/>
        </w:rPr>
        <w:t>shall include a</w:t>
      </w:r>
      <w:r w:rsidR="000A4E22">
        <w:rPr>
          <w:rFonts w:ascii="TimesNewRoman" w:eastAsia="TimesNewRoman" w:hAnsi="TimesNewRoman"/>
          <w:color w:val="FF0000"/>
          <w:szCs w:val="22"/>
          <w:u w:val="single"/>
        </w:rPr>
        <w:t>n</w:t>
      </w:r>
      <w:r w:rsidR="00983457">
        <w:rPr>
          <w:rFonts w:ascii="TimesNewRoman" w:eastAsia="TimesNewRoman" w:hAnsi="TimesNewRoman"/>
          <w:color w:val="FF0000"/>
          <w:szCs w:val="22"/>
          <w:u w:val="single"/>
        </w:rPr>
        <w:t xml:space="preserve"> SBP Specific </w:t>
      </w:r>
      <w:proofErr w:type="spellStart"/>
      <w:r w:rsidR="00983457">
        <w:rPr>
          <w:rFonts w:ascii="TimesNewRoman" w:eastAsia="TimesNewRoman" w:hAnsi="TimesNewRoman"/>
          <w:color w:val="FF0000"/>
          <w:szCs w:val="22"/>
          <w:u w:val="single"/>
        </w:rPr>
        <w:t>subelement</w:t>
      </w:r>
      <w:proofErr w:type="spellEnd"/>
      <w:r w:rsidR="000A4E22">
        <w:rPr>
          <w:rFonts w:ascii="TimesNewRoman" w:eastAsia="TimesNewRoman" w:hAnsi="TimesNewRoman"/>
          <w:color w:val="FF0000"/>
          <w:szCs w:val="22"/>
          <w:u w:val="single"/>
        </w:rPr>
        <w:t xml:space="preserve"> containing the AID12/USID12 of the SBP initiator. </w:t>
      </w:r>
      <w:r w:rsidR="005000D7">
        <w:rPr>
          <w:rFonts w:ascii="TimesNewRoman" w:eastAsia="TimesNewRoman" w:hAnsi="TimesNewRoman" w:hint="eastAsia"/>
          <w:color w:val="FF0000"/>
          <w:u w:val="single"/>
        </w:rPr>
        <w:t>The Measurement Session ID field in the Sensing Measurement Request frame(s) shall be the same as the Measurement Session ID sent in the SBP Response frame and shall be different than all the exiting Measurement Session IDs used with corresponding sensing responder(s)</w:t>
      </w:r>
      <w:r w:rsidR="003D28E2">
        <w:rPr>
          <w:rFonts w:ascii="TimesNewRoman" w:eastAsia="TimesNewRoman" w:hAnsi="TimesNewRoman"/>
          <w:color w:val="FF0000"/>
          <w:szCs w:val="22"/>
          <w:u w:val="single"/>
        </w:rPr>
        <w:t>.</w:t>
      </w:r>
    </w:p>
    <w:p w14:paraId="0E397201" w14:textId="77777777" w:rsidR="000E5D12" w:rsidRPr="002546C0" w:rsidRDefault="000E5D12" w:rsidP="00D50820">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38482BC0" w14:textId="04E9BE87" w:rsidR="00CC1573" w:rsidRPr="0020092B" w:rsidRDefault="00544870" w:rsidP="003C007B">
      <w:r>
        <w:t>Y/N/A</w:t>
      </w:r>
    </w:p>
    <w:sectPr w:rsidR="00CC1573" w:rsidRPr="0020092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6B29" w14:textId="77777777" w:rsidR="0045540B" w:rsidRDefault="0045540B">
      <w:r>
        <w:separator/>
      </w:r>
    </w:p>
  </w:endnote>
  <w:endnote w:type="continuationSeparator" w:id="0">
    <w:p w14:paraId="514E1F7C" w14:textId="77777777" w:rsidR="0045540B" w:rsidRDefault="0045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686C4F"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35B0" w14:textId="77777777" w:rsidR="0045540B" w:rsidRDefault="0045540B">
      <w:r>
        <w:separator/>
      </w:r>
    </w:p>
  </w:footnote>
  <w:footnote w:type="continuationSeparator" w:id="0">
    <w:p w14:paraId="39878842" w14:textId="77777777" w:rsidR="0045540B" w:rsidRDefault="0045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B2DFBD2" w:rsidR="0029020B" w:rsidRDefault="00013BA5">
    <w:pPr>
      <w:pStyle w:val="Header"/>
      <w:tabs>
        <w:tab w:val="clear" w:pos="6480"/>
        <w:tab w:val="center" w:pos="4680"/>
        <w:tab w:val="right" w:pos="9360"/>
      </w:tabs>
    </w:pPr>
    <w:r>
      <w:t>May</w:t>
    </w:r>
    <w:r w:rsidR="00441B13">
      <w:t xml:space="preserve"> 2023</w:t>
    </w:r>
    <w:r w:rsidR="0029020B">
      <w:tab/>
    </w:r>
    <w:r w:rsidR="0029020B">
      <w:tab/>
    </w:r>
    <w:fldSimple w:instr=" TITLE  \* MERGEFORMAT ">
      <w:r w:rsidR="005610A7">
        <w:t>doc.: IEEE 802.11-</w:t>
      </w:r>
      <w:r w:rsidR="00A3771D">
        <w:t>2</w:t>
      </w:r>
      <w:r w:rsidR="00441B13">
        <w:t>3</w:t>
      </w:r>
      <w:r w:rsidR="005610A7">
        <w:t>/</w:t>
      </w:r>
      <w:r w:rsidR="005E76A5">
        <w:t>0</w:t>
      </w:r>
      <w:r>
        <w:t>749</w:t>
      </w:r>
      <w:r w:rsidR="00441B13">
        <w:t>r</w:t>
      </w:r>
      <w:r w:rsidR="00AD44BB">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6AA6"/>
    <w:multiLevelType w:val="hybridMultilevel"/>
    <w:tmpl w:val="51F8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522"/>
    <w:multiLevelType w:val="hybridMultilevel"/>
    <w:tmpl w:val="0CE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572A6"/>
    <w:multiLevelType w:val="hybridMultilevel"/>
    <w:tmpl w:val="01F2FBF2"/>
    <w:lvl w:ilvl="0" w:tplc="4ED6E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21E31"/>
    <w:multiLevelType w:val="hybridMultilevel"/>
    <w:tmpl w:val="F46A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D4A79"/>
    <w:multiLevelType w:val="hybridMultilevel"/>
    <w:tmpl w:val="2ADA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F55D5"/>
    <w:multiLevelType w:val="hybridMultilevel"/>
    <w:tmpl w:val="0C08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501BBA"/>
    <w:multiLevelType w:val="hybridMultilevel"/>
    <w:tmpl w:val="9AE4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F4850"/>
    <w:multiLevelType w:val="hybridMultilevel"/>
    <w:tmpl w:val="0226D686"/>
    <w:lvl w:ilvl="0" w:tplc="AFAC0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65431"/>
    <w:multiLevelType w:val="hybridMultilevel"/>
    <w:tmpl w:val="6C8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8"/>
  </w:num>
  <w:num w:numId="2" w16cid:durableId="1655181690">
    <w:abstractNumId w:val="3"/>
  </w:num>
  <w:num w:numId="3" w16cid:durableId="2115437319">
    <w:abstractNumId w:val="4"/>
  </w:num>
  <w:num w:numId="4" w16cid:durableId="668991931">
    <w:abstractNumId w:val="14"/>
  </w:num>
  <w:num w:numId="5" w16cid:durableId="13118043">
    <w:abstractNumId w:val="10"/>
  </w:num>
  <w:num w:numId="6" w16cid:durableId="115412172">
    <w:abstractNumId w:val="25"/>
  </w:num>
  <w:num w:numId="7" w16cid:durableId="1543396427">
    <w:abstractNumId w:val="19"/>
  </w:num>
  <w:num w:numId="8" w16cid:durableId="318385523">
    <w:abstractNumId w:val="31"/>
  </w:num>
  <w:num w:numId="9" w16cid:durableId="813838249">
    <w:abstractNumId w:val="9"/>
  </w:num>
  <w:num w:numId="10" w16cid:durableId="1454860627">
    <w:abstractNumId w:val="11"/>
  </w:num>
  <w:num w:numId="11" w16cid:durableId="190919314">
    <w:abstractNumId w:val="20"/>
  </w:num>
  <w:num w:numId="12" w16cid:durableId="825246221">
    <w:abstractNumId w:val="15"/>
  </w:num>
  <w:num w:numId="13" w16cid:durableId="1030257081">
    <w:abstractNumId w:val="23"/>
  </w:num>
  <w:num w:numId="14" w16cid:durableId="67192853">
    <w:abstractNumId w:val="32"/>
  </w:num>
  <w:num w:numId="15" w16cid:durableId="1438788223">
    <w:abstractNumId w:val="1"/>
  </w:num>
  <w:num w:numId="16" w16cid:durableId="1808859230">
    <w:abstractNumId w:val="2"/>
  </w:num>
  <w:num w:numId="17" w16cid:durableId="121310852">
    <w:abstractNumId w:val="30"/>
  </w:num>
  <w:num w:numId="18" w16cid:durableId="88893946">
    <w:abstractNumId w:val="34"/>
  </w:num>
  <w:num w:numId="19" w16cid:durableId="1034497441">
    <w:abstractNumId w:val="5"/>
  </w:num>
  <w:num w:numId="20" w16cid:durableId="1456680928">
    <w:abstractNumId w:val="0"/>
  </w:num>
  <w:num w:numId="21" w16cid:durableId="517740018">
    <w:abstractNumId w:val="29"/>
  </w:num>
  <w:num w:numId="22" w16cid:durableId="389113841">
    <w:abstractNumId w:val="13"/>
  </w:num>
  <w:num w:numId="23" w16cid:durableId="1606645039">
    <w:abstractNumId w:val="24"/>
  </w:num>
  <w:num w:numId="24" w16cid:durableId="92167988">
    <w:abstractNumId w:val="26"/>
  </w:num>
  <w:num w:numId="25" w16cid:durableId="992415713">
    <w:abstractNumId w:val="7"/>
  </w:num>
  <w:num w:numId="26" w16cid:durableId="65882918">
    <w:abstractNumId w:val="22"/>
  </w:num>
  <w:num w:numId="27" w16cid:durableId="1550651606">
    <w:abstractNumId w:val="17"/>
  </w:num>
  <w:num w:numId="28" w16cid:durableId="644965993">
    <w:abstractNumId w:val="6"/>
  </w:num>
  <w:num w:numId="29" w16cid:durableId="1680277880">
    <w:abstractNumId w:val="33"/>
  </w:num>
  <w:num w:numId="30" w16cid:durableId="1513451851">
    <w:abstractNumId w:val="8"/>
  </w:num>
  <w:num w:numId="31" w16cid:durableId="942421820">
    <w:abstractNumId w:val="16"/>
  </w:num>
  <w:num w:numId="32" w16cid:durableId="750935242">
    <w:abstractNumId w:val="18"/>
  </w:num>
  <w:num w:numId="33" w16cid:durableId="1376544382">
    <w:abstractNumId w:val="21"/>
  </w:num>
  <w:num w:numId="34" w16cid:durableId="1291739873">
    <w:abstractNumId w:val="12"/>
  </w:num>
  <w:num w:numId="35" w16cid:durableId="5121883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4DB8"/>
    <w:rsid w:val="0000575E"/>
    <w:rsid w:val="000058D8"/>
    <w:rsid w:val="0000597E"/>
    <w:rsid w:val="00007514"/>
    <w:rsid w:val="00007B50"/>
    <w:rsid w:val="0001126F"/>
    <w:rsid w:val="00011B12"/>
    <w:rsid w:val="00011BE4"/>
    <w:rsid w:val="00011F0B"/>
    <w:rsid w:val="00012509"/>
    <w:rsid w:val="00013BA5"/>
    <w:rsid w:val="00016DE5"/>
    <w:rsid w:val="00016EAE"/>
    <w:rsid w:val="0002163E"/>
    <w:rsid w:val="00021D54"/>
    <w:rsid w:val="0002212E"/>
    <w:rsid w:val="00023B92"/>
    <w:rsid w:val="00024364"/>
    <w:rsid w:val="00024926"/>
    <w:rsid w:val="0002701B"/>
    <w:rsid w:val="00027772"/>
    <w:rsid w:val="0003309F"/>
    <w:rsid w:val="000335B1"/>
    <w:rsid w:val="00033F74"/>
    <w:rsid w:val="000354E7"/>
    <w:rsid w:val="00042DE5"/>
    <w:rsid w:val="00045286"/>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95D"/>
    <w:rsid w:val="000818F7"/>
    <w:rsid w:val="00081C9B"/>
    <w:rsid w:val="00082D52"/>
    <w:rsid w:val="00084016"/>
    <w:rsid w:val="00085804"/>
    <w:rsid w:val="00086525"/>
    <w:rsid w:val="00086917"/>
    <w:rsid w:val="000873FB"/>
    <w:rsid w:val="00090ACC"/>
    <w:rsid w:val="00093DBA"/>
    <w:rsid w:val="000966F9"/>
    <w:rsid w:val="000A0403"/>
    <w:rsid w:val="000A184D"/>
    <w:rsid w:val="000A1EBC"/>
    <w:rsid w:val="000A4E22"/>
    <w:rsid w:val="000A4E6A"/>
    <w:rsid w:val="000B103F"/>
    <w:rsid w:val="000B1F9A"/>
    <w:rsid w:val="000B2E8E"/>
    <w:rsid w:val="000B4C51"/>
    <w:rsid w:val="000B5D4F"/>
    <w:rsid w:val="000B6316"/>
    <w:rsid w:val="000C347C"/>
    <w:rsid w:val="000C442D"/>
    <w:rsid w:val="000C540E"/>
    <w:rsid w:val="000C5B0B"/>
    <w:rsid w:val="000D02D7"/>
    <w:rsid w:val="000D1ADC"/>
    <w:rsid w:val="000D22CE"/>
    <w:rsid w:val="000D3837"/>
    <w:rsid w:val="000D3E96"/>
    <w:rsid w:val="000D4300"/>
    <w:rsid w:val="000D4F6C"/>
    <w:rsid w:val="000D6906"/>
    <w:rsid w:val="000E0617"/>
    <w:rsid w:val="000E0CC3"/>
    <w:rsid w:val="000E14E7"/>
    <w:rsid w:val="000E4B23"/>
    <w:rsid w:val="000E542A"/>
    <w:rsid w:val="000E5D12"/>
    <w:rsid w:val="000E6220"/>
    <w:rsid w:val="000E679F"/>
    <w:rsid w:val="000E6E08"/>
    <w:rsid w:val="000E72FD"/>
    <w:rsid w:val="000F575D"/>
    <w:rsid w:val="000F5971"/>
    <w:rsid w:val="000F6577"/>
    <w:rsid w:val="000F70CC"/>
    <w:rsid w:val="000F7435"/>
    <w:rsid w:val="000F76E4"/>
    <w:rsid w:val="00100CAB"/>
    <w:rsid w:val="001062B0"/>
    <w:rsid w:val="00111D7B"/>
    <w:rsid w:val="0011282D"/>
    <w:rsid w:val="00113043"/>
    <w:rsid w:val="001139D9"/>
    <w:rsid w:val="001148A2"/>
    <w:rsid w:val="001154FB"/>
    <w:rsid w:val="001179D4"/>
    <w:rsid w:val="00122DFA"/>
    <w:rsid w:val="0012404D"/>
    <w:rsid w:val="001249C4"/>
    <w:rsid w:val="001267A6"/>
    <w:rsid w:val="00130175"/>
    <w:rsid w:val="001333E0"/>
    <w:rsid w:val="00133DC8"/>
    <w:rsid w:val="00133FCA"/>
    <w:rsid w:val="00134561"/>
    <w:rsid w:val="00134D21"/>
    <w:rsid w:val="0013559B"/>
    <w:rsid w:val="00135CCE"/>
    <w:rsid w:val="00142268"/>
    <w:rsid w:val="00142D3D"/>
    <w:rsid w:val="00144DCE"/>
    <w:rsid w:val="00152A67"/>
    <w:rsid w:val="00153DB0"/>
    <w:rsid w:val="001558A5"/>
    <w:rsid w:val="001558B6"/>
    <w:rsid w:val="001564EF"/>
    <w:rsid w:val="00156CEC"/>
    <w:rsid w:val="00161761"/>
    <w:rsid w:val="00162144"/>
    <w:rsid w:val="00162CC6"/>
    <w:rsid w:val="001632A7"/>
    <w:rsid w:val="001639B5"/>
    <w:rsid w:val="00163F0D"/>
    <w:rsid w:val="00165DB4"/>
    <w:rsid w:val="00166E05"/>
    <w:rsid w:val="0017022B"/>
    <w:rsid w:val="0017098B"/>
    <w:rsid w:val="00171FD8"/>
    <w:rsid w:val="00172687"/>
    <w:rsid w:val="00173174"/>
    <w:rsid w:val="0017411E"/>
    <w:rsid w:val="001746F7"/>
    <w:rsid w:val="00176C5A"/>
    <w:rsid w:val="00176F5A"/>
    <w:rsid w:val="001774BD"/>
    <w:rsid w:val="00180041"/>
    <w:rsid w:val="0018218B"/>
    <w:rsid w:val="00183658"/>
    <w:rsid w:val="00185389"/>
    <w:rsid w:val="00186A66"/>
    <w:rsid w:val="00186D08"/>
    <w:rsid w:val="00186D1F"/>
    <w:rsid w:val="00192B5C"/>
    <w:rsid w:val="0019331C"/>
    <w:rsid w:val="0019397D"/>
    <w:rsid w:val="00194C1D"/>
    <w:rsid w:val="001972B4"/>
    <w:rsid w:val="001A01FB"/>
    <w:rsid w:val="001A29FD"/>
    <w:rsid w:val="001A2AD2"/>
    <w:rsid w:val="001A2D11"/>
    <w:rsid w:val="001A3AB2"/>
    <w:rsid w:val="001A4501"/>
    <w:rsid w:val="001A497D"/>
    <w:rsid w:val="001A61F6"/>
    <w:rsid w:val="001A7671"/>
    <w:rsid w:val="001A79CA"/>
    <w:rsid w:val="001C0978"/>
    <w:rsid w:val="001C17E1"/>
    <w:rsid w:val="001C1B00"/>
    <w:rsid w:val="001C210D"/>
    <w:rsid w:val="001C2668"/>
    <w:rsid w:val="001C36FE"/>
    <w:rsid w:val="001C4FED"/>
    <w:rsid w:val="001D0DEB"/>
    <w:rsid w:val="001D1261"/>
    <w:rsid w:val="001D3FC6"/>
    <w:rsid w:val="001D4B5E"/>
    <w:rsid w:val="001D4F99"/>
    <w:rsid w:val="001D723B"/>
    <w:rsid w:val="001D7930"/>
    <w:rsid w:val="001E195B"/>
    <w:rsid w:val="001E2EFE"/>
    <w:rsid w:val="001E3D4B"/>
    <w:rsid w:val="001E3DAE"/>
    <w:rsid w:val="001E4D42"/>
    <w:rsid w:val="001E5356"/>
    <w:rsid w:val="001E7B97"/>
    <w:rsid w:val="001F031B"/>
    <w:rsid w:val="001F170A"/>
    <w:rsid w:val="001F527F"/>
    <w:rsid w:val="001F6A00"/>
    <w:rsid w:val="001F6CC3"/>
    <w:rsid w:val="001F6D19"/>
    <w:rsid w:val="001F6F3C"/>
    <w:rsid w:val="001F7F3D"/>
    <w:rsid w:val="002008F9"/>
    <w:rsid w:val="0020092B"/>
    <w:rsid w:val="0020192A"/>
    <w:rsid w:val="002022F3"/>
    <w:rsid w:val="002044F5"/>
    <w:rsid w:val="00210A2D"/>
    <w:rsid w:val="0021570B"/>
    <w:rsid w:val="00216E50"/>
    <w:rsid w:val="00217035"/>
    <w:rsid w:val="00217A3A"/>
    <w:rsid w:val="002202F5"/>
    <w:rsid w:val="00220905"/>
    <w:rsid w:val="00222747"/>
    <w:rsid w:val="00224369"/>
    <w:rsid w:val="00224AB5"/>
    <w:rsid w:val="00225122"/>
    <w:rsid w:val="002275C4"/>
    <w:rsid w:val="002313D7"/>
    <w:rsid w:val="00231C5B"/>
    <w:rsid w:val="00236164"/>
    <w:rsid w:val="00240090"/>
    <w:rsid w:val="00240A82"/>
    <w:rsid w:val="00242D4C"/>
    <w:rsid w:val="00245FF0"/>
    <w:rsid w:val="00250705"/>
    <w:rsid w:val="0025147F"/>
    <w:rsid w:val="00251F11"/>
    <w:rsid w:val="00252AA4"/>
    <w:rsid w:val="00252B0C"/>
    <w:rsid w:val="0025342B"/>
    <w:rsid w:val="00253619"/>
    <w:rsid w:val="00253B07"/>
    <w:rsid w:val="00253C72"/>
    <w:rsid w:val="002546C0"/>
    <w:rsid w:val="002560DE"/>
    <w:rsid w:val="002617C1"/>
    <w:rsid w:val="00274BE2"/>
    <w:rsid w:val="002753DA"/>
    <w:rsid w:val="002762F8"/>
    <w:rsid w:val="002767FE"/>
    <w:rsid w:val="0027725A"/>
    <w:rsid w:val="00280A96"/>
    <w:rsid w:val="00281BCD"/>
    <w:rsid w:val="00282AC3"/>
    <w:rsid w:val="00283156"/>
    <w:rsid w:val="00283AA4"/>
    <w:rsid w:val="00286704"/>
    <w:rsid w:val="00286D08"/>
    <w:rsid w:val="00286F14"/>
    <w:rsid w:val="0029020B"/>
    <w:rsid w:val="00296332"/>
    <w:rsid w:val="002972A7"/>
    <w:rsid w:val="0029736A"/>
    <w:rsid w:val="002A02D4"/>
    <w:rsid w:val="002A3390"/>
    <w:rsid w:val="002A36E9"/>
    <w:rsid w:val="002A3B31"/>
    <w:rsid w:val="002A3F42"/>
    <w:rsid w:val="002A5886"/>
    <w:rsid w:val="002A63CC"/>
    <w:rsid w:val="002A78EF"/>
    <w:rsid w:val="002A7C0A"/>
    <w:rsid w:val="002B03BD"/>
    <w:rsid w:val="002B3391"/>
    <w:rsid w:val="002B46CC"/>
    <w:rsid w:val="002B6C73"/>
    <w:rsid w:val="002B75A0"/>
    <w:rsid w:val="002C1058"/>
    <w:rsid w:val="002C17CF"/>
    <w:rsid w:val="002C24AA"/>
    <w:rsid w:val="002C5489"/>
    <w:rsid w:val="002C5865"/>
    <w:rsid w:val="002C5D32"/>
    <w:rsid w:val="002C620B"/>
    <w:rsid w:val="002C6F70"/>
    <w:rsid w:val="002C7A34"/>
    <w:rsid w:val="002D44BE"/>
    <w:rsid w:val="002D450A"/>
    <w:rsid w:val="002D456E"/>
    <w:rsid w:val="002D4DBB"/>
    <w:rsid w:val="002D61C4"/>
    <w:rsid w:val="002D6E0A"/>
    <w:rsid w:val="002E37A3"/>
    <w:rsid w:val="002E3AF0"/>
    <w:rsid w:val="002E3C24"/>
    <w:rsid w:val="002E7E13"/>
    <w:rsid w:val="002F09CA"/>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91"/>
    <w:rsid w:val="003242A4"/>
    <w:rsid w:val="00324A4F"/>
    <w:rsid w:val="00324BB9"/>
    <w:rsid w:val="00330FBB"/>
    <w:rsid w:val="00331D2D"/>
    <w:rsid w:val="00332717"/>
    <w:rsid w:val="00340605"/>
    <w:rsid w:val="00342D17"/>
    <w:rsid w:val="00343196"/>
    <w:rsid w:val="00351AE7"/>
    <w:rsid w:val="00354B2E"/>
    <w:rsid w:val="00354D5A"/>
    <w:rsid w:val="00356CB0"/>
    <w:rsid w:val="003613EF"/>
    <w:rsid w:val="0036153F"/>
    <w:rsid w:val="00362538"/>
    <w:rsid w:val="003647A8"/>
    <w:rsid w:val="00364896"/>
    <w:rsid w:val="00366B0B"/>
    <w:rsid w:val="003702F5"/>
    <w:rsid w:val="003734BC"/>
    <w:rsid w:val="003735CB"/>
    <w:rsid w:val="00373E03"/>
    <w:rsid w:val="00374DFF"/>
    <w:rsid w:val="00377376"/>
    <w:rsid w:val="00380A38"/>
    <w:rsid w:val="00380DEB"/>
    <w:rsid w:val="00381396"/>
    <w:rsid w:val="003818B2"/>
    <w:rsid w:val="00384809"/>
    <w:rsid w:val="003878DF"/>
    <w:rsid w:val="00392FEE"/>
    <w:rsid w:val="00395BA7"/>
    <w:rsid w:val="00396F41"/>
    <w:rsid w:val="0039714F"/>
    <w:rsid w:val="0039777F"/>
    <w:rsid w:val="003A30D3"/>
    <w:rsid w:val="003A31C2"/>
    <w:rsid w:val="003A49F0"/>
    <w:rsid w:val="003A6684"/>
    <w:rsid w:val="003B094F"/>
    <w:rsid w:val="003B36CF"/>
    <w:rsid w:val="003B46A3"/>
    <w:rsid w:val="003B5417"/>
    <w:rsid w:val="003B703E"/>
    <w:rsid w:val="003C007B"/>
    <w:rsid w:val="003C2156"/>
    <w:rsid w:val="003C21F6"/>
    <w:rsid w:val="003C30FC"/>
    <w:rsid w:val="003C46EC"/>
    <w:rsid w:val="003C5CBD"/>
    <w:rsid w:val="003D0401"/>
    <w:rsid w:val="003D217A"/>
    <w:rsid w:val="003D28E2"/>
    <w:rsid w:val="003D560E"/>
    <w:rsid w:val="003D6103"/>
    <w:rsid w:val="003D67F0"/>
    <w:rsid w:val="003E1DF5"/>
    <w:rsid w:val="003E2547"/>
    <w:rsid w:val="003E36E5"/>
    <w:rsid w:val="003F0758"/>
    <w:rsid w:val="003F0F94"/>
    <w:rsid w:val="003F1287"/>
    <w:rsid w:val="003F3ACA"/>
    <w:rsid w:val="003F59EB"/>
    <w:rsid w:val="003F6AD7"/>
    <w:rsid w:val="003F7C18"/>
    <w:rsid w:val="004007CD"/>
    <w:rsid w:val="004020F3"/>
    <w:rsid w:val="004056CB"/>
    <w:rsid w:val="00407998"/>
    <w:rsid w:val="00411242"/>
    <w:rsid w:val="0041225B"/>
    <w:rsid w:val="00412CDE"/>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18F0"/>
    <w:rsid w:val="00441B13"/>
    <w:rsid w:val="00442037"/>
    <w:rsid w:val="0044270F"/>
    <w:rsid w:val="00443E78"/>
    <w:rsid w:val="00445712"/>
    <w:rsid w:val="00450227"/>
    <w:rsid w:val="004508C8"/>
    <w:rsid w:val="00450B2A"/>
    <w:rsid w:val="00452BB0"/>
    <w:rsid w:val="004535E7"/>
    <w:rsid w:val="0045540B"/>
    <w:rsid w:val="00455A6A"/>
    <w:rsid w:val="00456A69"/>
    <w:rsid w:val="00460E9A"/>
    <w:rsid w:val="00461314"/>
    <w:rsid w:val="004613E3"/>
    <w:rsid w:val="00461D7E"/>
    <w:rsid w:val="0046221D"/>
    <w:rsid w:val="00462CF9"/>
    <w:rsid w:val="00465B86"/>
    <w:rsid w:val="00465F92"/>
    <w:rsid w:val="0047161D"/>
    <w:rsid w:val="0047319E"/>
    <w:rsid w:val="00473B39"/>
    <w:rsid w:val="004746BA"/>
    <w:rsid w:val="00477B00"/>
    <w:rsid w:val="0048448E"/>
    <w:rsid w:val="00484C0D"/>
    <w:rsid w:val="00486755"/>
    <w:rsid w:val="0048700D"/>
    <w:rsid w:val="0049420B"/>
    <w:rsid w:val="00495462"/>
    <w:rsid w:val="004965CC"/>
    <w:rsid w:val="004A2B87"/>
    <w:rsid w:val="004A45B6"/>
    <w:rsid w:val="004A5946"/>
    <w:rsid w:val="004A757D"/>
    <w:rsid w:val="004B064B"/>
    <w:rsid w:val="004B1437"/>
    <w:rsid w:val="004B1AD4"/>
    <w:rsid w:val="004B2027"/>
    <w:rsid w:val="004B221E"/>
    <w:rsid w:val="004B6306"/>
    <w:rsid w:val="004B6E2C"/>
    <w:rsid w:val="004C06DA"/>
    <w:rsid w:val="004C5CA5"/>
    <w:rsid w:val="004C6D2C"/>
    <w:rsid w:val="004C6F19"/>
    <w:rsid w:val="004D0431"/>
    <w:rsid w:val="004D4581"/>
    <w:rsid w:val="004D5121"/>
    <w:rsid w:val="004D775F"/>
    <w:rsid w:val="004E0CCC"/>
    <w:rsid w:val="004E5F3E"/>
    <w:rsid w:val="004E7871"/>
    <w:rsid w:val="004E7A6A"/>
    <w:rsid w:val="004E7B63"/>
    <w:rsid w:val="004F0EF9"/>
    <w:rsid w:val="004F165C"/>
    <w:rsid w:val="004F2B4A"/>
    <w:rsid w:val="004F465E"/>
    <w:rsid w:val="004F4F43"/>
    <w:rsid w:val="005000D7"/>
    <w:rsid w:val="00500739"/>
    <w:rsid w:val="00501963"/>
    <w:rsid w:val="00502D67"/>
    <w:rsid w:val="00503297"/>
    <w:rsid w:val="00504D58"/>
    <w:rsid w:val="00504E8E"/>
    <w:rsid w:val="00506E37"/>
    <w:rsid w:val="0050735B"/>
    <w:rsid w:val="00510C25"/>
    <w:rsid w:val="005137CA"/>
    <w:rsid w:val="00513E59"/>
    <w:rsid w:val="00516C45"/>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453E8"/>
    <w:rsid w:val="005471A0"/>
    <w:rsid w:val="005555BF"/>
    <w:rsid w:val="00555A94"/>
    <w:rsid w:val="0055665E"/>
    <w:rsid w:val="00557922"/>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029C"/>
    <w:rsid w:val="005919D2"/>
    <w:rsid w:val="005936D2"/>
    <w:rsid w:val="00594638"/>
    <w:rsid w:val="00595D4C"/>
    <w:rsid w:val="00597E33"/>
    <w:rsid w:val="00597F7F"/>
    <w:rsid w:val="005A1091"/>
    <w:rsid w:val="005A3992"/>
    <w:rsid w:val="005A486B"/>
    <w:rsid w:val="005A5EA4"/>
    <w:rsid w:val="005B1887"/>
    <w:rsid w:val="005B41F7"/>
    <w:rsid w:val="005B68DC"/>
    <w:rsid w:val="005C0B7E"/>
    <w:rsid w:val="005C18D9"/>
    <w:rsid w:val="005C3533"/>
    <w:rsid w:val="005C3855"/>
    <w:rsid w:val="005C3D7E"/>
    <w:rsid w:val="005C52A0"/>
    <w:rsid w:val="005D00DC"/>
    <w:rsid w:val="005D1DED"/>
    <w:rsid w:val="005D2A5E"/>
    <w:rsid w:val="005D2C77"/>
    <w:rsid w:val="005D33BA"/>
    <w:rsid w:val="005D3A80"/>
    <w:rsid w:val="005D47D2"/>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0AE"/>
    <w:rsid w:val="00640653"/>
    <w:rsid w:val="00652068"/>
    <w:rsid w:val="00653B97"/>
    <w:rsid w:val="00655788"/>
    <w:rsid w:val="00661794"/>
    <w:rsid w:val="00662A59"/>
    <w:rsid w:val="00665966"/>
    <w:rsid w:val="00666572"/>
    <w:rsid w:val="00672EBD"/>
    <w:rsid w:val="00672F4B"/>
    <w:rsid w:val="00674E96"/>
    <w:rsid w:val="006758A7"/>
    <w:rsid w:val="006771D7"/>
    <w:rsid w:val="006812F5"/>
    <w:rsid w:val="00681D8C"/>
    <w:rsid w:val="006822E4"/>
    <w:rsid w:val="0068296C"/>
    <w:rsid w:val="00685982"/>
    <w:rsid w:val="00685D4A"/>
    <w:rsid w:val="006860DA"/>
    <w:rsid w:val="00686C4F"/>
    <w:rsid w:val="00690709"/>
    <w:rsid w:val="00697005"/>
    <w:rsid w:val="00697191"/>
    <w:rsid w:val="00697883"/>
    <w:rsid w:val="006A0E41"/>
    <w:rsid w:val="006A0F47"/>
    <w:rsid w:val="006A5E52"/>
    <w:rsid w:val="006A614E"/>
    <w:rsid w:val="006A6CC8"/>
    <w:rsid w:val="006B0A04"/>
    <w:rsid w:val="006B16EE"/>
    <w:rsid w:val="006B2056"/>
    <w:rsid w:val="006B36CB"/>
    <w:rsid w:val="006B36D7"/>
    <w:rsid w:val="006B3870"/>
    <w:rsid w:val="006B50C8"/>
    <w:rsid w:val="006B538F"/>
    <w:rsid w:val="006B5B9D"/>
    <w:rsid w:val="006C0727"/>
    <w:rsid w:val="006C15E5"/>
    <w:rsid w:val="006C18E5"/>
    <w:rsid w:val="006C35E1"/>
    <w:rsid w:val="006C3921"/>
    <w:rsid w:val="006C3951"/>
    <w:rsid w:val="006C52FF"/>
    <w:rsid w:val="006D01A1"/>
    <w:rsid w:val="006D1D91"/>
    <w:rsid w:val="006D238D"/>
    <w:rsid w:val="006D557F"/>
    <w:rsid w:val="006E011F"/>
    <w:rsid w:val="006E0E7D"/>
    <w:rsid w:val="006E145F"/>
    <w:rsid w:val="006E1D46"/>
    <w:rsid w:val="006E5B1F"/>
    <w:rsid w:val="006E6115"/>
    <w:rsid w:val="006E7561"/>
    <w:rsid w:val="006E7718"/>
    <w:rsid w:val="006F0DB5"/>
    <w:rsid w:val="006F1A1C"/>
    <w:rsid w:val="006F66B8"/>
    <w:rsid w:val="006F734C"/>
    <w:rsid w:val="0070208F"/>
    <w:rsid w:val="0070221D"/>
    <w:rsid w:val="007022D9"/>
    <w:rsid w:val="00702BDF"/>
    <w:rsid w:val="0070716C"/>
    <w:rsid w:val="00707360"/>
    <w:rsid w:val="00707CE8"/>
    <w:rsid w:val="007106F9"/>
    <w:rsid w:val="00711383"/>
    <w:rsid w:val="00712EB8"/>
    <w:rsid w:val="0071338A"/>
    <w:rsid w:val="00716436"/>
    <w:rsid w:val="007165F8"/>
    <w:rsid w:val="00716841"/>
    <w:rsid w:val="00716EF3"/>
    <w:rsid w:val="00717BCF"/>
    <w:rsid w:val="007203A6"/>
    <w:rsid w:val="0072071D"/>
    <w:rsid w:val="007238E6"/>
    <w:rsid w:val="0073102F"/>
    <w:rsid w:val="00733AF6"/>
    <w:rsid w:val="00734F0F"/>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0C8"/>
    <w:rsid w:val="00770572"/>
    <w:rsid w:val="00770984"/>
    <w:rsid w:val="0077114C"/>
    <w:rsid w:val="007732B2"/>
    <w:rsid w:val="007738C5"/>
    <w:rsid w:val="00774FE9"/>
    <w:rsid w:val="007826A1"/>
    <w:rsid w:val="00787702"/>
    <w:rsid w:val="007918B8"/>
    <w:rsid w:val="0079734D"/>
    <w:rsid w:val="00797B43"/>
    <w:rsid w:val="007A0B55"/>
    <w:rsid w:val="007A0F96"/>
    <w:rsid w:val="007A4582"/>
    <w:rsid w:val="007A496A"/>
    <w:rsid w:val="007B0EDB"/>
    <w:rsid w:val="007B1B49"/>
    <w:rsid w:val="007B1E47"/>
    <w:rsid w:val="007B2EE1"/>
    <w:rsid w:val="007B3F5B"/>
    <w:rsid w:val="007B5F20"/>
    <w:rsid w:val="007C1F7A"/>
    <w:rsid w:val="007C294E"/>
    <w:rsid w:val="007C30D1"/>
    <w:rsid w:val="007C6589"/>
    <w:rsid w:val="007D04E3"/>
    <w:rsid w:val="007D70B8"/>
    <w:rsid w:val="007E0838"/>
    <w:rsid w:val="007E59EB"/>
    <w:rsid w:val="007E7311"/>
    <w:rsid w:val="007E7B27"/>
    <w:rsid w:val="007F015F"/>
    <w:rsid w:val="007F1077"/>
    <w:rsid w:val="007F1BAD"/>
    <w:rsid w:val="007F26FE"/>
    <w:rsid w:val="007F5B77"/>
    <w:rsid w:val="0080078A"/>
    <w:rsid w:val="00802986"/>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2AD0"/>
    <w:rsid w:val="008438A8"/>
    <w:rsid w:val="00846683"/>
    <w:rsid w:val="00852C90"/>
    <w:rsid w:val="00852C9F"/>
    <w:rsid w:val="0085319A"/>
    <w:rsid w:val="00855DEC"/>
    <w:rsid w:val="00864EBB"/>
    <w:rsid w:val="00866BA8"/>
    <w:rsid w:val="00875A81"/>
    <w:rsid w:val="0087699A"/>
    <w:rsid w:val="00877181"/>
    <w:rsid w:val="00877E74"/>
    <w:rsid w:val="008807BB"/>
    <w:rsid w:val="00880DA8"/>
    <w:rsid w:val="0088142F"/>
    <w:rsid w:val="00881762"/>
    <w:rsid w:val="00881CBA"/>
    <w:rsid w:val="00882567"/>
    <w:rsid w:val="00883154"/>
    <w:rsid w:val="00887B53"/>
    <w:rsid w:val="00890FB5"/>
    <w:rsid w:val="0089179F"/>
    <w:rsid w:val="008932E4"/>
    <w:rsid w:val="00894E0A"/>
    <w:rsid w:val="0089728A"/>
    <w:rsid w:val="008973D5"/>
    <w:rsid w:val="008977C8"/>
    <w:rsid w:val="008A2257"/>
    <w:rsid w:val="008A2710"/>
    <w:rsid w:val="008A2E48"/>
    <w:rsid w:val="008A3FC1"/>
    <w:rsid w:val="008A4D3D"/>
    <w:rsid w:val="008A52A9"/>
    <w:rsid w:val="008B2530"/>
    <w:rsid w:val="008B5E20"/>
    <w:rsid w:val="008B7F67"/>
    <w:rsid w:val="008D0CB7"/>
    <w:rsid w:val="008D10C4"/>
    <w:rsid w:val="008D2942"/>
    <w:rsid w:val="008D67C3"/>
    <w:rsid w:val="008E15F5"/>
    <w:rsid w:val="008E494C"/>
    <w:rsid w:val="008E7637"/>
    <w:rsid w:val="008F3C3D"/>
    <w:rsid w:val="008F674F"/>
    <w:rsid w:val="008F7572"/>
    <w:rsid w:val="008F78F8"/>
    <w:rsid w:val="008F7F57"/>
    <w:rsid w:val="0090229B"/>
    <w:rsid w:val="009029CB"/>
    <w:rsid w:val="00903263"/>
    <w:rsid w:val="00905F43"/>
    <w:rsid w:val="00906E15"/>
    <w:rsid w:val="00913691"/>
    <w:rsid w:val="00913B04"/>
    <w:rsid w:val="009160EA"/>
    <w:rsid w:val="00916A65"/>
    <w:rsid w:val="00917527"/>
    <w:rsid w:val="00920C7E"/>
    <w:rsid w:val="00921D67"/>
    <w:rsid w:val="00922EA6"/>
    <w:rsid w:val="00925B6A"/>
    <w:rsid w:val="009269A5"/>
    <w:rsid w:val="0093015E"/>
    <w:rsid w:val="0093100B"/>
    <w:rsid w:val="00932A2A"/>
    <w:rsid w:val="00934464"/>
    <w:rsid w:val="0093461B"/>
    <w:rsid w:val="00934DF0"/>
    <w:rsid w:val="00935083"/>
    <w:rsid w:val="009355C6"/>
    <w:rsid w:val="009358C3"/>
    <w:rsid w:val="00936281"/>
    <w:rsid w:val="009423E7"/>
    <w:rsid w:val="00943B26"/>
    <w:rsid w:val="00945BBE"/>
    <w:rsid w:val="009461C2"/>
    <w:rsid w:val="009465F3"/>
    <w:rsid w:val="009510AB"/>
    <w:rsid w:val="00951356"/>
    <w:rsid w:val="009513C8"/>
    <w:rsid w:val="00951F1B"/>
    <w:rsid w:val="009525D3"/>
    <w:rsid w:val="00956D55"/>
    <w:rsid w:val="0096154A"/>
    <w:rsid w:val="009620AA"/>
    <w:rsid w:val="00963D5D"/>
    <w:rsid w:val="00967241"/>
    <w:rsid w:val="009673A9"/>
    <w:rsid w:val="0096754C"/>
    <w:rsid w:val="009701E3"/>
    <w:rsid w:val="00972384"/>
    <w:rsid w:val="00973725"/>
    <w:rsid w:val="00976C4A"/>
    <w:rsid w:val="009776B2"/>
    <w:rsid w:val="00977B8F"/>
    <w:rsid w:val="00980FAA"/>
    <w:rsid w:val="00983457"/>
    <w:rsid w:val="00986BF4"/>
    <w:rsid w:val="009903BF"/>
    <w:rsid w:val="009909EC"/>
    <w:rsid w:val="009911EA"/>
    <w:rsid w:val="0099380B"/>
    <w:rsid w:val="00993E14"/>
    <w:rsid w:val="00995C78"/>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959"/>
    <w:rsid w:val="009D7FB8"/>
    <w:rsid w:val="009E1B98"/>
    <w:rsid w:val="009E38B6"/>
    <w:rsid w:val="009E516F"/>
    <w:rsid w:val="009E60B8"/>
    <w:rsid w:val="009E67DB"/>
    <w:rsid w:val="009F2FBC"/>
    <w:rsid w:val="009F5E4C"/>
    <w:rsid w:val="009F6903"/>
    <w:rsid w:val="00A0047A"/>
    <w:rsid w:val="00A04662"/>
    <w:rsid w:val="00A049DA"/>
    <w:rsid w:val="00A05694"/>
    <w:rsid w:val="00A05FC7"/>
    <w:rsid w:val="00A070ED"/>
    <w:rsid w:val="00A108C8"/>
    <w:rsid w:val="00A1380C"/>
    <w:rsid w:val="00A146CD"/>
    <w:rsid w:val="00A15BE0"/>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2EB8"/>
    <w:rsid w:val="00A676A0"/>
    <w:rsid w:val="00A71571"/>
    <w:rsid w:val="00A72F61"/>
    <w:rsid w:val="00A736FF"/>
    <w:rsid w:val="00A73CC1"/>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46D9"/>
    <w:rsid w:val="00A96882"/>
    <w:rsid w:val="00A977B2"/>
    <w:rsid w:val="00AA29F9"/>
    <w:rsid w:val="00AA427C"/>
    <w:rsid w:val="00AA5997"/>
    <w:rsid w:val="00AA6E29"/>
    <w:rsid w:val="00AA7DC0"/>
    <w:rsid w:val="00AB0A84"/>
    <w:rsid w:val="00AB2923"/>
    <w:rsid w:val="00AB3286"/>
    <w:rsid w:val="00AB4A13"/>
    <w:rsid w:val="00AC0324"/>
    <w:rsid w:val="00AC07D1"/>
    <w:rsid w:val="00AC266D"/>
    <w:rsid w:val="00AC2723"/>
    <w:rsid w:val="00AC46A0"/>
    <w:rsid w:val="00AC4D71"/>
    <w:rsid w:val="00AC692A"/>
    <w:rsid w:val="00AD1A80"/>
    <w:rsid w:val="00AD3144"/>
    <w:rsid w:val="00AD3520"/>
    <w:rsid w:val="00AD3EFD"/>
    <w:rsid w:val="00AD44BB"/>
    <w:rsid w:val="00AD53D5"/>
    <w:rsid w:val="00AD6A5D"/>
    <w:rsid w:val="00AE26AE"/>
    <w:rsid w:val="00AE5D52"/>
    <w:rsid w:val="00AE733F"/>
    <w:rsid w:val="00AF0552"/>
    <w:rsid w:val="00AF2B91"/>
    <w:rsid w:val="00AF5389"/>
    <w:rsid w:val="00AF7DD7"/>
    <w:rsid w:val="00B00396"/>
    <w:rsid w:val="00B01E1C"/>
    <w:rsid w:val="00B02037"/>
    <w:rsid w:val="00B0213E"/>
    <w:rsid w:val="00B03365"/>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27E0"/>
    <w:rsid w:val="00B236C2"/>
    <w:rsid w:val="00B2479F"/>
    <w:rsid w:val="00B260E5"/>
    <w:rsid w:val="00B2692E"/>
    <w:rsid w:val="00B3072C"/>
    <w:rsid w:val="00B37A07"/>
    <w:rsid w:val="00B40975"/>
    <w:rsid w:val="00B42259"/>
    <w:rsid w:val="00B43B4F"/>
    <w:rsid w:val="00B4449B"/>
    <w:rsid w:val="00B46D1E"/>
    <w:rsid w:val="00B50B5D"/>
    <w:rsid w:val="00B51207"/>
    <w:rsid w:val="00B53093"/>
    <w:rsid w:val="00B53E85"/>
    <w:rsid w:val="00B54EF9"/>
    <w:rsid w:val="00B55366"/>
    <w:rsid w:val="00B556B6"/>
    <w:rsid w:val="00B61315"/>
    <w:rsid w:val="00B62610"/>
    <w:rsid w:val="00B64109"/>
    <w:rsid w:val="00B649AD"/>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B2EBA"/>
    <w:rsid w:val="00BC0347"/>
    <w:rsid w:val="00BC038F"/>
    <w:rsid w:val="00BC1126"/>
    <w:rsid w:val="00BC1963"/>
    <w:rsid w:val="00BC1F62"/>
    <w:rsid w:val="00BC2658"/>
    <w:rsid w:val="00BC365E"/>
    <w:rsid w:val="00BC4CC6"/>
    <w:rsid w:val="00BC5214"/>
    <w:rsid w:val="00BC5C1E"/>
    <w:rsid w:val="00BC7956"/>
    <w:rsid w:val="00BD2838"/>
    <w:rsid w:val="00BD3AB4"/>
    <w:rsid w:val="00BD51C0"/>
    <w:rsid w:val="00BD581D"/>
    <w:rsid w:val="00BD5C85"/>
    <w:rsid w:val="00BE2974"/>
    <w:rsid w:val="00BE2DB2"/>
    <w:rsid w:val="00BE3DB9"/>
    <w:rsid w:val="00BE4307"/>
    <w:rsid w:val="00BE527D"/>
    <w:rsid w:val="00BE553E"/>
    <w:rsid w:val="00BE5829"/>
    <w:rsid w:val="00BE63B0"/>
    <w:rsid w:val="00BE68C2"/>
    <w:rsid w:val="00BE6AF6"/>
    <w:rsid w:val="00BE7BD0"/>
    <w:rsid w:val="00BF09FA"/>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3F65"/>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0567"/>
    <w:rsid w:val="00C74AB6"/>
    <w:rsid w:val="00C759D4"/>
    <w:rsid w:val="00C76127"/>
    <w:rsid w:val="00C76624"/>
    <w:rsid w:val="00C80597"/>
    <w:rsid w:val="00C81C4C"/>
    <w:rsid w:val="00C827A6"/>
    <w:rsid w:val="00C83B27"/>
    <w:rsid w:val="00C83B2B"/>
    <w:rsid w:val="00C83EA6"/>
    <w:rsid w:val="00C851A8"/>
    <w:rsid w:val="00C865EC"/>
    <w:rsid w:val="00C87A93"/>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2FB7"/>
    <w:rsid w:val="00CB4A12"/>
    <w:rsid w:val="00CB5198"/>
    <w:rsid w:val="00CC0139"/>
    <w:rsid w:val="00CC0D4B"/>
    <w:rsid w:val="00CC100E"/>
    <w:rsid w:val="00CC1573"/>
    <w:rsid w:val="00CC19BE"/>
    <w:rsid w:val="00CC2084"/>
    <w:rsid w:val="00CC26C9"/>
    <w:rsid w:val="00CC2A13"/>
    <w:rsid w:val="00CD02DA"/>
    <w:rsid w:val="00CD25E9"/>
    <w:rsid w:val="00CD268B"/>
    <w:rsid w:val="00CD338D"/>
    <w:rsid w:val="00CD5C2A"/>
    <w:rsid w:val="00CE125D"/>
    <w:rsid w:val="00CE20BF"/>
    <w:rsid w:val="00CE71E5"/>
    <w:rsid w:val="00CF09FE"/>
    <w:rsid w:val="00CF187B"/>
    <w:rsid w:val="00CF2643"/>
    <w:rsid w:val="00CF4EFA"/>
    <w:rsid w:val="00CF77E5"/>
    <w:rsid w:val="00D00944"/>
    <w:rsid w:val="00D01C9A"/>
    <w:rsid w:val="00D045CD"/>
    <w:rsid w:val="00D05A07"/>
    <w:rsid w:val="00D05FF5"/>
    <w:rsid w:val="00D06D5D"/>
    <w:rsid w:val="00D078C5"/>
    <w:rsid w:val="00D1314B"/>
    <w:rsid w:val="00D13221"/>
    <w:rsid w:val="00D13F2C"/>
    <w:rsid w:val="00D154CE"/>
    <w:rsid w:val="00D23147"/>
    <w:rsid w:val="00D246DB"/>
    <w:rsid w:val="00D26C54"/>
    <w:rsid w:val="00D31C26"/>
    <w:rsid w:val="00D31F02"/>
    <w:rsid w:val="00D31F41"/>
    <w:rsid w:val="00D33071"/>
    <w:rsid w:val="00D351F8"/>
    <w:rsid w:val="00D35879"/>
    <w:rsid w:val="00D409E1"/>
    <w:rsid w:val="00D45DF4"/>
    <w:rsid w:val="00D46F43"/>
    <w:rsid w:val="00D47729"/>
    <w:rsid w:val="00D50820"/>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B7493"/>
    <w:rsid w:val="00DC12FF"/>
    <w:rsid w:val="00DC1F54"/>
    <w:rsid w:val="00DC494B"/>
    <w:rsid w:val="00DC5A7B"/>
    <w:rsid w:val="00DD0D76"/>
    <w:rsid w:val="00DD12EF"/>
    <w:rsid w:val="00DD3DA3"/>
    <w:rsid w:val="00DD7919"/>
    <w:rsid w:val="00DE1AB5"/>
    <w:rsid w:val="00DE493F"/>
    <w:rsid w:val="00DF062F"/>
    <w:rsid w:val="00DF0BB0"/>
    <w:rsid w:val="00DF6202"/>
    <w:rsid w:val="00E01466"/>
    <w:rsid w:val="00E0208B"/>
    <w:rsid w:val="00E02CC3"/>
    <w:rsid w:val="00E07FD6"/>
    <w:rsid w:val="00E1025E"/>
    <w:rsid w:val="00E1352B"/>
    <w:rsid w:val="00E15417"/>
    <w:rsid w:val="00E1618F"/>
    <w:rsid w:val="00E2044B"/>
    <w:rsid w:val="00E20765"/>
    <w:rsid w:val="00E21E9E"/>
    <w:rsid w:val="00E22C25"/>
    <w:rsid w:val="00E307E4"/>
    <w:rsid w:val="00E32B6C"/>
    <w:rsid w:val="00E334EF"/>
    <w:rsid w:val="00E36511"/>
    <w:rsid w:val="00E36701"/>
    <w:rsid w:val="00E36E98"/>
    <w:rsid w:val="00E40807"/>
    <w:rsid w:val="00E40BD8"/>
    <w:rsid w:val="00E41E1A"/>
    <w:rsid w:val="00E43091"/>
    <w:rsid w:val="00E50695"/>
    <w:rsid w:val="00E5264B"/>
    <w:rsid w:val="00E543E6"/>
    <w:rsid w:val="00E54EFA"/>
    <w:rsid w:val="00E569CD"/>
    <w:rsid w:val="00E56CEE"/>
    <w:rsid w:val="00E5787B"/>
    <w:rsid w:val="00E62D89"/>
    <w:rsid w:val="00E63700"/>
    <w:rsid w:val="00E65103"/>
    <w:rsid w:val="00E658BD"/>
    <w:rsid w:val="00E65E2F"/>
    <w:rsid w:val="00E71046"/>
    <w:rsid w:val="00E71813"/>
    <w:rsid w:val="00E71CD1"/>
    <w:rsid w:val="00E75783"/>
    <w:rsid w:val="00E75DEE"/>
    <w:rsid w:val="00E7609E"/>
    <w:rsid w:val="00E76E6C"/>
    <w:rsid w:val="00E77CB9"/>
    <w:rsid w:val="00E86FDF"/>
    <w:rsid w:val="00E871E2"/>
    <w:rsid w:val="00E91BD2"/>
    <w:rsid w:val="00E931B6"/>
    <w:rsid w:val="00E93FB1"/>
    <w:rsid w:val="00E96B34"/>
    <w:rsid w:val="00E97442"/>
    <w:rsid w:val="00E9787C"/>
    <w:rsid w:val="00E97C51"/>
    <w:rsid w:val="00EA0602"/>
    <w:rsid w:val="00EA11EF"/>
    <w:rsid w:val="00EA1E3B"/>
    <w:rsid w:val="00EA2C1B"/>
    <w:rsid w:val="00EA3DF4"/>
    <w:rsid w:val="00EA4605"/>
    <w:rsid w:val="00EA48E7"/>
    <w:rsid w:val="00EA49F9"/>
    <w:rsid w:val="00EA4B79"/>
    <w:rsid w:val="00EA52B9"/>
    <w:rsid w:val="00EA6B5E"/>
    <w:rsid w:val="00EA7056"/>
    <w:rsid w:val="00EA7B87"/>
    <w:rsid w:val="00EB2B5D"/>
    <w:rsid w:val="00EB2E46"/>
    <w:rsid w:val="00EB3A91"/>
    <w:rsid w:val="00EB3FF0"/>
    <w:rsid w:val="00EB5206"/>
    <w:rsid w:val="00EC0F56"/>
    <w:rsid w:val="00EC1400"/>
    <w:rsid w:val="00EC1A22"/>
    <w:rsid w:val="00EC4C3D"/>
    <w:rsid w:val="00EC4E87"/>
    <w:rsid w:val="00EC6EA1"/>
    <w:rsid w:val="00ED06C3"/>
    <w:rsid w:val="00ED306B"/>
    <w:rsid w:val="00ED3C12"/>
    <w:rsid w:val="00ED6C35"/>
    <w:rsid w:val="00ED6FCA"/>
    <w:rsid w:val="00EE1F58"/>
    <w:rsid w:val="00EE225F"/>
    <w:rsid w:val="00EF0974"/>
    <w:rsid w:val="00EF142D"/>
    <w:rsid w:val="00EF189F"/>
    <w:rsid w:val="00EF1E54"/>
    <w:rsid w:val="00EF2790"/>
    <w:rsid w:val="00EF422A"/>
    <w:rsid w:val="00F0079B"/>
    <w:rsid w:val="00F01CB8"/>
    <w:rsid w:val="00F03961"/>
    <w:rsid w:val="00F04853"/>
    <w:rsid w:val="00F05C92"/>
    <w:rsid w:val="00F0647B"/>
    <w:rsid w:val="00F1183E"/>
    <w:rsid w:val="00F12675"/>
    <w:rsid w:val="00F14D72"/>
    <w:rsid w:val="00F23CF1"/>
    <w:rsid w:val="00F26127"/>
    <w:rsid w:val="00F3206B"/>
    <w:rsid w:val="00F3380D"/>
    <w:rsid w:val="00F34EFF"/>
    <w:rsid w:val="00F363C9"/>
    <w:rsid w:val="00F368AF"/>
    <w:rsid w:val="00F36AFC"/>
    <w:rsid w:val="00F423D5"/>
    <w:rsid w:val="00F42681"/>
    <w:rsid w:val="00F42A5B"/>
    <w:rsid w:val="00F445E3"/>
    <w:rsid w:val="00F459C7"/>
    <w:rsid w:val="00F45E05"/>
    <w:rsid w:val="00F50250"/>
    <w:rsid w:val="00F50D61"/>
    <w:rsid w:val="00F52659"/>
    <w:rsid w:val="00F5326C"/>
    <w:rsid w:val="00F6027D"/>
    <w:rsid w:val="00F63A49"/>
    <w:rsid w:val="00F64D33"/>
    <w:rsid w:val="00F67B4F"/>
    <w:rsid w:val="00F717C7"/>
    <w:rsid w:val="00F71C00"/>
    <w:rsid w:val="00F725F2"/>
    <w:rsid w:val="00F73DD2"/>
    <w:rsid w:val="00F74942"/>
    <w:rsid w:val="00F7546C"/>
    <w:rsid w:val="00F75D72"/>
    <w:rsid w:val="00F81C02"/>
    <w:rsid w:val="00F82F93"/>
    <w:rsid w:val="00F85ECF"/>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473F"/>
    <w:rsid w:val="00FB6451"/>
    <w:rsid w:val="00FB74E9"/>
    <w:rsid w:val="00FC15F5"/>
    <w:rsid w:val="00FC2639"/>
    <w:rsid w:val="00FC315B"/>
    <w:rsid w:val="00FC31A8"/>
    <w:rsid w:val="00FC4596"/>
    <w:rsid w:val="00FC7A05"/>
    <w:rsid w:val="00FD04C2"/>
    <w:rsid w:val="00FD08D0"/>
    <w:rsid w:val="00FD2E6D"/>
    <w:rsid w:val="00FD4B0D"/>
    <w:rsid w:val="00FD4C00"/>
    <w:rsid w:val="00FD503C"/>
    <w:rsid w:val="00FD60F2"/>
    <w:rsid w:val="00FE0351"/>
    <w:rsid w:val="00FE08E2"/>
    <w:rsid w:val="00FE0FF9"/>
    <w:rsid w:val="00FE2F15"/>
    <w:rsid w:val="00FE426D"/>
    <w:rsid w:val="00FE7E4F"/>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51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617225987">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19655022">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624460977">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audiodasilva@me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4940</TotalTime>
  <Pages>7</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124</cp:revision>
  <cp:lastPrinted>1900-01-01T08:00:00Z</cp:lastPrinted>
  <dcterms:created xsi:type="dcterms:W3CDTF">2023-04-28T18:05:00Z</dcterms:created>
  <dcterms:modified xsi:type="dcterms:W3CDTF">2023-05-17T13:41:00Z</dcterms:modified>
</cp:coreProperties>
</file>