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DE89A00"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6B623D">
              <w:rPr>
                <w:b w:val="0"/>
                <w:sz w:val="20"/>
              </w:rPr>
              <w:t>10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407400">
        <w:trPr>
          <w:jc w:val="center"/>
        </w:trPr>
        <w:tc>
          <w:tcPr>
            <w:tcW w:w="1705" w:type="dxa"/>
            <w:vAlign w:val="center"/>
          </w:tcPr>
          <w:p w14:paraId="614119C1" w14:textId="77777777" w:rsidR="00CA09B2" w:rsidRDefault="00CA09B2">
            <w:pPr>
              <w:pStyle w:val="T2"/>
              <w:spacing w:after="0"/>
              <w:ind w:left="0" w:right="0"/>
              <w:jc w:val="left"/>
              <w:rPr>
                <w:sz w:val="20"/>
              </w:rPr>
            </w:pPr>
            <w:r>
              <w:rPr>
                <w:sz w:val="20"/>
              </w:rPr>
              <w:t>Name</w:t>
            </w:r>
          </w:p>
        </w:tc>
        <w:tc>
          <w:tcPr>
            <w:tcW w:w="169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407400">
        <w:trPr>
          <w:jc w:val="center"/>
        </w:trPr>
        <w:tc>
          <w:tcPr>
            <w:tcW w:w="1705"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1695"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407400">
        <w:trPr>
          <w:jc w:val="center"/>
        </w:trPr>
        <w:tc>
          <w:tcPr>
            <w:tcW w:w="1705"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1695"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407400">
        <w:trPr>
          <w:jc w:val="center"/>
        </w:trPr>
        <w:tc>
          <w:tcPr>
            <w:tcW w:w="1705"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1695"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407400">
        <w:trPr>
          <w:jc w:val="center"/>
        </w:trPr>
        <w:tc>
          <w:tcPr>
            <w:tcW w:w="1705"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1695"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407400">
        <w:trPr>
          <w:jc w:val="center"/>
        </w:trPr>
        <w:tc>
          <w:tcPr>
            <w:tcW w:w="1705"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1695"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407400">
        <w:trPr>
          <w:jc w:val="center"/>
        </w:trPr>
        <w:tc>
          <w:tcPr>
            <w:tcW w:w="1705"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1695"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r w:rsidR="00407400" w14:paraId="19112A26" w14:textId="77777777" w:rsidTr="00407400">
        <w:trPr>
          <w:jc w:val="center"/>
        </w:trPr>
        <w:tc>
          <w:tcPr>
            <w:tcW w:w="1705" w:type="dxa"/>
            <w:vAlign w:val="center"/>
          </w:tcPr>
          <w:p w14:paraId="0C65430C" w14:textId="2BDB8344" w:rsidR="00407400" w:rsidRDefault="00407400" w:rsidP="00971ED7">
            <w:pPr>
              <w:pStyle w:val="T2"/>
              <w:spacing w:after="0"/>
              <w:ind w:left="0" w:right="0"/>
              <w:rPr>
                <w:b w:val="0"/>
                <w:sz w:val="20"/>
              </w:rPr>
            </w:pPr>
            <w:r>
              <w:rPr>
                <w:b w:val="0"/>
                <w:sz w:val="20"/>
              </w:rPr>
              <w:t>Yongho Seok</w:t>
            </w:r>
          </w:p>
        </w:tc>
        <w:tc>
          <w:tcPr>
            <w:tcW w:w="1695" w:type="dxa"/>
            <w:vAlign w:val="center"/>
          </w:tcPr>
          <w:p w14:paraId="23C9C8FA" w14:textId="47394F1B" w:rsidR="00407400" w:rsidRDefault="00407400" w:rsidP="00971ED7">
            <w:pPr>
              <w:pStyle w:val="T2"/>
              <w:spacing w:after="0"/>
              <w:ind w:left="0" w:right="0"/>
              <w:rPr>
                <w:b w:val="0"/>
                <w:sz w:val="20"/>
              </w:rPr>
            </w:pPr>
            <w:r>
              <w:rPr>
                <w:b w:val="0"/>
                <w:sz w:val="20"/>
              </w:rPr>
              <w:t>MediaTek</w:t>
            </w:r>
          </w:p>
        </w:tc>
        <w:tc>
          <w:tcPr>
            <w:tcW w:w="2814" w:type="dxa"/>
            <w:vAlign w:val="center"/>
          </w:tcPr>
          <w:p w14:paraId="0F2FD958" w14:textId="77777777" w:rsidR="00407400" w:rsidRPr="00910FE7" w:rsidRDefault="00407400" w:rsidP="00971ED7">
            <w:pPr>
              <w:pStyle w:val="T2"/>
              <w:spacing w:after="0"/>
              <w:ind w:left="0" w:right="0"/>
              <w:rPr>
                <w:b w:val="0"/>
                <w:bCs/>
                <w:sz w:val="20"/>
                <w:lang w:val="it-IT"/>
              </w:rPr>
            </w:pPr>
          </w:p>
        </w:tc>
        <w:tc>
          <w:tcPr>
            <w:tcW w:w="1124" w:type="dxa"/>
            <w:vAlign w:val="center"/>
          </w:tcPr>
          <w:p w14:paraId="39B1B320" w14:textId="77777777" w:rsidR="00407400" w:rsidRPr="00BE00EF" w:rsidRDefault="00407400" w:rsidP="00971ED7">
            <w:pPr>
              <w:pStyle w:val="T2"/>
              <w:spacing w:after="0"/>
              <w:ind w:left="0" w:right="0"/>
              <w:rPr>
                <w:b w:val="0"/>
                <w:sz w:val="18"/>
                <w:szCs w:val="18"/>
              </w:rPr>
            </w:pPr>
          </w:p>
        </w:tc>
        <w:tc>
          <w:tcPr>
            <w:tcW w:w="2238" w:type="dxa"/>
            <w:vAlign w:val="center"/>
          </w:tcPr>
          <w:p w14:paraId="7131A844" w14:textId="77777777" w:rsidR="00407400" w:rsidRDefault="00407400"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360A8E4F" w:rsidR="006B623D" w:rsidRDefault="006B623D" w:rsidP="007F589E">
                            <w:r>
                              <w:t xml:space="preserve">R11: </w:t>
                            </w:r>
                            <w:proofErr w:type="spellStart"/>
                            <w:r>
                              <w:t>Joeseph’s</w:t>
                            </w:r>
                            <w:proofErr w:type="spellEnd"/>
                            <w:r>
                              <w:t xml:space="preserve"> input on which/that</w:t>
                            </w:r>
                            <w:r w:rsidR="00EC32BD">
                              <w:t>. Highlighted editor actions. Unhighlighted everything else.</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6F68C325" w:rsidR="00407400" w:rsidRDefault="00407400" w:rsidP="007F589E">
                      <w:r>
                        <w:t xml:space="preserve">R10: </w:t>
                      </w:r>
                      <w:proofErr w:type="spellStart"/>
                      <w:r>
                        <w:t>Yongho’s</w:t>
                      </w:r>
                      <w:proofErr w:type="spellEnd"/>
                      <w:r>
                        <w:t xml:space="preserve"> input on MIB.</w:t>
                      </w:r>
                    </w:p>
                    <w:p w14:paraId="211357C8" w14:textId="360A8E4F" w:rsidR="006B623D" w:rsidRDefault="006B623D" w:rsidP="007F589E">
                      <w:r>
                        <w:t xml:space="preserve">R11: </w:t>
                      </w:r>
                      <w:proofErr w:type="spellStart"/>
                      <w:r>
                        <w:t>Joeseph’s</w:t>
                      </w:r>
                      <w:proofErr w:type="spellEnd"/>
                      <w:r>
                        <w:t xml:space="preserve"> input on which/that</w:t>
                      </w:r>
                      <w:r w:rsidR="00EC32BD">
                        <w:t>. Highlighted editor actions. Unhighlighted everything else.</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t>TGme</w:t>
      </w:r>
      <w:proofErr w:type="spellEnd"/>
      <w:r>
        <w:t xml:space="preserve"> Editor] change as suggested. </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t>[</w:t>
      </w:r>
      <w:proofErr w:type="spellStart"/>
      <w:r>
        <w:t>TGme</w:t>
      </w:r>
      <w:proofErr w:type="spellEnd"/>
      <w: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0791714C" w14:textId="77777777" w:rsidR="00FA097E" w:rsidRDefault="00FA097E" w:rsidP="00FA097E">
      <w:r>
        <w:t>[</w:t>
      </w:r>
      <w:proofErr w:type="spellStart"/>
      <w:r>
        <w:t>TGme</w:t>
      </w:r>
      <w:proofErr w:type="spellEnd"/>
      <w:r>
        <w:t xml:space="preserve"> Editor] No change. – Assigned to Emily to bring a comment in SB.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t>[</w:t>
      </w:r>
      <w:proofErr w:type="spellStart"/>
      <w:r>
        <w:t>TGme</w:t>
      </w:r>
      <w:proofErr w:type="spellEnd"/>
      <w:r>
        <w:t xml:space="preserve"> Editor] change as suggested.</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77777777" w:rsidR="0038645F" w:rsidRDefault="0038645F" w:rsidP="0038645F">
      <w:r>
        <w:t>[</w:t>
      </w:r>
      <w:proofErr w:type="spellStart"/>
      <w:r>
        <w:t>TGme</w:t>
      </w:r>
      <w:proofErr w:type="spellEnd"/>
      <w:r>
        <w:t xml:space="preserve"> Editor] No change. Don’t think it can be fitted in 1 line.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t>[</w:t>
      </w:r>
      <w:proofErr w:type="spellStart"/>
      <w:r>
        <w:t>TGme</w:t>
      </w:r>
      <w:proofErr w:type="spellEnd"/>
      <w:r>
        <w:t xml:space="preserve"> Editor] change as suggested.</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4D69BD90" w14:textId="6C9A1AD2" w:rsidR="00DE3F9A" w:rsidRDefault="00DE3F9A" w:rsidP="00865593">
      <w:r w:rsidRPr="006B623D">
        <w:rPr>
          <w:highlight w:val="green"/>
        </w:rPr>
        <w:t>[</w:t>
      </w:r>
      <w:proofErr w:type="spellStart"/>
      <w:r w:rsidRPr="006B623D">
        <w:rPr>
          <w:highlight w:val="green"/>
        </w:rPr>
        <w:t>TGme</w:t>
      </w:r>
      <w:proofErr w:type="spellEnd"/>
      <w:r w:rsidRPr="006B623D">
        <w:rPr>
          <w:highlight w:val="green"/>
        </w:rPr>
        <w:t xml:space="preserve"> Editor] No change. – Assigned to Emily to bring a comment in SB.</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6EB3D80D" w14:textId="77777777" w:rsidR="00F078B9" w:rsidRDefault="00F078B9" w:rsidP="00865593"/>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4E72B522"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0F518A0C" w14:textId="77777777" w:rsidR="00865593" w:rsidRDefault="00865593" w:rsidP="00865593">
      <w:r>
        <w:lastRenderedPageBreak/>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DE0680D" w14:textId="77777777" w:rsidR="00F078B9" w:rsidRDefault="00F078B9" w:rsidP="00865593"/>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4BCA5D6" w14:textId="77777777" w:rsidR="00F078B9" w:rsidRDefault="00F078B9" w:rsidP="00865593"/>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7274AFCC" w14:textId="77777777" w:rsidR="005B2090" w:rsidRDefault="005B2090" w:rsidP="00865593"/>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rsidRPr="006B623D">
        <w:rPr>
          <w:highlight w:val="green"/>
        </w:rPr>
        <w:t>TGme</w:t>
      </w:r>
      <w:proofErr w:type="spellEnd"/>
      <w:r w:rsidRPr="006B623D">
        <w:rPr>
          <w:highlight w:val="green"/>
        </w:rPr>
        <w:t xml:space="preserve"> Editor] change as suggested.</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t>TGme</w:t>
      </w:r>
      <w:proofErr w:type="spellEnd"/>
      <w:r>
        <w:t xml:space="preserve"> Editor] change as suggested.</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rsidRPr="006B623D">
        <w:rPr>
          <w:highlight w:val="green"/>
        </w:rPr>
        <w:t>TGme</w:t>
      </w:r>
      <w:proofErr w:type="spellEnd"/>
      <w:r w:rsidRPr="006B623D">
        <w:rPr>
          <w:highlight w:val="green"/>
        </w:rPr>
        <w:t xml:space="preserve"> Editor] change as suggested.</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rsidRPr="006B623D">
        <w:rPr>
          <w:highlight w:val="green"/>
        </w:rPr>
        <w:lastRenderedPageBreak/>
        <w:t>TGme</w:t>
      </w:r>
      <w:proofErr w:type="spellEnd"/>
      <w:r w:rsidRPr="006B623D">
        <w:rPr>
          <w:highlight w:val="green"/>
        </w:rPr>
        <w:t xml:space="preserve"> Editor] change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rsidRPr="006B623D">
        <w:rPr>
          <w:highlight w:val="green"/>
        </w:rPr>
        <w:t>TGme</w:t>
      </w:r>
      <w:proofErr w:type="spellEnd"/>
      <w:r w:rsidRPr="006B623D">
        <w:rPr>
          <w:highlight w:val="green"/>
        </w:rPr>
        <w:t xml:space="preserve"> Editor] change as suggested.</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614C6E18" w:rsidR="00A00530" w:rsidRDefault="006B623D" w:rsidP="00A95AAB">
      <w:r w:rsidRPr="006B623D">
        <w:rPr>
          <w:highlight w:val="green"/>
        </w:rPr>
        <w:t>[</w:t>
      </w:r>
      <w:proofErr w:type="spellStart"/>
      <w:r w:rsidR="006C5E9B" w:rsidRPr="006B623D">
        <w:rPr>
          <w:highlight w:val="green"/>
        </w:rPr>
        <w:t>TGme</w:t>
      </w:r>
      <w:proofErr w:type="spellEnd"/>
      <w:r w:rsidR="006C5E9B" w:rsidRPr="006B623D">
        <w:rPr>
          <w:highlight w:val="green"/>
        </w:rPr>
        <w:t xml:space="preserve"> Editor] change as suggested.</w:t>
      </w:r>
    </w:p>
    <w:p w14:paraId="12B9D080" w14:textId="77777777" w:rsidR="006C5E9B" w:rsidRDefault="006C5E9B"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65A990D1" w14:textId="77777777" w:rsidR="006B623D" w:rsidRDefault="006B623D" w:rsidP="006B623D"/>
    <w:p w14:paraId="35258F06" w14:textId="77777777" w:rsidR="006B623D" w:rsidRDefault="006B623D" w:rsidP="006B623D">
      <w:pPr>
        <w:rPr>
          <w:sz w:val="20"/>
        </w:rPr>
      </w:pPr>
      <w:r w:rsidRPr="002458ED">
        <w:rPr>
          <w:sz w:val="20"/>
        </w:rPr>
        <w:t xml:space="preserve">There </w:t>
      </w:r>
      <w:proofErr w:type="gramStart"/>
      <w:r w:rsidRPr="002458ED">
        <w:rPr>
          <w:sz w:val="20"/>
        </w:rPr>
        <w:t>are</w:t>
      </w:r>
      <w:proofErr w:type="gramEnd"/>
      <w:r w:rsidRPr="002458ED">
        <w:rPr>
          <w:sz w:val="20"/>
        </w:rPr>
        <w:t xml:space="preserve"> multiple location where "is set to" is used to refer to the value of a field, element, or sub-element that is being tested.  The 802.11 editorial style guide states that such a test should use "</w:t>
      </w:r>
      <w:r>
        <w:rPr>
          <w:sz w:val="20"/>
        </w:rPr>
        <w:t xml:space="preserve">is </w:t>
      </w:r>
      <w:r w:rsidRPr="002458ED">
        <w:rPr>
          <w:sz w:val="20"/>
        </w:rPr>
        <w:t>equal to</w:t>
      </w:r>
      <w:proofErr w:type="gramStart"/>
      <w:r w:rsidRPr="002458ED">
        <w:rPr>
          <w:sz w:val="20"/>
        </w:rPr>
        <w:t xml:space="preserve">" </w:t>
      </w:r>
      <w:r>
        <w:rPr>
          <w:sz w:val="20"/>
        </w:rPr>
        <w:t xml:space="preserve"> or</w:t>
      </w:r>
      <w:proofErr w:type="gramEnd"/>
      <w:r>
        <w:rPr>
          <w:sz w:val="20"/>
        </w:rPr>
        <w:t xml:space="preserve"> “is” </w:t>
      </w:r>
      <w:r w:rsidRPr="002458ED">
        <w:rPr>
          <w:sz w:val="20"/>
        </w:rPr>
        <w:t>and not "is set to".</w:t>
      </w:r>
      <w:r>
        <w:rPr>
          <w:sz w:val="20"/>
        </w:rPr>
        <w:t xml:space="preserve"> The following changes use the simpler form “is” and not the more verbose “is equal to”. </w:t>
      </w:r>
    </w:p>
    <w:p w14:paraId="7CEC9EA3" w14:textId="77777777" w:rsidR="006B623D" w:rsidRDefault="006B623D" w:rsidP="006B623D">
      <w:pPr>
        <w:rPr>
          <w:sz w:val="20"/>
        </w:rPr>
      </w:pPr>
    </w:p>
    <w:p w14:paraId="1C8EBBAB" w14:textId="77777777" w:rsidR="006B623D" w:rsidRPr="00216655" w:rsidRDefault="006B623D" w:rsidP="006B623D">
      <w:pPr>
        <w:rPr>
          <w:sz w:val="20"/>
        </w:rPr>
      </w:pPr>
      <w:r w:rsidRPr="00216655">
        <w:rPr>
          <w:sz w:val="20"/>
        </w:rPr>
        <w:t>Make the following changes at the following location (</w:t>
      </w:r>
      <w:proofErr w:type="spellStart"/>
      <w:proofErr w:type="gramStart"/>
      <w:r w:rsidRPr="00216655">
        <w:rPr>
          <w:sz w:val="20"/>
        </w:rPr>
        <w:t>page.line</w:t>
      </w:r>
      <w:proofErr w:type="spellEnd"/>
      <w:proofErr w:type="gramEnd"/>
      <w:r w:rsidRPr="00216655">
        <w:rPr>
          <w:sz w:val="20"/>
        </w:rPr>
        <w:t>):</w:t>
      </w:r>
    </w:p>
    <w:p w14:paraId="2AC24AB1" w14:textId="77777777" w:rsidR="006B623D" w:rsidRPr="00216655" w:rsidRDefault="006B623D" w:rsidP="006B623D">
      <w:pPr>
        <w:rPr>
          <w:sz w:val="20"/>
        </w:rPr>
      </w:pPr>
      <w:r>
        <w:rPr>
          <w:sz w:val="20"/>
        </w:rPr>
        <w:t>1842.1</w:t>
      </w:r>
      <w:r w:rsidRPr="00216655">
        <w:rPr>
          <w:sz w:val="20"/>
        </w:rPr>
        <w:t xml:space="preserve"> - replace "is set to" with "is" </w:t>
      </w:r>
    </w:p>
    <w:p w14:paraId="7AB82B49" w14:textId="77777777" w:rsidR="006B623D" w:rsidRPr="00216655" w:rsidRDefault="006B623D" w:rsidP="006B623D">
      <w:pPr>
        <w:rPr>
          <w:sz w:val="20"/>
        </w:rPr>
      </w:pPr>
      <w:r>
        <w:rPr>
          <w:sz w:val="20"/>
        </w:rPr>
        <w:t xml:space="preserve">1881.57 </w:t>
      </w:r>
      <w:r w:rsidRPr="00216655">
        <w:rPr>
          <w:sz w:val="20"/>
        </w:rPr>
        <w:t>- replace "is set to" with "is" and replace "contained a value of 1" with "are 1"</w:t>
      </w:r>
    </w:p>
    <w:p w14:paraId="06617833" w14:textId="77777777" w:rsidR="006B623D" w:rsidRPr="00216655" w:rsidRDefault="006B623D" w:rsidP="006B623D">
      <w:pPr>
        <w:rPr>
          <w:sz w:val="20"/>
        </w:rPr>
      </w:pPr>
      <w:r>
        <w:rPr>
          <w:sz w:val="20"/>
        </w:rPr>
        <w:t>1881.61</w:t>
      </w:r>
      <w:r w:rsidRPr="00216655">
        <w:rPr>
          <w:sz w:val="20"/>
        </w:rPr>
        <w:t xml:space="preserve"> - replace "is set to" with "is" and replace "contained a value of 1" with "are 1"</w:t>
      </w:r>
    </w:p>
    <w:p w14:paraId="644CE68F" w14:textId="77777777" w:rsidR="006B623D" w:rsidRPr="00216655" w:rsidRDefault="006B623D" w:rsidP="006B623D">
      <w:pPr>
        <w:rPr>
          <w:sz w:val="20"/>
        </w:rPr>
      </w:pPr>
      <w:r>
        <w:rPr>
          <w:sz w:val="20"/>
        </w:rPr>
        <w:t>1882</w:t>
      </w:r>
      <w:r w:rsidRPr="00216655">
        <w:rPr>
          <w:sz w:val="20"/>
        </w:rPr>
        <w:t>.</w:t>
      </w:r>
      <w:r>
        <w:rPr>
          <w:sz w:val="20"/>
        </w:rPr>
        <w:t>1</w:t>
      </w:r>
      <w:r w:rsidRPr="00216655">
        <w:rPr>
          <w:sz w:val="20"/>
        </w:rPr>
        <w:t xml:space="preserve"> - replace "is set to" with "is" and replace "contained a value of 1" with "are 1"</w:t>
      </w:r>
    </w:p>
    <w:p w14:paraId="7535F854" w14:textId="77777777" w:rsidR="006B623D" w:rsidRPr="00216655" w:rsidRDefault="006B623D" w:rsidP="006B623D">
      <w:pPr>
        <w:rPr>
          <w:sz w:val="20"/>
        </w:rPr>
      </w:pPr>
      <w:r>
        <w:rPr>
          <w:sz w:val="20"/>
        </w:rPr>
        <w:t>1882.4</w:t>
      </w:r>
      <w:r w:rsidRPr="00216655">
        <w:rPr>
          <w:sz w:val="20"/>
        </w:rPr>
        <w:t xml:space="preserve"> - replace "is set to" with "is" and replace "contained a value of 1" with "are 1"</w:t>
      </w:r>
    </w:p>
    <w:p w14:paraId="32849C70" w14:textId="77777777" w:rsidR="006B623D" w:rsidRPr="00216655" w:rsidRDefault="006B623D" w:rsidP="006B623D">
      <w:pPr>
        <w:rPr>
          <w:sz w:val="20"/>
        </w:rPr>
      </w:pPr>
      <w:r>
        <w:rPr>
          <w:sz w:val="20"/>
        </w:rPr>
        <w:t>1882.60</w:t>
      </w:r>
      <w:r w:rsidRPr="00216655">
        <w:rPr>
          <w:sz w:val="20"/>
        </w:rPr>
        <w:t xml:space="preserve"> - replace "is set to" with "is" and replace "</w:t>
      </w:r>
      <w:r>
        <w:rPr>
          <w:sz w:val="20"/>
        </w:rPr>
        <w:t xml:space="preserve">is equal to </w:t>
      </w:r>
      <w:r w:rsidRPr="00216655">
        <w:rPr>
          <w:sz w:val="20"/>
        </w:rPr>
        <w:t>1" with "is 1"</w:t>
      </w:r>
    </w:p>
    <w:p w14:paraId="24723A26" w14:textId="77777777" w:rsidR="006B623D" w:rsidRPr="00216655" w:rsidRDefault="006B623D" w:rsidP="006B623D">
      <w:pPr>
        <w:rPr>
          <w:sz w:val="20"/>
        </w:rPr>
      </w:pPr>
      <w:r>
        <w:rPr>
          <w:sz w:val="20"/>
        </w:rPr>
        <w:t>1883</w:t>
      </w:r>
      <w:r w:rsidRPr="00216655">
        <w:rPr>
          <w:sz w:val="20"/>
        </w:rPr>
        <w:t>.1 - replace "is set to" with "is" and replace "</w:t>
      </w:r>
      <w:r>
        <w:rPr>
          <w:sz w:val="20"/>
        </w:rPr>
        <w:t xml:space="preserve">is equal to </w:t>
      </w:r>
      <w:r w:rsidRPr="00216655">
        <w:rPr>
          <w:sz w:val="20"/>
        </w:rPr>
        <w:t>1" with "is 1"</w:t>
      </w:r>
    </w:p>
    <w:p w14:paraId="4D2D85E4" w14:textId="77777777" w:rsidR="006B623D" w:rsidRPr="00216655" w:rsidRDefault="006B623D" w:rsidP="006B623D">
      <w:pPr>
        <w:rPr>
          <w:sz w:val="20"/>
        </w:rPr>
      </w:pPr>
      <w:r>
        <w:rPr>
          <w:sz w:val="20"/>
        </w:rPr>
        <w:t>1883.5</w:t>
      </w:r>
      <w:r w:rsidRPr="00216655">
        <w:rPr>
          <w:sz w:val="20"/>
        </w:rPr>
        <w:t xml:space="preserve"> - replace "is set to" with "is" and replace "</w:t>
      </w:r>
      <w:r>
        <w:rPr>
          <w:sz w:val="20"/>
        </w:rPr>
        <w:t xml:space="preserve">is equal to </w:t>
      </w:r>
      <w:r w:rsidRPr="00216655">
        <w:rPr>
          <w:sz w:val="20"/>
        </w:rPr>
        <w:t>1" with "is 1"</w:t>
      </w:r>
    </w:p>
    <w:p w14:paraId="66765D9C" w14:textId="77777777" w:rsidR="006B623D" w:rsidRPr="00216655" w:rsidRDefault="006B623D" w:rsidP="006B623D">
      <w:pPr>
        <w:rPr>
          <w:sz w:val="20"/>
        </w:rPr>
      </w:pPr>
      <w:r>
        <w:rPr>
          <w:sz w:val="20"/>
        </w:rPr>
        <w:t>1883.8</w:t>
      </w:r>
      <w:r w:rsidRPr="00216655">
        <w:rPr>
          <w:sz w:val="20"/>
        </w:rPr>
        <w:t xml:space="preserve"> - replace "is set to" with "is" and replace "</w:t>
      </w:r>
      <w:r>
        <w:rPr>
          <w:sz w:val="20"/>
        </w:rPr>
        <w:t xml:space="preserve">is equal to </w:t>
      </w:r>
      <w:r w:rsidRPr="00216655">
        <w:rPr>
          <w:sz w:val="20"/>
        </w:rPr>
        <w:t>1" with "is 1"</w:t>
      </w:r>
    </w:p>
    <w:p w14:paraId="65F20515" w14:textId="77777777" w:rsidR="006B623D" w:rsidRPr="00216655" w:rsidRDefault="006B623D" w:rsidP="006B623D">
      <w:pPr>
        <w:autoSpaceDE w:val="0"/>
        <w:autoSpaceDN w:val="0"/>
        <w:adjustRightInd w:val="0"/>
        <w:rPr>
          <w:sz w:val="20"/>
        </w:rPr>
      </w:pPr>
      <w:r>
        <w:rPr>
          <w:sz w:val="20"/>
        </w:rPr>
        <w:t>1911.11</w:t>
      </w:r>
      <w:r w:rsidRPr="00216655">
        <w:rPr>
          <w:sz w:val="20"/>
        </w:rPr>
        <w:t xml:space="preserve"> </w:t>
      </w:r>
      <w:r>
        <w:rPr>
          <w:sz w:val="20"/>
        </w:rPr>
        <w:t>–</w:t>
      </w:r>
      <w:r w:rsidRPr="00216655">
        <w:rPr>
          <w:sz w:val="20"/>
        </w:rPr>
        <w:t xml:space="preserve"> reword</w:t>
      </w:r>
      <w:r>
        <w:rPr>
          <w:sz w:val="20"/>
        </w:rPr>
        <w:t xml:space="preserve"> “</w:t>
      </w:r>
      <w:r w:rsidRPr="007009DD">
        <w:rPr>
          <w:sz w:val="20"/>
        </w:rPr>
        <w:t>If the Duration field in a frame carried in an HE TB PPDU is set to 0, the HE TB PPDU shall not include any frames that solicit a control response frame from the AP.”</w:t>
      </w:r>
      <w:r w:rsidRPr="00216655">
        <w:rPr>
          <w:sz w:val="20"/>
        </w:rPr>
        <w:t xml:space="preserve"> to be: "An HE TB PPDU carrying a frame </w:t>
      </w:r>
      <w:r w:rsidRPr="00216655">
        <w:rPr>
          <w:sz w:val="20"/>
        </w:rPr>
        <w:lastRenderedPageBreak/>
        <w:t>with a Duration field equal to 0 shall not include any frames that solicit a control response frame from the AP." Editorial note it may be clearer to replace "a frame" with "an MPDU" and "frames" with "MPDUs"..</w:t>
      </w:r>
    </w:p>
    <w:p w14:paraId="10B9E78D" w14:textId="77777777" w:rsidR="006B623D" w:rsidRPr="00216655" w:rsidRDefault="006B623D" w:rsidP="006B623D">
      <w:pPr>
        <w:autoSpaceDE w:val="0"/>
        <w:autoSpaceDN w:val="0"/>
        <w:adjustRightInd w:val="0"/>
        <w:rPr>
          <w:sz w:val="20"/>
        </w:rPr>
      </w:pPr>
      <w:r>
        <w:rPr>
          <w:sz w:val="20"/>
        </w:rPr>
        <w:t>1925</w:t>
      </w:r>
      <w:r w:rsidRPr="00216655">
        <w:rPr>
          <w:sz w:val="20"/>
        </w:rPr>
        <w:t>.</w:t>
      </w:r>
      <w:r>
        <w:rPr>
          <w:sz w:val="20"/>
        </w:rPr>
        <w:t>12</w:t>
      </w:r>
      <w:r w:rsidRPr="00216655">
        <w:rPr>
          <w:sz w:val="20"/>
        </w:rPr>
        <w:t xml:space="preserve"> </w:t>
      </w:r>
      <w:r>
        <w:rPr>
          <w:sz w:val="20"/>
        </w:rPr>
        <w:t>–</w:t>
      </w:r>
      <w:r w:rsidRPr="00216655">
        <w:rPr>
          <w:sz w:val="20"/>
        </w:rPr>
        <w:t xml:space="preserve"> reword</w:t>
      </w:r>
      <w:r>
        <w:rPr>
          <w:sz w:val="20"/>
        </w:rPr>
        <w:t>: “</w:t>
      </w:r>
      <w:r w:rsidRPr="007009DD">
        <w:rPr>
          <w:sz w:val="20"/>
        </w:rPr>
        <w:t>All ACs</w:t>
      </w:r>
      <w:r>
        <w:rPr>
          <w:sz w:val="20"/>
        </w:rPr>
        <w:t xml:space="preserve"> </w:t>
      </w:r>
      <w:r w:rsidRPr="007009DD">
        <w:rPr>
          <w:sz w:val="20"/>
        </w:rPr>
        <w:t>with priority higher than that of an AC for which the ACM subfield is set to 1 should have the ACM subfield</w:t>
      </w:r>
      <w:r>
        <w:rPr>
          <w:sz w:val="20"/>
        </w:rPr>
        <w:t xml:space="preserve"> </w:t>
      </w:r>
      <w:r w:rsidRPr="007009DD">
        <w:rPr>
          <w:sz w:val="20"/>
        </w:rPr>
        <w:t xml:space="preserve">set to </w:t>
      </w:r>
      <w:proofErr w:type="gramStart"/>
      <w:r w:rsidRPr="007009DD">
        <w:rPr>
          <w:sz w:val="20"/>
        </w:rPr>
        <w:t>1.</w:t>
      </w:r>
      <w:r>
        <w:rPr>
          <w:sz w:val="20"/>
        </w:rPr>
        <w:t>“</w:t>
      </w:r>
      <w:proofErr w:type="gramEnd"/>
      <w:r>
        <w:rPr>
          <w:sz w:val="20"/>
        </w:rPr>
        <w:t xml:space="preserve"> </w:t>
      </w:r>
      <w:r w:rsidRPr="00216655">
        <w:rPr>
          <w:sz w:val="20"/>
        </w:rPr>
        <w:t>to be: "All ACs with priority higher than an AC for which the ACM subfield is 1 should</w:t>
      </w:r>
      <w:r>
        <w:rPr>
          <w:sz w:val="20"/>
        </w:rPr>
        <w:t xml:space="preserve"> </w:t>
      </w:r>
      <w:r w:rsidRPr="00216655">
        <w:rPr>
          <w:sz w:val="20"/>
        </w:rPr>
        <w:t xml:space="preserve">set the ACM subfield to 1." </w:t>
      </w:r>
      <w:r>
        <w:rPr>
          <w:sz w:val="20"/>
        </w:rPr>
        <w:br/>
      </w:r>
      <w:r>
        <w:rPr>
          <w:sz w:val="20"/>
          <w:highlight w:val="yellow"/>
        </w:rPr>
        <w:t xml:space="preserve">Note: </w:t>
      </w:r>
      <w:r w:rsidRPr="007009DD">
        <w:rPr>
          <w:sz w:val="20"/>
          <w:highlight w:val="yellow"/>
        </w:rPr>
        <w:t>Question is this really a “should” or would “shall” be better.</w:t>
      </w:r>
    </w:p>
    <w:p w14:paraId="46F4B56F" w14:textId="77777777" w:rsidR="006B623D" w:rsidRPr="00216655" w:rsidRDefault="006B623D" w:rsidP="006B623D">
      <w:pPr>
        <w:rPr>
          <w:sz w:val="20"/>
        </w:rPr>
      </w:pPr>
      <w:r>
        <w:rPr>
          <w:sz w:val="20"/>
        </w:rPr>
        <w:t>1930</w:t>
      </w:r>
      <w:r w:rsidRPr="00216655">
        <w:rPr>
          <w:sz w:val="20"/>
        </w:rPr>
        <w:t>.</w:t>
      </w:r>
      <w:r>
        <w:rPr>
          <w:sz w:val="20"/>
        </w:rPr>
        <w:t>61</w:t>
      </w:r>
      <w:r w:rsidRPr="00216655">
        <w:rPr>
          <w:sz w:val="20"/>
        </w:rPr>
        <w:t xml:space="preserve"> - replace "is set to" with "is"</w:t>
      </w:r>
    </w:p>
    <w:p w14:paraId="34E1396B" w14:textId="77777777" w:rsidR="006B623D" w:rsidRDefault="006B623D" w:rsidP="006B623D">
      <w:pPr>
        <w:autoSpaceDE w:val="0"/>
        <w:autoSpaceDN w:val="0"/>
        <w:adjustRightInd w:val="0"/>
        <w:rPr>
          <w:sz w:val="20"/>
        </w:rPr>
      </w:pPr>
      <w:r>
        <w:rPr>
          <w:sz w:val="20"/>
        </w:rPr>
        <w:t>1950</w:t>
      </w:r>
      <w:r w:rsidRPr="00216655">
        <w:rPr>
          <w:sz w:val="20"/>
        </w:rPr>
        <w:t>.</w:t>
      </w:r>
      <w:r>
        <w:rPr>
          <w:sz w:val="20"/>
        </w:rPr>
        <w:t>51</w:t>
      </w:r>
      <w:r w:rsidRPr="00216655">
        <w:rPr>
          <w:sz w:val="20"/>
        </w:rPr>
        <w:t xml:space="preserve"> - replace "When the Block Ack Policy subfield value is set to 1 by the originator of an ADDBA Request frame between HT STAs, then the ADDBA Response frame accepting the ADDBA Request frame shall contain 1 in the Block Ack Policy subfield." with "When the Block Ack Policy subfield value is 1 in an ADDBA Request frame, the responding HT STA shall set the Block Ack Policy subfield to 1 in the ADDBA Response frame accepting the ADDBA Request frame.</w:t>
      </w:r>
    </w:p>
    <w:p w14:paraId="3F648C65" w14:textId="77777777" w:rsidR="006B623D" w:rsidRPr="00216655" w:rsidRDefault="006B623D" w:rsidP="006B623D">
      <w:pPr>
        <w:autoSpaceDE w:val="0"/>
        <w:autoSpaceDN w:val="0"/>
        <w:adjustRightInd w:val="0"/>
        <w:rPr>
          <w:sz w:val="20"/>
        </w:rPr>
      </w:pPr>
      <w:r>
        <w:rPr>
          <w:sz w:val="20"/>
        </w:rPr>
        <w:t>1951. 64</w:t>
      </w:r>
      <w:r w:rsidRPr="00216655">
        <w:rPr>
          <w:sz w:val="20"/>
        </w:rPr>
        <w:t xml:space="preserve"> - replace "is set to" with "is"</w:t>
      </w:r>
    </w:p>
    <w:p w14:paraId="0F6AE652" w14:textId="77777777" w:rsidR="006B623D" w:rsidRDefault="006B623D" w:rsidP="006B623D">
      <w:pPr>
        <w:rPr>
          <w:sz w:val="20"/>
        </w:rPr>
      </w:pPr>
      <w:r>
        <w:rPr>
          <w:sz w:val="20"/>
        </w:rPr>
        <w:t xml:space="preserve">1952.33 - replace "if the MPDU Modulo subfield is set to a value greater than 9; in this case,” with “, if the MPDU Modulo subfield is </w:t>
      </w:r>
      <w:proofErr w:type="spellStart"/>
      <w:r>
        <w:rPr>
          <w:sz w:val="20"/>
        </w:rPr>
        <w:t>grater</w:t>
      </w:r>
      <w:proofErr w:type="spellEnd"/>
      <w:r>
        <w:rPr>
          <w:sz w:val="20"/>
        </w:rPr>
        <w:t xml:space="preserve"> than 9” </w:t>
      </w:r>
    </w:p>
    <w:p w14:paraId="13129349" w14:textId="77777777" w:rsidR="006B623D" w:rsidRPr="007009DD" w:rsidRDefault="006B623D" w:rsidP="006B623D">
      <w:pPr>
        <w:autoSpaceDE w:val="0"/>
        <w:autoSpaceDN w:val="0"/>
        <w:adjustRightInd w:val="0"/>
        <w:rPr>
          <w:sz w:val="20"/>
        </w:rPr>
      </w:pPr>
      <w:r>
        <w:rPr>
          <w:sz w:val="20"/>
        </w:rPr>
        <w:t>2045.34</w:t>
      </w:r>
      <w:r w:rsidRPr="00216655">
        <w:rPr>
          <w:sz w:val="20"/>
        </w:rPr>
        <w:t xml:space="preserve"> </w:t>
      </w:r>
      <w:r>
        <w:rPr>
          <w:sz w:val="20"/>
        </w:rPr>
        <w:t>–</w:t>
      </w:r>
      <w:r w:rsidRPr="00216655">
        <w:rPr>
          <w:sz w:val="20"/>
        </w:rPr>
        <w:t xml:space="preserve"> </w:t>
      </w:r>
      <w:r>
        <w:rPr>
          <w:sz w:val="20"/>
        </w:rPr>
        <w:t>replace “</w:t>
      </w:r>
      <w:r w:rsidRPr="007009DD">
        <w:rPr>
          <w:sz w:val="20"/>
        </w:rPr>
        <w:t>— APEP_LENGTH set to 0 if AGGREGATION is set to AGGREGATED</w:t>
      </w:r>
      <w:r>
        <w:rPr>
          <w:sz w:val="20"/>
        </w:rPr>
        <w:t>” with “</w:t>
      </w:r>
      <w:r w:rsidRPr="00B951BE">
        <w:rPr>
          <w:sz w:val="20"/>
        </w:rPr>
        <w:t xml:space="preserve">— APEP_LENGTH </w:t>
      </w:r>
      <w:r>
        <w:rPr>
          <w:sz w:val="20"/>
        </w:rPr>
        <w:t xml:space="preserve">is </w:t>
      </w:r>
      <w:r w:rsidRPr="00B951BE">
        <w:rPr>
          <w:sz w:val="20"/>
        </w:rPr>
        <w:t>set to 0 if AGGREGATION is AGGREGATED</w:t>
      </w:r>
      <w:r>
        <w:rPr>
          <w:sz w:val="20"/>
        </w:rPr>
        <w:t xml:space="preserve">” </w:t>
      </w:r>
    </w:p>
    <w:p w14:paraId="4AA91389" w14:textId="77777777" w:rsidR="006B623D" w:rsidRPr="00216655" w:rsidRDefault="006B623D" w:rsidP="006B623D">
      <w:pPr>
        <w:rPr>
          <w:sz w:val="20"/>
        </w:rPr>
      </w:pPr>
      <w:r>
        <w:rPr>
          <w:sz w:val="20"/>
        </w:rPr>
        <w:t>2045.36 – replace “</w:t>
      </w:r>
      <w:r w:rsidRPr="007009DD">
        <w:rPr>
          <w:sz w:val="20"/>
        </w:rPr>
        <w:t>— PSDU_LENGTH set to 0 if AGGREGATION is set to NOT_AGGREGATED</w:t>
      </w:r>
      <w:r>
        <w:rPr>
          <w:sz w:val="20"/>
        </w:rPr>
        <w:t>” with “</w:t>
      </w:r>
      <w:r w:rsidRPr="00B951BE">
        <w:rPr>
          <w:sz w:val="20"/>
        </w:rPr>
        <w:t xml:space="preserve">— PSDU_LENGTH </w:t>
      </w:r>
      <w:r>
        <w:rPr>
          <w:sz w:val="20"/>
        </w:rPr>
        <w:t xml:space="preserve">is </w:t>
      </w:r>
      <w:r w:rsidRPr="00B951BE">
        <w:rPr>
          <w:sz w:val="20"/>
        </w:rPr>
        <w:t>set to 0 if AGGREGATION is NOT_AGGREGATED</w:t>
      </w:r>
      <w:r>
        <w:rPr>
          <w:sz w:val="20"/>
        </w:rPr>
        <w:t>”</w:t>
      </w:r>
    </w:p>
    <w:p w14:paraId="535F5B91" w14:textId="77777777" w:rsidR="006B623D" w:rsidRPr="00216655" w:rsidRDefault="006B623D" w:rsidP="006B623D">
      <w:pPr>
        <w:rPr>
          <w:sz w:val="20"/>
        </w:rPr>
      </w:pPr>
    </w:p>
    <w:p w14:paraId="0C4899A1" w14:textId="77777777" w:rsidR="006B623D" w:rsidRDefault="006B623D" w:rsidP="006B623D">
      <w:pPr>
        <w:rPr>
          <w:sz w:val="20"/>
        </w:rPr>
      </w:pPr>
      <w:r>
        <w:rPr>
          <w:sz w:val="20"/>
        </w:rPr>
        <w:t>2155.39 - replace "is set to” with "is”</w:t>
      </w:r>
    </w:p>
    <w:p w14:paraId="583A61B2" w14:textId="77777777" w:rsidR="006B623D" w:rsidRDefault="006B623D" w:rsidP="006B623D">
      <w:pPr>
        <w:rPr>
          <w:sz w:val="20"/>
        </w:rPr>
      </w:pPr>
      <w:r>
        <w:rPr>
          <w:sz w:val="20"/>
        </w:rPr>
        <w:t>2192.13 – replace “is set to” with “is”</w:t>
      </w:r>
    </w:p>
    <w:p w14:paraId="52C2C9F2" w14:textId="77777777" w:rsidR="006B623D" w:rsidRDefault="006B623D" w:rsidP="006B623D">
      <w:pPr>
        <w:rPr>
          <w:sz w:val="20"/>
        </w:rPr>
      </w:pPr>
      <w:r>
        <w:rPr>
          <w:sz w:val="20"/>
        </w:rPr>
        <w:t>2192.16</w:t>
      </w:r>
      <w:r w:rsidRPr="00216655">
        <w:rPr>
          <w:sz w:val="20"/>
        </w:rPr>
        <w:t xml:space="preserve">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15CA326A" w14:textId="77777777" w:rsidR="006B623D" w:rsidRPr="00216655" w:rsidRDefault="006B623D" w:rsidP="006B623D">
      <w:pPr>
        <w:rPr>
          <w:sz w:val="20"/>
        </w:rPr>
      </w:pPr>
      <w:r>
        <w:rPr>
          <w:sz w:val="20"/>
        </w:rPr>
        <w:t>2192.55 - replace "</w:t>
      </w:r>
      <w:r w:rsidRPr="00216655">
        <w:rPr>
          <w:sz w:val="20"/>
        </w:rPr>
        <w:t>"is set to</w:t>
      </w:r>
      <w:r>
        <w:rPr>
          <w:sz w:val="20"/>
        </w:rPr>
        <w:t xml:space="preserve"> 0</w:t>
      </w:r>
      <w:r w:rsidRPr="00216655">
        <w:rPr>
          <w:sz w:val="20"/>
        </w:rPr>
        <w:t>" with "is</w:t>
      </w:r>
      <w:r>
        <w:rPr>
          <w:sz w:val="20"/>
        </w:rPr>
        <w:t xml:space="preserve"> 0”</w:t>
      </w:r>
    </w:p>
    <w:p w14:paraId="08FCDCC2" w14:textId="77777777" w:rsidR="006B623D" w:rsidRDefault="006B623D" w:rsidP="006B623D">
      <w:pPr>
        <w:rPr>
          <w:sz w:val="20"/>
        </w:rPr>
      </w:pPr>
      <w:r>
        <w:rPr>
          <w:sz w:val="20"/>
        </w:rPr>
        <w:t xml:space="preserve">2192.58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67ADC68E" w14:textId="77777777" w:rsidR="006B623D" w:rsidRPr="00216655" w:rsidRDefault="006B623D" w:rsidP="006B623D">
      <w:pPr>
        <w:rPr>
          <w:sz w:val="20"/>
        </w:rPr>
      </w:pPr>
      <w:r>
        <w:rPr>
          <w:sz w:val="20"/>
        </w:rPr>
        <w:t>2195.48 - replace "</w:t>
      </w:r>
      <w:r w:rsidRPr="00216655">
        <w:rPr>
          <w:sz w:val="20"/>
        </w:rPr>
        <w:t>"is set to</w:t>
      </w:r>
      <w:r>
        <w:rPr>
          <w:sz w:val="20"/>
        </w:rPr>
        <w:t xml:space="preserve"> 0</w:t>
      </w:r>
      <w:r w:rsidRPr="00216655">
        <w:rPr>
          <w:sz w:val="20"/>
        </w:rPr>
        <w:t>" with "is</w:t>
      </w:r>
      <w:r>
        <w:rPr>
          <w:sz w:val="20"/>
        </w:rPr>
        <w:t xml:space="preserve"> 0”</w:t>
      </w:r>
    </w:p>
    <w:p w14:paraId="10A72BC0" w14:textId="77777777" w:rsidR="006B623D" w:rsidRDefault="006B623D" w:rsidP="006B623D">
      <w:pPr>
        <w:rPr>
          <w:sz w:val="20"/>
        </w:rPr>
      </w:pPr>
      <w:r>
        <w:rPr>
          <w:sz w:val="20"/>
        </w:rPr>
        <w:t xml:space="preserve">2195.50 </w:t>
      </w:r>
      <w:proofErr w:type="gramStart"/>
      <w:r w:rsidRPr="00216655">
        <w:rPr>
          <w:sz w:val="20"/>
        </w:rPr>
        <w:t>-  replace</w:t>
      </w:r>
      <w:proofErr w:type="gramEnd"/>
      <w:r w:rsidRPr="00216655">
        <w:rPr>
          <w:sz w:val="20"/>
        </w:rPr>
        <w:t xml:space="preserve"> "is set to</w:t>
      </w:r>
      <w:r>
        <w:rPr>
          <w:sz w:val="20"/>
        </w:rPr>
        <w:t xml:space="preserve"> a nonzero value</w:t>
      </w:r>
      <w:r w:rsidRPr="00216655">
        <w:rPr>
          <w:sz w:val="20"/>
        </w:rPr>
        <w:t>" with "is</w:t>
      </w:r>
      <w:r>
        <w:rPr>
          <w:sz w:val="20"/>
        </w:rPr>
        <w:t xml:space="preserve"> a nonzero value</w:t>
      </w:r>
      <w:r w:rsidRPr="00216655">
        <w:rPr>
          <w:sz w:val="20"/>
        </w:rPr>
        <w:t>"</w:t>
      </w:r>
    </w:p>
    <w:p w14:paraId="78462962" w14:textId="77777777" w:rsidR="006B623D" w:rsidRPr="00216655" w:rsidRDefault="006B623D" w:rsidP="006B623D">
      <w:pPr>
        <w:rPr>
          <w:sz w:val="20"/>
        </w:rPr>
      </w:pPr>
      <w:r>
        <w:rPr>
          <w:sz w:val="20"/>
        </w:rPr>
        <w:t>2201.29 - replace "</w:t>
      </w:r>
      <w:r w:rsidRPr="00216655">
        <w:rPr>
          <w:sz w:val="20"/>
        </w:rPr>
        <w:t>"is set to</w:t>
      </w:r>
      <w:r>
        <w:rPr>
          <w:sz w:val="20"/>
        </w:rPr>
        <w:t xml:space="preserve"> 0</w:t>
      </w:r>
      <w:r w:rsidRPr="00216655">
        <w:rPr>
          <w:sz w:val="20"/>
        </w:rPr>
        <w:t>" with "is</w:t>
      </w:r>
      <w:r>
        <w:rPr>
          <w:sz w:val="20"/>
        </w:rPr>
        <w:t xml:space="preserve"> 0”</w:t>
      </w:r>
    </w:p>
    <w:p w14:paraId="36AE7D21" w14:textId="77777777" w:rsidR="006B623D" w:rsidRDefault="006B623D" w:rsidP="006B623D">
      <w:pPr>
        <w:rPr>
          <w:sz w:val="20"/>
        </w:rPr>
      </w:pPr>
      <w:r>
        <w:rPr>
          <w:sz w:val="20"/>
        </w:rPr>
        <w:t xml:space="preserve">2203.59 </w:t>
      </w:r>
      <w:proofErr w:type="gramStart"/>
      <w:r w:rsidRPr="00216655">
        <w:rPr>
          <w:sz w:val="20"/>
        </w:rPr>
        <w:t>-  replace</w:t>
      </w:r>
      <w:proofErr w:type="gramEnd"/>
      <w:r w:rsidRPr="00216655">
        <w:rPr>
          <w:sz w:val="20"/>
        </w:rPr>
        <w:t xml:space="preserve"> "is set to</w:t>
      </w:r>
      <w:r>
        <w:rPr>
          <w:sz w:val="20"/>
        </w:rPr>
        <w:t xml:space="preserve"> a value larger</w:t>
      </w:r>
      <w:r w:rsidRPr="00216655">
        <w:rPr>
          <w:sz w:val="20"/>
        </w:rPr>
        <w:t>" with "is</w:t>
      </w:r>
      <w:r>
        <w:rPr>
          <w:sz w:val="20"/>
        </w:rPr>
        <w:t xml:space="preserve"> a value larger</w:t>
      </w:r>
      <w:r w:rsidRPr="00216655">
        <w:rPr>
          <w:sz w:val="20"/>
        </w:rPr>
        <w:t>"</w:t>
      </w:r>
    </w:p>
    <w:p w14:paraId="5F031D73" w14:textId="77777777" w:rsidR="006B623D" w:rsidRPr="00216655" w:rsidRDefault="006B623D" w:rsidP="006B623D">
      <w:pPr>
        <w:rPr>
          <w:sz w:val="20"/>
        </w:rPr>
      </w:pPr>
      <w:r>
        <w:rPr>
          <w:sz w:val="20"/>
        </w:rPr>
        <w:t>2210.59 - replace "</w:t>
      </w:r>
      <w:r w:rsidRPr="00216655">
        <w:rPr>
          <w:sz w:val="20"/>
        </w:rPr>
        <w:t>"is set to</w:t>
      </w:r>
      <w:r>
        <w:rPr>
          <w:sz w:val="20"/>
        </w:rPr>
        <w:t xml:space="preserve"> 0</w:t>
      </w:r>
      <w:r w:rsidRPr="00216655">
        <w:rPr>
          <w:sz w:val="20"/>
        </w:rPr>
        <w:t>" with "is</w:t>
      </w:r>
      <w:r>
        <w:rPr>
          <w:sz w:val="20"/>
        </w:rPr>
        <w:t xml:space="preserve"> 0”</w:t>
      </w:r>
    </w:p>
    <w:p w14:paraId="158DA30A" w14:textId="77777777" w:rsidR="006B623D" w:rsidRDefault="006B623D" w:rsidP="006B623D">
      <w:pPr>
        <w:rPr>
          <w:sz w:val="20"/>
        </w:rPr>
      </w:pPr>
      <w:r>
        <w:rPr>
          <w:sz w:val="20"/>
        </w:rPr>
        <w:t>2201.29 – replace “is set to” with “is”</w:t>
      </w:r>
    </w:p>
    <w:p w14:paraId="75B47D70" w14:textId="77777777" w:rsidR="006B623D" w:rsidRDefault="006B623D" w:rsidP="006B623D">
      <w:pPr>
        <w:rPr>
          <w:sz w:val="20"/>
        </w:rPr>
      </w:pPr>
      <w:r>
        <w:rPr>
          <w:sz w:val="20"/>
        </w:rPr>
        <w:t>2210.61 - replace "</w:t>
      </w:r>
      <w:r w:rsidRPr="007009DD">
        <w:rPr>
          <w:sz w:val="20"/>
        </w:rPr>
        <w:t xml:space="preserve">If the </w:t>
      </w:r>
      <w:proofErr w:type="spellStart"/>
      <w:r w:rsidRPr="007009DD">
        <w:rPr>
          <w:sz w:val="20"/>
        </w:rPr>
        <w:t>ComeBack</w:t>
      </w:r>
      <w:proofErr w:type="spellEnd"/>
      <w:r w:rsidRPr="007009DD">
        <w:rPr>
          <w:sz w:val="20"/>
        </w:rPr>
        <w:t xml:space="preserve"> Delay field is set to a nonzero value,</w:t>
      </w:r>
      <w:r>
        <w:rPr>
          <w:sz w:val="20"/>
        </w:rPr>
        <w:t>” with:</w:t>
      </w:r>
      <w:r w:rsidRPr="0062613C">
        <w:rPr>
          <w:sz w:val="20"/>
        </w:rPr>
        <w:t xml:space="preserve"> </w:t>
      </w:r>
      <w:r>
        <w:rPr>
          <w:sz w:val="20"/>
        </w:rPr>
        <w:t>"</w:t>
      </w:r>
      <w:r w:rsidRPr="00B951BE">
        <w:rPr>
          <w:sz w:val="20"/>
        </w:rPr>
        <w:t xml:space="preserve">If the </w:t>
      </w:r>
      <w:proofErr w:type="spellStart"/>
      <w:r w:rsidRPr="00B951BE">
        <w:rPr>
          <w:sz w:val="20"/>
        </w:rPr>
        <w:t>ComeBack</w:t>
      </w:r>
      <w:proofErr w:type="spellEnd"/>
      <w:r w:rsidRPr="00B951BE">
        <w:rPr>
          <w:sz w:val="20"/>
        </w:rPr>
        <w:t xml:space="preserve"> Delay field is a nonzero value,</w:t>
      </w:r>
      <w:r>
        <w:rPr>
          <w:sz w:val="20"/>
        </w:rPr>
        <w:t>”</w:t>
      </w:r>
    </w:p>
    <w:p w14:paraId="283D247B" w14:textId="77777777" w:rsidR="006B623D" w:rsidRDefault="006B623D" w:rsidP="006B623D">
      <w:pPr>
        <w:autoSpaceDE w:val="0"/>
        <w:autoSpaceDN w:val="0"/>
        <w:adjustRightInd w:val="0"/>
        <w:rPr>
          <w:sz w:val="20"/>
        </w:rPr>
      </w:pPr>
      <w:r>
        <w:rPr>
          <w:sz w:val="20"/>
        </w:rPr>
        <w:t>2265.6 - replace "</w:t>
      </w:r>
      <w:r w:rsidRPr="00216655">
        <w:rPr>
          <w:sz w:val="20"/>
        </w:rPr>
        <w:t>is set to</w:t>
      </w:r>
      <w:r>
        <w:rPr>
          <w:sz w:val="20"/>
        </w:rPr>
        <w:t xml:space="preserve"> 0</w:t>
      </w:r>
      <w:r w:rsidRPr="00216655">
        <w:rPr>
          <w:sz w:val="20"/>
        </w:rPr>
        <w:t>" with "is</w:t>
      </w:r>
      <w:r>
        <w:rPr>
          <w:sz w:val="20"/>
        </w:rPr>
        <w:t xml:space="preserve"> 0”</w:t>
      </w:r>
    </w:p>
    <w:p w14:paraId="4CAD40A6" w14:textId="77777777" w:rsidR="006B623D" w:rsidRDefault="006B623D" w:rsidP="006B623D">
      <w:pPr>
        <w:autoSpaceDE w:val="0"/>
        <w:autoSpaceDN w:val="0"/>
        <w:adjustRightInd w:val="0"/>
        <w:rPr>
          <w:sz w:val="20"/>
        </w:rPr>
      </w:pPr>
      <w:r>
        <w:rPr>
          <w:sz w:val="20"/>
        </w:rPr>
        <w:t>2280.14 – replace: “</w:t>
      </w:r>
      <w:r w:rsidRPr="007009DD">
        <w:rPr>
          <w:sz w:val="20"/>
        </w:rPr>
        <w:t xml:space="preserve">When management frame protection is not negotiated or the Extended S1G Action Protection field in the RSNXE transmitted by either STA is set to </w:t>
      </w:r>
      <w:proofErr w:type="gramStart"/>
      <w:r w:rsidRPr="007009DD">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2D960276" w14:textId="77777777" w:rsidR="006B623D" w:rsidRDefault="006B623D" w:rsidP="006B623D">
      <w:pPr>
        <w:autoSpaceDE w:val="0"/>
        <w:autoSpaceDN w:val="0"/>
        <w:adjustRightInd w:val="0"/>
        <w:rPr>
          <w:sz w:val="20"/>
        </w:rPr>
      </w:pPr>
      <w:r>
        <w:rPr>
          <w:sz w:val="20"/>
        </w:rPr>
        <w:t>2290.44 – replace “is set to 1” with “is 1”</w:t>
      </w:r>
    </w:p>
    <w:p w14:paraId="6EE940C1" w14:textId="77777777" w:rsidR="006B623D" w:rsidRDefault="006B623D" w:rsidP="006B623D">
      <w:pPr>
        <w:autoSpaceDE w:val="0"/>
        <w:autoSpaceDN w:val="0"/>
        <w:adjustRightInd w:val="0"/>
        <w:rPr>
          <w:sz w:val="20"/>
        </w:rPr>
      </w:pPr>
      <w:r>
        <w:rPr>
          <w:sz w:val="20"/>
        </w:rPr>
        <w:t>2293.20 – replace: “</w:t>
      </w:r>
      <w:r w:rsidRPr="007009DD">
        <w:rPr>
          <w:sz w:val="20"/>
        </w:rPr>
        <w:t>When management frame protection is not negotiated or the Extended S1G Action Protection field in the RSNXE transmitted by either STA is set to 0,”</w:t>
      </w:r>
      <w:r>
        <w:rPr>
          <w:sz w:val="20"/>
        </w:rPr>
        <w:t xml:space="preserve"> with</w:t>
      </w:r>
      <w:proofErr w:type="gramStart"/>
      <w:r>
        <w:rPr>
          <w:sz w:val="20"/>
        </w:rPr>
        <w:t>: :</w:t>
      </w:r>
      <w:proofErr w:type="gramEnd"/>
      <w:r>
        <w:rPr>
          <w:sz w:val="20"/>
        </w:rPr>
        <w:t xml:space="preserve"> “</w:t>
      </w:r>
      <w:r w:rsidRPr="00B951BE">
        <w:rPr>
          <w:sz w:val="20"/>
        </w:rPr>
        <w:t>When management frame protection is not negotiated or the Extended S1G Action Protection field is 0</w:t>
      </w:r>
      <w:r w:rsidRPr="00290914">
        <w:rPr>
          <w:sz w:val="20"/>
        </w:rPr>
        <w:t xml:space="preserve"> </w:t>
      </w:r>
      <w:r w:rsidRPr="00135017">
        <w:rPr>
          <w:sz w:val="20"/>
        </w:rPr>
        <w:t>in the RSNXE transmitted by either STA</w:t>
      </w:r>
      <w:r>
        <w:rPr>
          <w:sz w:val="20"/>
        </w:rPr>
        <w:t>,”</w:t>
      </w:r>
    </w:p>
    <w:p w14:paraId="05662ECB" w14:textId="77777777" w:rsidR="006B623D" w:rsidRDefault="006B623D" w:rsidP="006B623D">
      <w:pPr>
        <w:autoSpaceDE w:val="0"/>
        <w:autoSpaceDN w:val="0"/>
        <w:adjustRightInd w:val="0"/>
        <w:rPr>
          <w:sz w:val="20"/>
        </w:rPr>
      </w:pPr>
      <w:r>
        <w:rPr>
          <w:sz w:val="20"/>
        </w:rPr>
        <w:t>2295.1 – replace: “</w:t>
      </w:r>
      <w:r w:rsidRPr="007009DD">
        <w:rPr>
          <w:sz w:val="20"/>
        </w:rPr>
        <w:t>— The switching from an omnidirectional beam transmission to a sectorized beam transmission occurs</w:t>
      </w:r>
      <w:r>
        <w:rPr>
          <w:sz w:val="20"/>
        </w:rPr>
        <w:t xml:space="preserve"> </w:t>
      </w:r>
      <w:r w:rsidRPr="007009DD">
        <w:rPr>
          <w:sz w:val="20"/>
        </w:rPr>
        <w:t>when the bit position corresponding to the sector is set to 1 in the TXVECTOR parameter</w:t>
      </w:r>
      <w:r>
        <w:rPr>
          <w:sz w:val="20"/>
        </w:rPr>
        <w:t xml:space="preserve"> </w:t>
      </w:r>
      <w:r w:rsidRPr="007009DD">
        <w:rPr>
          <w:sz w:val="20"/>
        </w:rPr>
        <w:t>SECTOR_ID.</w:t>
      </w:r>
      <w:r>
        <w:rPr>
          <w:sz w:val="20"/>
        </w:rPr>
        <w:t>”</w:t>
      </w:r>
    </w:p>
    <w:p w14:paraId="3C1DCCD5" w14:textId="77777777" w:rsidR="006B623D" w:rsidRPr="007009DD" w:rsidRDefault="006B623D" w:rsidP="006B623D">
      <w:pPr>
        <w:autoSpaceDE w:val="0"/>
        <w:autoSpaceDN w:val="0"/>
        <w:adjustRightInd w:val="0"/>
        <w:rPr>
          <w:sz w:val="20"/>
        </w:rPr>
      </w:pPr>
      <w:r>
        <w:rPr>
          <w:sz w:val="20"/>
        </w:rPr>
        <w:t>With: “</w:t>
      </w:r>
      <w:r w:rsidRPr="00B951BE">
        <w:rPr>
          <w:sz w:val="20"/>
        </w:rPr>
        <w:t>— The switching from an omnidirectional beam transmission to a sectorized beam transmission occurs</w:t>
      </w:r>
      <w:r>
        <w:rPr>
          <w:sz w:val="20"/>
        </w:rPr>
        <w:t xml:space="preserve"> </w:t>
      </w:r>
      <w:r w:rsidRPr="00B951BE">
        <w:rPr>
          <w:sz w:val="20"/>
        </w:rPr>
        <w:t>when the bit position corresponding to the sector is 1 in the TXVECTOR parameter</w:t>
      </w:r>
      <w:r>
        <w:rPr>
          <w:sz w:val="20"/>
        </w:rPr>
        <w:t xml:space="preserve"> </w:t>
      </w:r>
      <w:r w:rsidRPr="00B951BE">
        <w:rPr>
          <w:sz w:val="20"/>
        </w:rPr>
        <w:t>SECTOR_ID.</w:t>
      </w:r>
      <w:r>
        <w:rPr>
          <w:sz w:val="20"/>
        </w:rPr>
        <w:t>”</w:t>
      </w:r>
    </w:p>
    <w:p w14:paraId="5E47CBDD" w14:textId="77777777" w:rsidR="006B623D" w:rsidRDefault="006B623D" w:rsidP="006B623D">
      <w:pPr>
        <w:rPr>
          <w:sz w:val="20"/>
        </w:rPr>
      </w:pPr>
      <w:r>
        <w:rPr>
          <w:sz w:val="20"/>
        </w:rPr>
        <w:t xml:space="preserve">2450.8 – replace: “The default value is set to 10 TUs.”  with: “The </w:t>
      </w:r>
      <w:proofErr w:type="spellStart"/>
      <w:r>
        <w:rPr>
          <w:sz w:val="20"/>
        </w:rPr>
        <w:t>defaule</w:t>
      </w:r>
      <w:proofErr w:type="spellEnd"/>
      <w:r>
        <w:rPr>
          <w:sz w:val="20"/>
        </w:rPr>
        <w:t xml:space="preserve"> value is 10 TUs.”</w:t>
      </w:r>
    </w:p>
    <w:p w14:paraId="0364B7E1" w14:textId="77777777" w:rsidR="006B623D" w:rsidRDefault="006B623D" w:rsidP="006B623D">
      <w:pPr>
        <w:rPr>
          <w:sz w:val="20"/>
        </w:rPr>
      </w:pPr>
      <w:r>
        <w:rPr>
          <w:sz w:val="20"/>
        </w:rPr>
        <w:t>2450.9 – replace: “</w:t>
      </w:r>
      <w:r w:rsidRPr="00290914">
        <w:rPr>
          <w:sz w:val="20"/>
        </w:rPr>
        <w:t>The default value is set</w:t>
      </w:r>
      <w:r>
        <w:rPr>
          <w:sz w:val="20"/>
        </w:rPr>
        <w:t xml:space="preserve"> </w:t>
      </w:r>
      <w:r w:rsidRPr="00290914">
        <w:rPr>
          <w:sz w:val="20"/>
        </w:rPr>
        <w:t>to 8 beacon intervals.</w:t>
      </w:r>
      <w:r>
        <w:rPr>
          <w:sz w:val="20"/>
        </w:rPr>
        <w:t>” with</w:t>
      </w:r>
      <w:proofErr w:type="gramStart"/>
      <w:r>
        <w:rPr>
          <w:sz w:val="20"/>
        </w:rPr>
        <w:t>:  “</w:t>
      </w:r>
      <w:proofErr w:type="gramEnd"/>
      <w:r w:rsidRPr="00290914">
        <w:rPr>
          <w:sz w:val="20"/>
        </w:rPr>
        <w:t>The default value is 8 beacon intervals.</w:t>
      </w:r>
      <w:r>
        <w:rPr>
          <w:sz w:val="20"/>
        </w:rPr>
        <w:t>”</w:t>
      </w:r>
    </w:p>
    <w:p w14:paraId="49EED701" w14:textId="77777777" w:rsidR="006B623D" w:rsidRDefault="006B623D" w:rsidP="006B623D">
      <w:pPr>
        <w:rPr>
          <w:sz w:val="20"/>
        </w:rPr>
      </w:pPr>
      <w:r>
        <w:rPr>
          <w:sz w:val="20"/>
        </w:rPr>
        <w:t>2450.12 – replace: “</w:t>
      </w:r>
      <w:r w:rsidRPr="00290914">
        <w:rPr>
          <w:sz w:val="20"/>
        </w:rPr>
        <w:t>The default value is set</w:t>
      </w:r>
      <w:r>
        <w:rPr>
          <w:sz w:val="20"/>
        </w:rPr>
        <w:t xml:space="preserve"> </w:t>
      </w:r>
      <w:r w:rsidRPr="00290914">
        <w:rPr>
          <w:sz w:val="20"/>
        </w:rPr>
        <w:t>to 256 beacon intervals.</w:t>
      </w:r>
      <w:r>
        <w:rPr>
          <w:sz w:val="20"/>
        </w:rPr>
        <w:t>” with: “</w:t>
      </w:r>
      <w:r w:rsidRPr="00290914">
        <w:rPr>
          <w:sz w:val="20"/>
        </w:rPr>
        <w:t>The default value is 256 beacon intervals.</w:t>
      </w:r>
      <w:r>
        <w:rPr>
          <w:sz w:val="20"/>
        </w:rPr>
        <w:t>”</w:t>
      </w:r>
    </w:p>
    <w:p w14:paraId="6ABB17E7" w14:textId="77777777" w:rsidR="006B623D" w:rsidRDefault="006B623D" w:rsidP="006B623D">
      <w:pPr>
        <w:rPr>
          <w:sz w:val="20"/>
        </w:rPr>
      </w:pPr>
      <w:r>
        <w:rPr>
          <w:sz w:val="20"/>
        </w:rPr>
        <w:t xml:space="preserve">2584.20 -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2690F141" w14:textId="77777777" w:rsidR="006B623D" w:rsidRDefault="006B623D" w:rsidP="006B623D">
      <w:pPr>
        <w:rPr>
          <w:sz w:val="20"/>
        </w:rPr>
      </w:pPr>
      <w:r>
        <w:rPr>
          <w:sz w:val="20"/>
        </w:rPr>
        <w:t>2584.20 -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21841984" w14:textId="77777777" w:rsidR="006B623D" w:rsidRDefault="006B623D" w:rsidP="006B623D">
      <w:pPr>
        <w:rPr>
          <w:sz w:val="20"/>
        </w:rPr>
      </w:pPr>
      <w:r>
        <w:rPr>
          <w:sz w:val="20"/>
        </w:rPr>
        <w:t>2585.53 - replace "</w:t>
      </w:r>
      <w:r w:rsidRPr="00775A4F">
        <w:rPr>
          <w:sz w:val="20"/>
        </w:rPr>
        <w:t xml:space="preserve"> </w:t>
      </w:r>
      <w:r w:rsidRPr="00216655">
        <w:rPr>
          <w:sz w:val="20"/>
        </w:rPr>
        <w:t>is set to</w:t>
      </w:r>
      <w:r>
        <w:rPr>
          <w:sz w:val="20"/>
        </w:rPr>
        <w:t xml:space="preserve"> 1</w:t>
      </w:r>
      <w:r w:rsidRPr="00216655">
        <w:rPr>
          <w:sz w:val="20"/>
        </w:rPr>
        <w:t>" with "is</w:t>
      </w:r>
      <w:r>
        <w:rPr>
          <w:sz w:val="20"/>
        </w:rPr>
        <w:t xml:space="preserve"> 1</w:t>
      </w:r>
      <w:r w:rsidRPr="00216655">
        <w:rPr>
          <w:sz w:val="20"/>
        </w:rPr>
        <w:t>"</w:t>
      </w:r>
    </w:p>
    <w:p w14:paraId="63D39AB1" w14:textId="77777777" w:rsidR="006B623D" w:rsidRDefault="006B623D" w:rsidP="006B623D">
      <w:pPr>
        <w:rPr>
          <w:sz w:val="20"/>
        </w:rPr>
      </w:pPr>
      <w:r>
        <w:rPr>
          <w:sz w:val="20"/>
        </w:rPr>
        <w:t>2589.25 - replace "</w:t>
      </w:r>
      <w:r w:rsidRPr="00775A4F">
        <w:rPr>
          <w:sz w:val="20"/>
        </w:rPr>
        <w:t>When the ASAP subfield is set to 0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is  0</w:t>
      </w:r>
      <w:proofErr w:type="gramEnd"/>
      <w:r w:rsidRPr="00775A4F">
        <w:rPr>
          <w:sz w:val="20"/>
        </w:rPr>
        <w:t>,</w:t>
      </w:r>
      <w:r>
        <w:rPr>
          <w:sz w:val="20"/>
        </w:rPr>
        <w:t xml:space="preserve"> …”</w:t>
      </w:r>
    </w:p>
    <w:p w14:paraId="47E26BEA" w14:textId="77777777" w:rsidR="006B623D" w:rsidRDefault="006B623D" w:rsidP="006B623D">
      <w:pPr>
        <w:rPr>
          <w:sz w:val="20"/>
        </w:rPr>
      </w:pPr>
      <w:r>
        <w:rPr>
          <w:sz w:val="20"/>
        </w:rPr>
        <w:t>2589.29 – replace “</w:t>
      </w:r>
      <w:r w:rsidRPr="00CD5A07">
        <w:rPr>
          <w:sz w:val="20"/>
        </w:rPr>
        <w:t>When the ASAP subfield is set to 1 by a responding STA,</w:t>
      </w:r>
      <w:r>
        <w:rPr>
          <w:sz w:val="20"/>
        </w:rPr>
        <w:t xml:space="preserve"> …” with “</w:t>
      </w:r>
      <w:r w:rsidRPr="00775A4F">
        <w:rPr>
          <w:sz w:val="20"/>
        </w:rPr>
        <w:t xml:space="preserve">When the </w:t>
      </w:r>
      <w:r>
        <w:rPr>
          <w:sz w:val="20"/>
        </w:rPr>
        <w:t xml:space="preserve">received </w:t>
      </w:r>
      <w:r w:rsidRPr="00775A4F">
        <w:rPr>
          <w:sz w:val="20"/>
        </w:rPr>
        <w:t xml:space="preserve">ASAP subfield </w:t>
      </w:r>
      <w:proofErr w:type="gramStart"/>
      <w:r w:rsidRPr="00775A4F">
        <w:rPr>
          <w:sz w:val="20"/>
        </w:rPr>
        <w:t xml:space="preserve">is  </w:t>
      </w:r>
      <w:r>
        <w:rPr>
          <w:sz w:val="20"/>
        </w:rPr>
        <w:t>1</w:t>
      </w:r>
      <w:proofErr w:type="gramEnd"/>
      <w:r w:rsidRPr="00775A4F">
        <w:rPr>
          <w:sz w:val="20"/>
        </w:rPr>
        <w:t>,</w:t>
      </w:r>
      <w:r>
        <w:rPr>
          <w:sz w:val="20"/>
        </w:rPr>
        <w:t xml:space="preserve"> …”</w:t>
      </w:r>
    </w:p>
    <w:p w14:paraId="5452D443" w14:textId="77777777" w:rsidR="006B623D" w:rsidRDefault="006B623D" w:rsidP="006B623D">
      <w:pPr>
        <w:rPr>
          <w:sz w:val="20"/>
        </w:rPr>
      </w:pPr>
      <w:r>
        <w:rPr>
          <w:sz w:val="20"/>
        </w:rPr>
        <w:t xml:space="preserve">2609.6 - </w:t>
      </w:r>
      <w:r w:rsidRPr="00216655">
        <w:rPr>
          <w:sz w:val="20"/>
        </w:rPr>
        <w:t>replace "is set to" with "is"</w:t>
      </w:r>
    </w:p>
    <w:p w14:paraId="08A5E988" w14:textId="77777777" w:rsidR="006B623D" w:rsidRDefault="006B623D" w:rsidP="006B623D">
      <w:pPr>
        <w:rPr>
          <w:sz w:val="20"/>
        </w:rPr>
      </w:pPr>
      <w:r>
        <w:rPr>
          <w:sz w:val="20"/>
        </w:rPr>
        <w:t xml:space="preserve">2629.60 - </w:t>
      </w:r>
      <w:r w:rsidRPr="00216655">
        <w:rPr>
          <w:sz w:val="20"/>
        </w:rPr>
        <w:t>replace "is set to</w:t>
      </w:r>
      <w:r>
        <w:rPr>
          <w:sz w:val="20"/>
        </w:rPr>
        <w:t xml:space="preserve"> true</w:t>
      </w:r>
      <w:r w:rsidRPr="00216655">
        <w:rPr>
          <w:sz w:val="20"/>
        </w:rPr>
        <w:t>" with "is</w:t>
      </w:r>
      <w:r>
        <w:rPr>
          <w:sz w:val="20"/>
        </w:rPr>
        <w:t xml:space="preserve"> true</w:t>
      </w:r>
      <w:r w:rsidRPr="00216655">
        <w:rPr>
          <w:sz w:val="20"/>
        </w:rPr>
        <w:t>"</w:t>
      </w:r>
    </w:p>
    <w:p w14:paraId="5FFCBC0E" w14:textId="77777777" w:rsidR="006B623D" w:rsidRDefault="006B623D" w:rsidP="006B623D">
      <w:pPr>
        <w:rPr>
          <w:sz w:val="20"/>
        </w:rPr>
      </w:pPr>
      <w:r>
        <w:rPr>
          <w:sz w:val="20"/>
        </w:rPr>
        <w:t>2688.16 - replace "</w:t>
      </w:r>
      <w:r w:rsidRPr="00CD5A07">
        <w:rPr>
          <w:sz w:val="20"/>
        </w:rPr>
        <w:t xml:space="preserve"> </w:t>
      </w:r>
      <w:r w:rsidRPr="00216655">
        <w:rPr>
          <w:sz w:val="20"/>
        </w:rPr>
        <w:t>is set to" with "is"</w:t>
      </w:r>
    </w:p>
    <w:p w14:paraId="7DC74105" w14:textId="77777777" w:rsidR="006B623D" w:rsidRDefault="006B623D" w:rsidP="006B623D">
      <w:pPr>
        <w:rPr>
          <w:sz w:val="20"/>
        </w:rPr>
      </w:pPr>
      <w:r>
        <w:rPr>
          <w:sz w:val="20"/>
        </w:rPr>
        <w:lastRenderedPageBreak/>
        <w:t>2753.55 - replace "</w:t>
      </w:r>
      <w:r w:rsidRPr="00216655">
        <w:rPr>
          <w:sz w:val="20"/>
        </w:rPr>
        <w:t>is set to" with "is"</w:t>
      </w:r>
    </w:p>
    <w:p w14:paraId="60165826" w14:textId="77777777" w:rsidR="006B623D" w:rsidRDefault="006B623D" w:rsidP="006B623D">
      <w:pPr>
        <w:rPr>
          <w:sz w:val="20"/>
        </w:rPr>
      </w:pPr>
      <w:r>
        <w:rPr>
          <w:sz w:val="20"/>
        </w:rPr>
        <w:t>2753.56 - replace "</w:t>
      </w:r>
      <w:r w:rsidRPr="00216655">
        <w:rPr>
          <w:sz w:val="20"/>
        </w:rPr>
        <w:t>is set to" with "is"</w:t>
      </w:r>
    </w:p>
    <w:p w14:paraId="5440830B" w14:textId="77777777" w:rsidR="006B623D" w:rsidRDefault="006B623D" w:rsidP="006B623D">
      <w:pPr>
        <w:autoSpaceDE w:val="0"/>
        <w:autoSpaceDN w:val="0"/>
        <w:adjustRightInd w:val="0"/>
        <w:rPr>
          <w:sz w:val="20"/>
        </w:rPr>
      </w:pPr>
      <w:r>
        <w:rPr>
          <w:sz w:val="20"/>
        </w:rPr>
        <w:t>2764.45 – replace: “</w:t>
      </w:r>
      <w:r w:rsidRPr="00B951BE">
        <w:rPr>
          <w:sz w:val="20"/>
        </w:rPr>
        <w:t xml:space="preserve">When management frame protection is not negotiated or the Extended S1G Action Protection field in the RSNXE transmitted by either STA is set to </w:t>
      </w:r>
      <w:proofErr w:type="gramStart"/>
      <w:r w:rsidRPr="00B951BE">
        <w:rPr>
          <w:sz w:val="20"/>
        </w:rPr>
        <w:t>0,“</w:t>
      </w:r>
      <w:proofErr w:type="gramEnd"/>
      <w:r>
        <w:rPr>
          <w:sz w:val="20"/>
        </w:rPr>
        <w:t xml:space="preserve"> with: “</w:t>
      </w:r>
      <w:r w:rsidRPr="00B951BE">
        <w:rPr>
          <w:sz w:val="20"/>
        </w:rPr>
        <w:t>When management frame protection is not negotiated or the Extended S1G Action Protection field is 0</w:t>
      </w:r>
      <w:r>
        <w:rPr>
          <w:sz w:val="20"/>
        </w:rPr>
        <w:t xml:space="preserve"> in the RSNXE transmitted by either STA,”</w:t>
      </w:r>
    </w:p>
    <w:p w14:paraId="49F023A6" w14:textId="77777777" w:rsidR="006B623D" w:rsidRDefault="006B623D" w:rsidP="006B623D">
      <w:pPr>
        <w:rPr>
          <w:sz w:val="20"/>
        </w:rPr>
      </w:pPr>
      <w:r>
        <w:rPr>
          <w:sz w:val="20"/>
        </w:rPr>
        <w:t xml:space="preserve">2779.13 -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1C946B4D" w14:textId="77777777" w:rsidR="006B623D" w:rsidRDefault="006B623D" w:rsidP="006B623D">
      <w:pPr>
        <w:rPr>
          <w:sz w:val="20"/>
        </w:rPr>
      </w:pPr>
      <w:r>
        <w:rPr>
          <w:sz w:val="20"/>
        </w:rPr>
        <w:t xml:space="preserve">2790.23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04E53434" w14:textId="77777777" w:rsidR="006B623D" w:rsidRDefault="006B623D" w:rsidP="006B623D">
      <w:pPr>
        <w:rPr>
          <w:sz w:val="20"/>
        </w:rPr>
      </w:pPr>
      <w:r>
        <w:rPr>
          <w:sz w:val="20"/>
        </w:rPr>
        <w:t xml:space="preserve">2989.47 </w:t>
      </w:r>
      <w:proofErr w:type="gramStart"/>
      <w:r w:rsidRPr="00216655">
        <w:rPr>
          <w:sz w:val="20"/>
        </w:rPr>
        <w:t>-  replace</w:t>
      </w:r>
      <w:proofErr w:type="gramEnd"/>
      <w:r w:rsidRPr="00216655">
        <w:rPr>
          <w:sz w:val="20"/>
        </w:rPr>
        <w:t xml:space="preserve"> "is set to" with "is"</w:t>
      </w:r>
    </w:p>
    <w:p w14:paraId="68107073" w14:textId="77777777" w:rsidR="006B623D" w:rsidRDefault="006B623D" w:rsidP="006B623D">
      <w:pPr>
        <w:rPr>
          <w:sz w:val="20"/>
        </w:rPr>
      </w:pPr>
      <w:r>
        <w:rPr>
          <w:sz w:val="20"/>
        </w:rPr>
        <w:t xml:space="preserve">3026.33 </w:t>
      </w:r>
      <w:proofErr w:type="gramStart"/>
      <w:r w:rsidRPr="00216655">
        <w:rPr>
          <w:sz w:val="20"/>
        </w:rPr>
        <w:t>-  replace</w:t>
      </w:r>
      <w:proofErr w:type="gramEnd"/>
      <w:r w:rsidRPr="00216655">
        <w:rPr>
          <w:sz w:val="20"/>
        </w:rPr>
        <w:t xml:space="preserve"> "is set to" with "is"</w:t>
      </w:r>
    </w:p>
    <w:p w14:paraId="59B6E981" w14:textId="77777777" w:rsidR="006B623D" w:rsidRDefault="006B623D" w:rsidP="006B623D">
      <w:pPr>
        <w:rPr>
          <w:sz w:val="20"/>
        </w:rPr>
      </w:pPr>
      <w:r>
        <w:rPr>
          <w:sz w:val="20"/>
        </w:rPr>
        <w:t xml:space="preserve">3055.14 </w:t>
      </w:r>
      <w:proofErr w:type="gramStart"/>
      <w:r w:rsidRPr="00216655">
        <w:rPr>
          <w:sz w:val="20"/>
        </w:rPr>
        <w:t>-  replace</w:t>
      </w:r>
      <w:proofErr w:type="gramEnd"/>
      <w:r w:rsidRPr="00216655">
        <w:rPr>
          <w:sz w:val="20"/>
        </w:rPr>
        <w:t xml:space="preserve"> "is set to" with "is"</w:t>
      </w:r>
    </w:p>
    <w:p w14:paraId="5928F21F" w14:textId="77777777" w:rsidR="006B623D" w:rsidRDefault="006B623D" w:rsidP="006B623D">
      <w:pPr>
        <w:rPr>
          <w:sz w:val="20"/>
        </w:rPr>
      </w:pPr>
      <w:r>
        <w:rPr>
          <w:sz w:val="20"/>
        </w:rPr>
        <w:t xml:space="preserve">3102.34 </w:t>
      </w:r>
      <w:proofErr w:type="gramStart"/>
      <w:r w:rsidRPr="00216655">
        <w:rPr>
          <w:sz w:val="20"/>
        </w:rPr>
        <w:t>-  replace</w:t>
      </w:r>
      <w:proofErr w:type="gramEnd"/>
      <w:r w:rsidRPr="00216655">
        <w:rPr>
          <w:sz w:val="20"/>
        </w:rPr>
        <w:t xml:space="preserve"> "is set to" with "is"</w:t>
      </w:r>
    </w:p>
    <w:p w14:paraId="12DD7D8F" w14:textId="77777777" w:rsidR="006B623D" w:rsidRDefault="006B623D" w:rsidP="006B623D">
      <w:pPr>
        <w:rPr>
          <w:sz w:val="20"/>
        </w:rPr>
      </w:pPr>
      <w:r>
        <w:rPr>
          <w:sz w:val="20"/>
        </w:rPr>
        <w:t xml:space="preserve">3102.38 </w:t>
      </w:r>
      <w:proofErr w:type="gramStart"/>
      <w:r w:rsidRPr="00216655">
        <w:rPr>
          <w:sz w:val="20"/>
        </w:rPr>
        <w:t>-  replace</w:t>
      </w:r>
      <w:proofErr w:type="gramEnd"/>
      <w:r w:rsidRPr="00216655">
        <w:rPr>
          <w:sz w:val="20"/>
        </w:rPr>
        <w:t xml:space="preserve"> "is set to" with "is"</w:t>
      </w:r>
    </w:p>
    <w:p w14:paraId="562698CF" w14:textId="77777777" w:rsidR="006B623D" w:rsidRDefault="006B623D" w:rsidP="006B623D">
      <w:pPr>
        <w:rPr>
          <w:sz w:val="20"/>
        </w:rPr>
      </w:pPr>
      <w:r>
        <w:rPr>
          <w:sz w:val="20"/>
        </w:rPr>
        <w:t>3105.7 - replace "</w:t>
      </w:r>
      <w:r w:rsidRPr="00380EDC">
        <w:rPr>
          <w:sz w:val="20"/>
        </w:rPr>
        <w:t>When</w:t>
      </w:r>
      <w:r>
        <w:rPr>
          <w:sz w:val="20"/>
        </w:rPr>
        <w:t xml:space="preserve"> </w:t>
      </w:r>
      <w:r w:rsidRPr="00380EDC">
        <w:rPr>
          <w:sz w:val="20"/>
        </w:rPr>
        <w:t>dot11MeshDelayedBeaconTxInterval is set to nonzero value,</w:t>
      </w:r>
      <w:r>
        <w:rPr>
          <w:sz w:val="20"/>
        </w:rPr>
        <w:t>” with “</w:t>
      </w:r>
      <w:r w:rsidRPr="00380EDC">
        <w:rPr>
          <w:sz w:val="20"/>
        </w:rPr>
        <w:t>When</w:t>
      </w:r>
      <w:r>
        <w:rPr>
          <w:sz w:val="20"/>
        </w:rPr>
        <w:t xml:space="preserve"> </w:t>
      </w:r>
      <w:r w:rsidRPr="00380EDC">
        <w:rPr>
          <w:sz w:val="20"/>
        </w:rPr>
        <w:t xml:space="preserve">dot11MeshDelayedBeaconTxInterval is </w:t>
      </w:r>
      <w:r>
        <w:rPr>
          <w:sz w:val="20"/>
        </w:rPr>
        <w:t xml:space="preserve">a </w:t>
      </w:r>
      <w:r w:rsidRPr="00380EDC">
        <w:rPr>
          <w:sz w:val="20"/>
        </w:rPr>
        <w:t>nonzero value,</w:t>
      </w:r>
      <w:r>
        <w:rPr>
          <w:sz w:val="20"/>
        </w:rPr>
        <w:t>”</w:t>
      </w:r>
    </w:p>
    <w:p w14:paraId="21C13071" w14:textId="77777777" w:rsidR="006B623D" w:rsidRDefault="006B623D" w:rsidP="006B623D">
      <w:pPr>
        <w:rPr>
          <w:sz w:val="20"/>
        </w:rPr>
      </w:pPr>
      <w:r>
        <w:rPr>
          <w:sz w:val="20"/>
        </w:rPr>
        <w:t>3107.8 – replace “</w:t>
      </w:r>
      <w:r w:rsidRPr="00380EDC">
        <w:rPr>
          <w:sz w:val="20"/>
        </w:rPr>
        <w:t>When the Power Management subfield in the Frame Control</w:t>
      </w:r>
      <w:r>
        <w:rPr>
          <w:sz w:val="20"/>
        </w:rPr>
        <w:t xml:space="preserve"> </w:t>
      </w:r>
      <w:r w:rsidRPr="00380EDC">
        <w:rPr>
          <w:sz w:val="20"/>
        </w:rPr>
        <w:t>field is set to 1,</w:t>
      </w:r>
      <w:r>
        <w:rPr>
          <w:sz w:val="20"/>
        </w:rPr>
        <w:t>” with “</w:t>
      </w:r>
      <w:r w:rsidRPr="00380EDC">
        <w:rPr>
          <w:sz w:val="20"/>
        </w:rPr>
        <w:t>When the Power Management subfield in the Frame Control</w:t>
      </w:r>
      <w:r>
        <w:rPr>
          <w:sz w:val="20"/>
        </w:rPr>
        <w:t xml:space="preserve"> </w:t>
      </w:r>
      <w:r w:rsidRPr="00380EDC">
        <w:rPr>
          <w:sz w:val="20"/>
        </w:rPr>
        <w:t>field is 1,</w:t>
      </w:r>
      <w:r>
        <w:rPr>
          <w:sz w:val="20"/>
        </w:rPr>
        <w:t>”</w:t>
      </w:r>
    </w:p>
    <w:p w14:paraId="0B6C2077" w14:textId="77777777" w:rsidR="006B623D" w:rsidRDefault="006B623D" w:rsidP="006B623D">
      <w:pPr>
        <w:rPr>
          <w:sz w:val="20"/>
        </w:rPr>
      </w:pPr>
      <w:r>
        <w:rPr>
          <w:sz w:val="20"/>
        </w:rPr>
        <w:t>3107.10 – replace “</w:t>
      </w:r>
      <w:r w:rsidRPr="00380EDC">
        <w:rPr>
          <w:sz w:val="20"/>
        </w:rPr>
        <w:t>When the Power</w:t>
      </w:r>
      <w:r>
        <w:rPr>
          <w:sz w:val="20"/>
        </w:rPr>
        <w:t xml:space="preserve"> </w:t>
      </w:r>
      <w:r w:rsidRPr="00380EDC">
        <w:rPr>
          <w:sz w:val="20"/>
        </w:rPr>
        <w:t>Management subfield in the Frame Control field is set to 0,</w:t>
      </w:r>
      <w:r>
        <w:rPr>
          <w:sz w:val="20"/>
        </w:rPr>
        <w:t>” with “</w:t>
      </w:r>
      <w:r w:rsidRPr="00380EDC">
        <w:rPr>
          <w:sz w:val="20"/>
        </w:rPr>
        <w:t>When the Power</w:t>
      </w:r>
      <w:r>
        <w:rPr>
          <w:sz w:val="20"/>
        </w:rPr>
        <w:t xml:space="preserve"> </w:t>
      </w:r>
      <w:r w:rsidRPr="00380EDC">
        <w:rPr>
          <w:sz w:val="20"/>
        </w:rPr>
        <w:t>Management subfield in the Frame Control field is 0,</w:t>
      </w:r>
      <w:r>
        <w:rPr>
          <w:sz w:val="20"/>
        </w:rPr>
        <w:t>”</w:t>
      </w:r>
    </w:p>
    <w:p w14:paraId="4E263EA9" w14:textId="77777777" w:rsidR="006B623D" w:rsidRDefault="006B623D" w:rsidP="006B623D">
      <w:pPr>
        <w:rPr>
          <w:sz w:val="20"/>
        </w:rPr>
      </w:pPr>
      <w:r>
        <w:rPr>
          <w:sz w:val="20"/>
        </w:rPr>
        <w:t xml:space="preserve">3111.23 </w:t>
      </w:r>
      <w:proofErr w:type="gramStart"/>
      <w:r w:rsidRPr="00216655">
        <w:rPr>
          <w:sz w:val="20"/>
        </w:rPr>
        <w:t>-  replace</w:t>
      </w:r>
      <w:proofErr w:type="gramEnd"/>
      <w:r w:rsidRPr="00216655">
        <w:rPr>
          <w:sz w:val="20"/>
        </w:rPr>
        <w:t xml:space="preserve"> "is set to" with "is"</w:t>
      </w:r>
    </w:p>
    <w:p w14:paraId="2C3EB389" w14:textId="77777777" w:rsidR="006B623D" w:rsidRDefault="006B623D" w:rsidP="006B623D">
      <w:pPr>
        <w:rPr>
          <w:sz w:val="20"/>
        </w:rPr>
      </w:pPr>
      <w:r>
        <w:rPr>
          <w:sz w:val="20"/>
        </w:rPr>
        <w:t>3350.65 - replace "</w:t>
      </w:r>
      <w:r w:rsidRPr="00C02D07">
        <w:rPr>
          <w:sz w:val="20"/>
        </w:rPr>
        <w:t>If the SCRAMBLER_RESET parameter is set to</w:t>
      </w:r>
      <w:r w:rsidRPr="00C02D07">
        <w:t xml:space="preserve"> </w:t>
      </w:r>
      <w:r w:rsidRPr="00C02D07">
        <w:rPr>
          <w:sz w:val="20"/>
        </w:rPr>
        <w:t>RESET_SCRAMBLER,</w:t>
      </w:r>
      <w:r>
        <w:rPr>
          <w:sz w:val="20"/>
        </w:rPr>
        <w:t>” with "</w:t>
      </w:r>
      <w:r w:rsidRPr="00C02D07">
        <w:rPr>
          <w:sz w:val="20"/>
        </w:rPr>
        <w:t>If the SCRAMBLER_RESET parameter is RESET_SCRAMBLER,</w:t>
      </w:r>
      <w:r>
        <w:rPr>
          <w:sz w:val="20"/>
        </w:rPr>
        <w:t>”</w:t>
      </w:r>
    </w:p>
    <w:p w14:paraId="7C7A55F3" w14:textId="77777777" w:rsidR="006B623D" w:rsidRDefault="006B623D" w:rsidP="006B623D">
      <w:pPr>
        <w:rPr>
          <w:sz w:val="20"/>
        </w:rPr>
      </w:pPr>
      <w:r>
        <w:rPr>
          <w:sz w:val="20"/>
        </w:rPr>
        <w:t>3358.24 – replace “</w:t>
      </w:r>
      <w:r w:rsidRPr="00C02D07">
        <w:rPr>
          <w:sz w:val="20"/>
        </w:rPr>
        <w:t>If this field is set</w:t>
      </w:r>
      <w:r>
        <w:rPr>
          <w:sz w:val="20"/>
        </w:rPr>
        <w:t xml:space="preserve"> </w:t>
      </w:r>
      <w:r w:rsidRPr="00C02D07">
        <w:rPr>
          <w:sz w:val="20"/>
        </w:rPr>
        <w:t>to 1,</w:t>
      </w:r>
      <w:r>
        <w:rPr>
          <w:sz w:val="20"/>
        </w:rPr>
        <w:t>” with “</w:t>
      </w:r>
      <w:r w:rsidRPr="00C02D07">
        <w:rPr>
          <w:sz w:val="20"/>
        </w:rPr>
        <w:t>If this field is 1,</w:t>
      </w:r>
      <w:r>
        <w:rPr>
          <w:sz w:val="20"/>
        </w:rPr>
        <w:t>”</w:t>
      </w:r>
    </w:p>
    <w:p w14:paraId="7C403A8B" w14:textId="77777777" w:rsidR="006B623D" w:rsidRDefault="006B623D" w:rsidP="006B623D">
      <w:pPr>
        <w:rPr>
          <w:sz w:val="20"/>
        </w:rPr>
      </w:pPr>
      <w:r>
        <w:rPr>
          <w:sz w:val="20"/>
        </w:rPr>
        <w:t xml:space="preserve">3359.2 </w:t>
      </w:r>
      <w:proofErr w:type="gramStart"/>
      <w:r w:rsidRPr="00216655">
        <w:rPr>
          <w:sz w:val="20"/>
        </w:rPr>
        <w:t>-  replace</w:t>
      </w:r>
      <w:proofErr w:type="gramEnd"/>
      <w:r w:rsidRPr="00216655">
        <w:rPr>
          <w:sz w:val="20"/>
        </w:rPr>
        <w:t xml:space="preserve"> "is set to" with "is"</w:t>
      </w:r>
    </w:p>
    <w:p w14:paraId="4712DCA8" w14:textId="77777777" w:rsidR="006B623D" w:rsidRDefault="006B623D" w:rsidP="006B623D">
      <w:pPr>
        <w:rPr>
          <w:sz w:val="20"/>
        </w:rPr>
      </w:pPr>
      <w:r>
        <w:rPr>
          <w:sz w:val="20"/>
        </w:rPr>
        <w:t xml:space="preserve">3395.57 </w:t>
      </w:r>
      <w:proofErr w:type="gramStart"/>
      <w:r w:rsidRPr="00216655">
        <w:rPr>
          <w:sz w:val="20"/>
        </w:rPr>
        <w:t>-  replace</w:t>
      </w:r>
      <w:proofErr w:type="gramEnd"/>
      <w:r w:rsidRPr="00216655">
        <w:rPr>
          <w:sz w:val="20"/>
        </w:rPr>
        <w:t xml:space="preserve"> "is set to" with "is"</w:t>
      </w:r>
    </w:p>
    <w:p w14:paraId="39A8041B" w14:textId="77777777" w:rsidR="006B623D" w:rsidRDefault="006B623D" w:rsidP="006B623D">
      <w:pPr>
        <w:rPr>
          <w:sz w:val="20"/>
        </w:rPr>
      </w:pPr>
      <w:r>
        <w:rPr>
          <w:sz w:val="20"/>
        </w:rPr>
        <w:t xml:space="preserve">3402.35 </w:t>
      </w:r>
      <w:proofErr w:type="gramStart"/>
      <w:r w:rsidRPr="00216655">
        <w:rPr>
          <w:sz w:val="20"/>
        </w:rPr>
        <w:t>-  replace</w:t>
      </w:r>
      <w:proofErr w:type="gramEnd"/>
      <w:r w:rsidRPr="00216655">
        <w:rPr>
          <w:sz w:val="20"/>
        </w:rPr>
        <w:t xml:space="preserve"> "is set to" with "is"</w:t>
      </w:r>
      <w:r>
        <w:rPr>
          <w:sz w:val="20"/>
        </w:rPr>
        <w:t xml:space="preserve"> (for both occurrences in the line)</w:t>
      </w:r>
    </w:p>
    <w:p w14:paraId="7DB248EF" w14:textId="77777777" w:rsidR="006B623D" w:rsidRDefault="006B623D" w:rsidP="006B623D">
      <w:pPr>
        <w:rPr>
          <w:sz w:val="20"/>
        </w:rPr>
      </w:pPr>
      <w:r>
        <w:rPr>
          <w:sz w:val="20"/>
        </w:rPr>
        <w:t xml:space="preserve">3526.26 </w:t>
      </w:r>
      <w:proofErr w:type="gramStart"/>
      <w:r w:rsidRPr="00216655">
        <w:rPr>
          <w:sz w:val="20"/>
        </w:rPr>
        <w:t>-  replace</w:t>
      </w:r>
      <w:proofErr w:type="gramEnd"/>
      <w:r w:rsidRPr="00216655">
        <w:rPr>
          <w:sz w:val="20"/>
        </w:rPr>
        <w:t xml:space="preserve"> "is set to" with "is"</w:t>
      </w:r>
    </w:p>
    <w:p w14:paraId="3BA503D1" w14:textId="77777777" w:rsidR="006B623D" w:rsidRDefault="006B623D" w:rsidP="006B623D">
      <w:pPr>
        <w:rPr>
          <w:sz w:val="20"/>
        </w:rPr>
      </w:pPr>
      <w:r>
        <w:rPr>
          <w:sz w:val="20"/>
        </w:rPr>
        <w:t xml:space="preserve">3616.29 </w:t>
      </w:r>
      <w:proofErr w:type="gramStart"/>
      <w:r w:rsidRPr="00216655">
        <w:rPr>
          <w:sz w:val="20"/>
        </w:rPr>
        <w:t>-  replace</w:t>
      </w:r>
      <w:proofErr w:type="gramEnd"/>
      <w:r w:rsidRPr="00216655">
        <w:rPr>
          <w:sz w:val="20"/>
        </w:rPr>
        <w:t xml:space="preserve"> "is set to" with "is</w:t>
      </w:r>
      <w:r>
        <w:rPr>
          <w:sz w:val="20"/>
        </w:rPr>
        <w:t>”</w:t>
      </w:r>
    </w:p>
    <w:p w14:paraId="449040AB" w14:textId="77777777" w:rsidR="006B623D" w:rsidRDefault="006B623D" w:rsidP="006B623D">
      <w:pPr>
        <w:rPr>
          <w:sz w:val="20"/>
        </w:rPr>
      </w:pPr>
      <w:r>
        <w:rPr>
          <w:sz w:val="20"/>
        </w:rPr>
        <w:t xml:space="preserve">3623.22 </w:t>
      </w:r>
      <w:proofErr w:type="gramStart"/>
      <w:r w:rsidRPr="00216655">
        <w:rPr>
          <w:sz w:val="20"/>
        </w:rPr>
        <w:t>-  replace</w:t>
      </w:r>
      <w:proofErr w:type="gramEnd"/>
      <w:r w:rsidRPr="00216655">
        <w:rPr>
          <w:sz w:val="20"/>
        </w:rPr>
        <w:t xml:space="preserve"> "is set to" with "is</w:t>
      </w:r>
      <w:r>
        <w:rPr>
          <w:sz w:val="20"/>
        </w:rPr>
        <w:t>”</w:t>
      </w:r>
    </w:p>
    <w:p w14:paraId="6D0DAE7E" w14:textId="77777777" w:rsidR="006B623D" w:rsidRDefault="006B623D" w:rsidP="006B623D">
      <w:pPr>
        <w:rPr>
          <w:sz w:val="20"/>
        </w:rPr>
      </w:pPr>
      <w:r>
        <w:rPr>
          <w:sz w:val="20"/>
        </w:rPr>
        <w:t xml:space="preserve">3624.33 </w:t>
      </w:r>
      <w:proofErr w:type="gramStart"/>
      <w:r w:rsidRPr="00216655">
        <w:rPr>
          <w:sz w:val="20"/>
        </w:rPr>
        <w:t>-  replace</w:t>
      </w:r>
      <w:proofErr w:type="gramEnd"/>
      <w:r w:rsidRPr="00216655">
        <w:rPr>
          <w:sz w:val="20"/>
        </w:rPr>
        <w:t xml:space="preserve"> "is set to" with "is</w:t>
      </w:r>
      <w:r>
        <w:rPr>
          <w:sz w:val="20"/>
        </w:rPr>
        <w:t>”</w:t>
      </w:r>
    </w:p>
    <w:p w14:paraId="40EC17D3" w14:textId="77777777" w:rsidR="006B623D" w:rsidRDefault="006B623D" w:rsidP="006B623D">
      <w:pPr>
        <w:rPr>
          <w:sz w:val="20"/>
        </w:rPr>
      </w:pPr>
      <w:r>
        <w:rPr>
          <w:sz w:val="20"/>
        </w:rPr>
        <w:t xml:space="preserve">3630.27 </w:t>
      </w:r>
      <w:proofErr w:type="gramStart"/>
      <w:r w:rsidRPr="00216655">
        <w:rPr>
          <w:sz w:val="20"/>
        </w:rPr>
        <w:t>-  replace</w:t>
      </w:r>
      <w:proofErr w:type="gramEnd"/>
      <w:r w:rsidRPr="00216655">
        <w:rPr>
          <w:sz w:val="20"/>
        </w:rPr>
        <w:t xml:space="preserve"> "is set to" with "is</w:t>
      </w:r>
      <w:r>
        <w:rPr>
          <w:sz w:val="20"/>
        </w:rPr>
        <w:t>”</w:t>
      </w:r>
    </w:p>
    <w:p w14:paraId="3C5AE3D4" w14:textId="77777777" w:rsidR="006B623D" w:rsidRDefault="006B623D" w:rsidP="006B623D">
      <w:pPr>
        <w:rPr>
          <w:sz w:val="20"/>
        </w:rPr>
      </w:pPr>
      <w:r>
        <w:rPr>
          <w:sz w:val="20"/>
        </w:rPr>
        <w:t xml:space="preserve">3630.32 </w:t>
      </w:r>
      <w:proofErr w:type="gramStart"/>
      <w:r w:rsidRPr="00216655">
        <w:rPr>
          <w:sz w:val="20"/>
        </w:rPr>
        <w:t>-  replace</w:t>
      </w:r>
      <w:proofErr w:type="gramEnd"/>
      <w:r w:rsidRPr="00216655">
        <w:rPr>
          <w:sz w:val="20"/>
        </w:rPr>
        <w:t xml:space="preserve"> "is set to" with "is</w:t>
      </w:r>
      <w:r>
        <w:rPr>
          <w:sz w:val="20"/>
        </w:rPr>
        <w:t>”</w:t>
      </w:r>
    </w:p>
    <w:p w14:paraId="05E2FE42" w14:textId="77777777" w:rsidR="006B623D" w:rsidRDefault="006B623D" w:rsidP="006B623D">
      <w:pPr>
        <w:rPr>
          <w:sz w:val="20"/>
        </w:rPr>
      </w:pPr>
      <w:r>
        <w:rPr>
          <w:sz w:val="20"/>
        </w:rPr>
        <w:t xml:space="preserve">3651.8 </w:t>
      </w:r>
      <w:proofErr w:type="gramStart"/>
      <w:r w:rsidRPr="00216655">
        <w:rPr>
          <w:sz w:val="20"/>
        </w:rPr>
        <w:t>-  replace</w:t>
      </w:r>
      <w:proofErr w:type="gramEnd"/>
      <w:r w:rsidRPr="00216655">
        <w:rPr>
          <w:sz w:val="20"/>
        </w:rPr>
        <w:t xml:space="preserve"> "is set to" with "is</w:t>
      </w:r>
      <w:r>
        <w:rPr>
          <w:sz w:val="20"/>
        </w:rPr>
        <w:t>”</w:t>
      </w:r>
    </w:p>
    <w:p w14:paraId="7040CCF7" w14:textId="77777777" w:rsidR="006B623D" w:rsidRDefault="006B623D" w:rsidP="006B623D">
      <w:pPr>
        <w:rPr>
          <w:sz w:val="20"/>
        </w:rPr>
      </w:pPr>
      <w:r>
        <w:rPr>
          <w:sz w:val="20"/>
        </w:rPr>
        <w:t xml:space="preserve">3651.9 </w:t>
      </w:r>
      <w:proofErr w:type="gramStart"/>
      <w:r w:rsidRPr="00216655">
        <w:rPr>
          <w:sz w:val="20"/>
        </w:rPr>
        <w:t>-  replace</w:t>
      </w:r>
      <w:proofErr w:type="gramEnd"/>
      <w:r w:rsidRPr="00216655">
        <w:rPr>
          <w:sz w:val="20"/>
        </w:rPr>
        <w:t xml:space="preserve"> "is set to" with "is</w:t>
      </w:r>
      <w:r>
        <w:rPr>
          <w:sz w:val="20"/>
        </w:rPr>
        <w:t>”</w:t>
      </w:r>
    </w:p>
    <w:p w14:paraId="01041945" w14:textId="77777777" w:rsidR="006B623D" w:rsidRDefault="006B623D" w:rsidP="006B623D">
      <w:pPr>
        <w:rPr>
          <w:sz w:val="20"/>
        </w:rPr>
      </w:pPr>
      <w:r>
        <w:rPr>
          <w:sz w:val="20"/>
        </w:rPr>
        <w:t xml:space="preserve">3651.31 </w:t>
      </w:r>
      <w:proofErr w:type="gramStart"/>
      <w:r w:rsidRPr="00216655">
        <w:rPr>
          <w:sz w:val="20"/>
        </w:rPr>
        <w:t>-  replace</w:t>
      </w:r>
      <w:proofErr w:type="gramEnd"/>
      <w:r w:rsidRPr="00216655">
        <w:rPr>
          <w:sz w:val="20"/>
        </w:rPr>
        <w:t xml:space="preserve"> "is set to" with "is</w:t>
      </w:r>
      <w:r>
        <w:rPr>
          <w:sz w:val="20"/>
        </w:rPr>
        <w:t>”</w:t>
      </w:r>
    </w:p>
    <w:p w14:paraId="154A1129" w14:textId="77777777" w:rsidR="006B623D" w:rsidRDefault="006B623D" w:rsidP="006B623D">
      <w:pPr>
        <w:rPr>
          <w:sz w:val="20"/>
        </w:rPr>
      </w:pPr>
      <w:r>
        <w:rPr>
          <w:sz w:val="20"/>
        </w:rPr>
        <w:t xml:space="preserve">3651.33 </w:t>
      </w:r>
      <w:proofErr w:type="gramStart"/>
      <w:r w:rsidRPr="00216655">
        <w:rPr>
          <w:sz w:val="20"/>
        </w:rPr>
        <w:t>-  replace</w:t>
      </w:r>
      <w:proofErr w:type="gramEnd"/>
      <w:r w:rsidRPr="00216655">
        <w:rPr>
          <w:sz w:val="20"/>
        </w:rPr>
        <w:t xml:space="preserve"> "is set to" with "is</w:t>
      </w:r>
      <w:r>
        <w:rPr>
          <w:sz w:val="20"/>
        </w:rPr>
        <w:t>”</w:t>
      </w:r>
    </w:p>
    <w:p w14:paraId="55810200" w14:textId="77777777" w:rsidR="006B623D" w:rsidRDefault="006B623D" w:rsidP="006B623D">
      <w:pPr>
        <w:rPr>
          <w:sz w:val="20"/>
        </w:rPr>
      </w:pPr>
      <w:r>
        <w:rPr>
          <w:sz w:val="20"/>
        </w:rPr>
        <w:t xml:space="preserve">3703.47 </w:t>
      </w:r>
      <w:proofErr w:type="gramStart"/>
      <w:r w:rsidRPr="00216655">
        <w:rPr>
          <w:sz w:val="20"/>
        </w:rPr>
        <w:t>-  replace</w:t>
      </w:r>
      <w:proofErr w:type="gramEnd"/>
      <w:r w:rsidRPr="00216655">
        <w:rPr>
          <w:sz w:val="20"/>
        </w:rPr>
        <w:t xml:space="preserve"> </w:t>
      </w:r>
      <w:r>
        <w:rPr>
          <w:sz w:val="20"/>
        </w:rPr>
        <w:t>“</w:t>
      </w:r>
      <w:r w:rsidRPr="00216655">
        <w:rPr>
          <w:sz w:val="20"/>
        </w:rPr>
        <w:t>is set to</w:t>
      </w:r>
      <w:r>
        <w:rPr>
          <w:sz w:val="20"/>
        </w:rPr>
        <w:t>”</w:t>
      </w:r>
      <w:r w:rsidRPr="00216655">
        <w:rPr>
          <w:sz w:val="20"/>
        </w:rPr>
        <w:t xml:space="preserve"> with </w:t>
      </w:r>
      <w:r>
        <w:rPr>
          <w:sz w:val="20"/>
        </w:rPr>
        <w:t>“</w:t>
      </w:r>
      <w:r w:rsidRPr="00216655">
        <w:rPr>
          <w:sz w:val="20"/>
        </w:rPr>
        <w:t>is</w:t>
      </w:r>
      <w:r>
        <w:rPr>
          <w:sz w:val="20"/>
        </w:rPr>
        <w:t>”</w:t>
      </w:r>
    </w:p>
    <w:p w14:paraId="51369081" w14:textId="77777777" w:rsidR="006B623D" w:rsidRDefault="006B623D" w:rsidP="006B623D">
      <w:pPr>
        <w:rPr>
          <w:sz w:val="20"/>
        </w:rPr>
      </w:pPr>
      <w:r>
        <w:rPr>
          <w:sz w:val="20"/>
        </w:rPr>
        <w:t xml:space="preserve">4032.28 </w:t>
      </w:r>
      <w:proofErr w:type="gramStart"/>
      <w:r w:rsidRPr="00216655">
        <w:rPr>
          <w:sz w:val="20"/>
        </w:rPr>
        <w:t>-  replace</w:t>
      </w:r>
      <w:proofErr w:type="gramEnd"/>
      <w:r w:rsidRPr="00216655">
        <w:rPr>
          <w:sz w:val="20"/>
        </w:rPr>
        <w:t xml:space="preserve"> "is set to" with "is"</w:t>
      </w:r>
    </w:p>
    <w:p w14:paraId="35528692" w14:textId="77777777" w:rsidR="006B623D" w:rsidRDefault="006B623D" w:rsidP="006B623D">
      <w:pPr>
        <w:rPr>
          <w:sz w:val="20"/>
        </w:rPr>
      </w:pPr>
      <w:r>
        <w:rPr>
          <w:sz w:val="20"/>
        </w:rPr>
        <w:t xml:space="preserve">4244.5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3A01637C" w14:textId="77777777" w:rsidR="006B623D" w:rsidRDefault="006B623D" w:rsidP="006B623D">
      <w:pPr>
        <w:rPr>
          <w:sz w:val="20"/>
        </w:rPr>
      </w:pPr>
      <w:r>
        <w:rPr>
          <w:sz w:val="20"/>
        </w:rPr>
        <w:t xml:space="preserve">4244.15 </w:t>
      </w:r>
      <w:proofErr w:type="gramStart"/>
      <w:r w:rsidRPr="00216655">
        <w:rPr>
          <w:sz w:val="20"/>
        </w:rPr>
        <w:t>-  replace</w:t>
      </w:r>
      <w:proofErr w:type="gramEnd"/>
      <w:r w:rsidRPr="00216655">
        <w:rPr>
          <w:sz w:val="20"/>
        </w:rPr>
        <w:t xml:space="preserve"> "</w:t>
      </w:r>
      <w:r w:rsidRPr="00364F21">
        <w:rPr>
          <w:sz w:val="20"/>
        </w:rPr>
        <w:t>if the</w:t>
      </w:r>
      <w:r>
        <w:rPr>
          <w:sz w:val="20"/>
        </w:rPr>
        <w:t xml:space="preserve"> </w:t>
      </w:r>
      <w:r w:rsidRPr="00364F21">
        <w:rPr>
          <w:sz w:val="20"/>
        </w:rPr>
        <w:t>CHANNEL_AGGREGATION parameter is set to AGGREGATE,</w:t>
      </w:r>
      <w:r w:rsidRPr="00216655">
        <w:rPr>
          <w:sz w:val="20"/>
        </w:rPr>
        <w:t>" with "</w:t>
      </w:r>
      <w:r w:rsidRPr="00364F21">
        <w:rPr>
          <w:sz w:val="20"/>
        </w:rPr>
        <w:t>if the</w:t>
      </w:r>
      <w:r>
        <w:rPr>
          <w:sz w:val="20"/>
        </w:rPr>
        <w:t xml:space="preserve"> </w:t>
      </w:r>
      <w:r w:rsidRPr="00364F21">
        <w:rPr>
          <w:sz w:val="20"/>
        </w:rPr>
        <w:t>CHANNEL_AGGREGATION parameter is AGGREGATE,</w:t>
      </w:r>
      <w:r w:rsidRPr="00216655">
        <w:rPr>
          <w:sz w:val="20"/>
        </w:rPr>
        <w:t>"</w:t>
      </w:r>
    </w:p>
    <w:p w14:paraId="62525AB8" w14:textId="77777777" w:rsidR="006B623D" w:rsidRDefault="006B623D" w:rsidP="006B623D">
      <w:pPr>
        <w:rPr>
          <w:sz w:val="20"/>
        </w:rPr>
      </w:pPr>
      <w:r>
        <w:rPr>
          <w:sz w:val="20"/>
        </w:rPr>
        <w:t xml:space="preserve">4262.48 - </w:t>
      </w:r>
      <w:r w:rsidRPr="00216655">
        <w:rPr>
          <w:sz w:val="20"/>
        </w:rPr>
        <w:t>replace "is set to" with "is"</w:t>
      </w:r>
    </w:p>
    <w:p w14:paraId="0C6F3A69" w14:textId="77777777" w:rsidR="006B623D" w:rsidRDefault="006B623D" w:rsidP="006B623D">
      <w:pPr>
        <w:rPr>
          <w:sz w:val="20"/>
        </w:rPr>
      </w:pPr>
      <w:r>
        <w:rPr>
          <w:sz w:val="20"/>
        </w:rPr>
        <w:t xml:space="preserve">4262.56 - </w:t>
      </w:r>
      <w:r w:rsidRPr="00216655">
        <w:rPr>
          <w:sz w:val="20"/>
        </w:rPr>
        <w:t>replace "is set to" with "is"</w:t>
      </w:r>
    </w:p>
    <w:p w14:paraId="22208166" w14:textId="77777777" w:rsidR="006B623D" w:rsidRDefault="006B623D" w:rsidP="006B623D">
      <w:pPr>
        <w:rPr>
          <w:sz w:val="20"/>
        </w:rPr>
      </w:pPr>
      <w:r>
        <w:rPr>
          <w:sz w:val="20"/>
        </w:rPr>
        <w:t xml:space="preserve">4262.58 -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5410E2D2" w14:textId="77777777" w:rsidR="006B623D" w:rsidRDefault="006B623D" w:rsidP="006B623D">
      <w:pPr>
        <w:rPr>
          <w:sz w:val="20"/>
        </w:rPr>
      </w:pPr>
      <w:r>
        <w:rPr>
          <w:sz w:val="20"/>
        </w:rPr>
        <w:t xml:space="preserve">4262.60 - </w:t>
      </w:r>
      <w:r w:rsidRPr="00216655">
        <w:rPr>
          <w:sz w:val="20"/>
        </w:rPr>
        <w:t>replace "is set to</w:t>
      </w:r>
      <w:r>
        <w:rPr>
          <w:sz w:val="20"/>
        </w:rPr>
        <w:t xml:space="preserve"> the</w:t>
      </w:r>
      <w:r w:rsidRPr="00216655">
        <w:rPr>
          <w:sz w:val="20"/>
        </w:rPr>
        <w:t>" with "is"</w:t>
      </w:r>
    </w:p>
    <w:p w14:paraId="26DA780B" w14:textId="77777777" w:rsidR="006B623D" w:rsidRDefault="006B623D" w:rsidP="006B623D">
      <w:pPr>
        <w:rPr>
          <w:sz w:val="20"/>
        </w:rPr>
      </w:pPr>
      <w:r>
        <w:rPr>
          <w:sz w:val="20"/>
        </w:rPr>
        <w:t xml:space="preserve">4263.39 - </w:t>
      </w:r>
      <w:r w:rsidRPr="00216655">
        <w:rPr>
          <w:sz w:val="20"/>
        </w:rPr>
        <w:t>replace "is set to</w:t>
      </w:r>
      <w:r>
        <w:rPr>
          <w:sz w:val="20"/>
        </w:rPr>
        <w:t xml:space="preserve"> the</w:t>
      </w:r>
      <w:r w:rsidRPr="00216655">
        <w:rPr>
          <w:sz w:val="20"/>
        </w:rPr>
        <w:t>" with "is"</w:t>
      </w:r>
    </w:p>
    <w:p w14:paraId="263C0B19" w14:textId="77777777" w:rsidR="006B623D" w:rsidRDefault="006B623D" w:rsidP="006B623D">
      <w:pPr>
        <w:rPr>
          <w:sz w:val="20"/>
        </w:rPr>
      </w:pPr>
      <w:r>
        <w:rPr>
          <w:sz w:val="20"/>
        </w:rPr>
        <w:t xml:space="preserve">4263.42 - </w:t>
      </w:r>
      <w:r w:rsidRPr="00216655">
        <w:rPr>
          <w:sz w:val="20"/>
        </w:rPr>
        <w:t>replace "is set to" with "is"</w:t>
      </w:r>
    </w:p>
    <w:p w14:paraId="68829466" w14:textId="77777777" w:rsidR="006B623D" w:rsidRDefault="006B623D" w:rsidP="006B623D">
      <w:pPr>
        <w:rPr>
          <w:sz w:val="20"/>
        </w:rPr>
      </w:pPr>
      <w:r>
        <w:rPr>
          <w:sz w:val="20"/>
        </w:rPr>
        <w:t xml:space="preserve">4263.42 - </w:t>
      </w:r>
      <w:r w:rsidRPr="00216655">
        <w:rPr>
          <w:sz w:val="20"/>
        </w:rPr>
        <w:t>replace "is set to</w:t>
      </w:r>
      <w:r>
        <w:rPr>
          <w:sz w:val="20"/>
        </w:rPr>
        <w:t xml:space="preserve"> either</w:t>
      </w:r>
      <w:r w:rsidRPr="00216655">
        <w:rPr>
          <w:sz w:val="20"/>
        </w:rPr>
        <w:t>" with "is</w:t>
      </w:r>
      <w:r>
        <w:rPr>
          <w:sz w:val="20"/>
        </w:rPr>
        <w:t xml:space="preserve"> either</w:t>
      </w:r>
      <w:r w:rsidRPr="00216655">
        <w:rPr>
          <w:sz w:val="20"/>
        </w:rPr>
        <w:t>"</w:t>
      </w:r>
    </w:p>
    <w:p w14:paraId="7483F07B" w14:textId="77777777" w:rsidR="006B623D" w:rsidRDefault="006B623D" w:rsidP="006B623D">
      <w:pPr>
        <w:rPr>
          <w:sz w:val="20"/>
        </w:rPr>
      </w:pPr>
      <w:r>
        <w:rPr>
          <w:sz w:val="20"/>
        </w:rPr>
        <w:t xml:space="preserve">4263.48 - </w:t>
      </w:r>
      <w:r w:rsidRPr="00216655">
        <w:rPr>
          <w:sz w:val="20"/>
        </w:rPr>
        <w:t>replace "is set to</w:t>
      </w:r>
      <w:r>
        <w:rPr>
          <w:sz w:val="20"/>
        </w:rPr>
        <w:t xml:space="preserve"> the</w:t>
      </w:r>
      <w:r w:rsidRPr="00216655">
        <w:rPr>
          <w:sz w:val="20"/>
        </w:rPr>
        <w:t>" with "is"</w:t>
      </w:r>
    </w:p>
    <w:p w14:paraId="04ADA050" w14:textId="77777777" w:rsidR="006B623D" w:rsidRDefault="006B623D" w:rsidP="006B623D">
      <w:pPr>
        <w:rPr>
          <w:sz w:val="20"/>
        </w:rPr>
      </w:pPr>
      <w:r>
        <w:rPr>
          <w:sz w:val="20"/>
        </w:rPr>
        <w:t xml:space="preserve">4263.51 - </w:t>
      </w:r>
      <w:r w:rsidRPr="00216655">
        <w:rPr>
          <w:sz w:val="20"/>
        </w:rPr>
        <w:t>replace "is set to" with "is"</w:t>
      </w:r>
    </w:p>
    <w:p w14:paraId="13EBD9D5" w14:textId="77777777" w:rsidR="006B623D" w:rsidRDefault="006B623D" w:rsidP="006B623D">
      <w:pPr>
        <w:rPr>
          <w:sz w:val="20"/>
        </w:rPr>
      </w:pPr>
      <w:r>
        <w:rPr>
          <w:sz w:val="20"/>
        </w:rPr>
        <w:t xml:space="preserve">4263.58 -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A107FC4" w14:textId="77777777" w:rsidR="006B623D" w:rsidRDefault="006B623D" w:rsidP="006B623D">
      <w:pPr>
        <w:rPr>
          <w:sz w:val="20"/>
        </w:rPr>
      </w:pPr>
      <w:r>
        <w:rPr>
          <w:sz w:val="20"/>
        </w:rPr>
        <w:t xml:space="preserve">4263.61 -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60275AB" w14:textId="77777777" w:rsidR="006B623D" w:rsidRDefault="006B623D" w:rsidP="006B623D">
      <w:pPr>
        <w:rPr>
          <w:sz w:val="20"/>
        </w:rPr>
      </w:pPr>
      <w:r>
        <w:rPr>
          <w:sz w:val="20"/>
        </w:rPr>
        <w:t xml:space="preserve">4281.29 -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768F770" w14:textId="77777777" w:rsidR="006B623D" w:rsidRDefault="006B623D" w:rsidP="006B623D">
      <w:pPr>
        <w:rPr>
          <w:sz w:val="20"/>
        </w:rPr>
      </w:pPr>
      <w:r>
        <w:rPr>
          <w:sz w:val="20"/>
        </w:rPr>
        <w:t xml:space="preserve">4281.31 -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40E9671E" w14:textId="77777777" w:rsidR="006B623D" w:rsidRDefault="006B623D" w:rsidP="006B623D">
      <w:pPr>
        <w:rPr>
          <w:sz w:val="20"/>
        </w:rPr>
      </w:pPr>
      <w:r>
        <w:rPr>
          <w:sz w:val="20"/>
        </w:rPr>
        <w:t xml:space="preserve">4282.35 -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525C529" w14:textId="77777777" w:rsidR="006B623D" w:rsidRDefault="006B623D" w:rsidP="006B623D">
      <w:pPr>
        <w:rPr>
          <w:sz w:val="20"/>
        </w:rPr>
      </w:pPr>
      <w:r>
        <w:rPr>
          <w:sz w:val="20"/>
        </w:rPr>
        <w:t xml:space="preserve">4285.32 -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50998E0" w14:textId="77777777" w:rsidR="006B623D" w:rsidRDefault="006B623D" w:rsidP="006B623D">
      <w:pPr>
        <w:rPr>
          <w:sz w:val="20"/>
        </w:rPr>
      </w:pPr>
      <w:r>
        <w:rPr>
          <w:sz w:val="20"/>
        </w:rPr>
        <w:t xml:space="preserve">4286.9 -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C3AA130" w14:textId="77777777" w:rsidR="006B623D" w:rsidRDefault="006B623D" w:rsidP="006B623D">
      <w:pPr>
        <w:rPr>
          <w:sz w:val="20"/>
        </w:rPr>
      </w:pPr>
      <w:r>
        <w:rPr>
          <w:sz w:val="20"/>
        </w:rPr>
        <w:t xml:space="preserve">4286.14 -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7046AA24" w14:textId="77777777" w:rsidR="006B623D" w:rsidRDefault="006B623D" w:rsidP="006B623D">
      <w:pPr>
        <w:rPr>
          <w:sz w:val="20"/>
        </w:rPr>
      </w:pPr>
      <w:r>
        <w:rPr>
          <w:sz w:val="20"/>
        </w:rPr>
        <w:t xml:space="preserve">4286.31 -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61FA2315" w14:textId="77777777" w:rsidR="006B623D" w:rsidRDefault="006B623D" w:rsidP="006B623D">
      <w:pPr>
        <w:rPr>
          <w:sz w:val="20"/>
        </w:rPr>
      </w:pPr>
      <w:r>
        <w:rPr>
          <w:sz w:val="20"/>
        </w:rPr>
        <w:lastRenderedPageBreak/>
        <w:t xml:space="preserve">4293.16 -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5420CE25" w14:textId="77777777" w:rsidR="006B623D" w:rsidRDefault="006B623D" w:rsidP="006B623D">
      <w:pPr>
        <w:rPr>
          <w:sz w:val="20"/>
        </w:rPr>
      </w:pPr>
      <w:r>
        <w:rPr>
          <w:sz w:val="20"/>
        </w:rPr>
        <w:t xml:space="preserve">4314.44 - </w:t>
      </w:r>
      <w:r w:rsidRPr="00216655">
        <w:rPr>
          <w:sz w:val="20"/>
        </w:rPr>
        <w:t>replace "is set to" with "is"</w:t>
      </w:r>
    </w:p>
    <w:p w14:paraId="09914267" w14:textId="77777777" w:rsidR="006B623D" w:rsidRDefault="006B623D" w:rsidP="006B623D">
      <w:pPr>
        <w:rPr>
          <w:sz w:val="20"/>
        </w:rPr>
      </w:pPr>
      <w:r>
        <w:rPr>
          <w:sz w:val="20"/>
        </w:rPr>
        <w:t xml:space="preserve">4315.54 - </w:t>
      </w:r>
      <w:r w:rsidRPr="00216655">
        <w:rPr>
          <w:sz w:val="20"/>
        </w:rPr>
        <w:t>replace "is set to" with "is"</w:t>
      </w:r>
    </w:p>
    <w:p w14:paraId="24AD1E8B" w14:textId="77777777" w:rsidR="006B623D" w:rsidRDefault="006B623D" w:rsidP="006B623D">
      <w:pPr>
        <w:rPr>
          <w:sz w:val="20"/>
        </w:rPr>
      </w:pPr>
      <w:r>
        <w:rPr>
          <w:sz w:val="20"/>
        </w:rPr>
        <w:t xml:space="preserve">4315.59 - </w:t>
      </w:r>
      <w:r w:rsidRPr="00216655">
        <w:rPr>
          <w:sz w:val="20"/>
        </w:rPr>
        <w:t>replace "is set to" with "is"</w:t>
      </w:r>
    </w:p>
    <w:p w14:paraId="20798C05" w14:textId="77777777" w:rsidR="006B623D" w:rsidRDefault="006B623D" w:rsidP="006B623D">
      <w:pPr>
        <w:rPr>
          <w:sz w:val="20"/>
        </w:rPr>
      </w:pPr>
      <w:r>
        <w:rPr>
          <w:sz w:val="20"/>
        </w:rPr>
        <w:t xml:space="preserve">4316.11 - </w:t>
      </w:r>
      <w:r w:rsidRPr="00216655">
        <w:rPr>
          <w:sz w:val="20"/>
        </w:rPr>
        <w:t>replace "is set to</w:t>
      </w:r>
      <w:r>
        <w:rPr>
          <w:sz w:val="20"/>
        </w:rPr>
        <w:t xml:space="preserve"> 0</w:t>
      </w:r>
      <w:r w:rsidRPr="00216655">
        <w:rPr>
          <w:sz w:val="20"/>
        </w:rPr>
        <w:t>" with "is</w:t>
      </w:r>
      <w:r>
        <w:rPr>
          <w:sz w:val="20"/>
        </w:rPr>
        <w:t xml:space="preserve"> 0</w:t>
      </w:r>
      <w:r w:rsidRPr="00216655">
        <w:rPr>
          <w:sz w:val="20"/>
        </w:rPr>
        <w:t>"</w:t>
      </w:r>
    </w:p>
    <w:p w14:paraId="71FD6744" w14:textId="77777777" w:rsidR="006B623D" w:rsidRDefault="006B623D" w:rsidP="006B623D">
      <w:pPr>
        <w:rPr>
          <w:sz w:val="20"/>
        </w:rPr>
      </w:pPr>
      <w:r>
        <w:rPr>
          <w:sz w:val="20"/>
        </w:rPr>
        <w:t xml:space="preserve">4316.13 - </w:t>
      </w:r>
      <w:r w:rsidRPr="00216655">
        <w:rPr>
          <w:sz w:val="20"/>
        </w:rPr>
        <w:t>replace "is set to</w:t>
      </w:r>
      <w:r>
        <w:rPr>
          <w:sz w:val="20"/>
        </w:rPr>
        <w:t xml:space="preserve"> 1</w:t>
      </w:r>
      <w:r w:rsidRPr="00216655">
        <w:rPr>
          <w:sz w:val="20"/>
        </w:rPr>
        <w:t>" with "is</w:t>
      </w:r>
      <w:r>
        <w:rPr>
          <w:sz w:val="20"/>
        </w:rPr>
        <w:t xml:space="preserve"> 1</w:t>
      </w:r>
      <w:r w:rsidRPr="00216655">
        <w:rPr>
          <w:sz w:val="20"/>
        </w:rPr>
        <w:t>"</w:t>
      </w:r>
    </w:p>
    <w:p w14:paraId="216F9889" w14:textId="77777777" w:rsidR="006B623D" w:rsidRDefault="006B623D" w:rsidP="006B623D">
      <w:pPr>
        <w:rPr>
          <w:sz w:val="20"/>
        </w:rPr>
      </w:pPr>
      <w:r>
        <w:rPr>
          <w:sz w:val="20"/>
        </w:rPr>
        <w:t xml:space="preserve">4318.11 - </w:t>
      </w:r>
      <w:r w:rsidRPr="00216655">
        <w:rPr>
          <w:sz w:val="20"/>
        </w:rPr>
        <w:t>replace "is set to" with "is"</w:t>
      </w:r>
    </w:p>
    <w:p w14:paraId="513B8AEC" w14:textId="77777777" w:rsidR="006B623D" w:rsidRDefault="006B623D" w:rsidP="006B623D">
      <w:pPr>
        <w:rPr>
          <w:sz w:val="20"/>
        </w:rPr>
      </w:pPr>
      <w:r>
        <w:rPr>
          <w:sz w:val="20"/>
        </w:rPr>
        <w:t xml:space="preserve">4318.15 - </w:t>
      </w:r>
      <w:r w:rsidRPr="00216655">
        <w:rPr>
          <w:sz w:val="20"/>
        </w:rPr>
        <w:t>replace "is set to" with "is"</w:t>
      </w:r>
    </w:p>
    <w:p w14:paraId="744D60B0" w14:textId="77777777" w:rsidR="006B623D" w:rsidRDefault="006B623D" w:rsidP="006B623D">
      <w:pPr>
        <w:rPr>
          <w:sz w:val="20"/>
        </w:rPr>
      </w:pPr>
      <w:r>
        <w:rPr>
          <w:sz w:val="20"/>
        </w:rPr>
        <w:t xml:space="preserve">4322.29 - </w:t>
      </w:r>
      <w:r w:rsidRPr="00216655">
        <w:rPr>
          <w:sz w:val="20"/>
        </w:rPr>
        <w:t>replace "is set to" with "is"</w:t>
      </w:r>
    </w:p>
    <w:p w14:paraId="578341CA" w14:textId="77777777" w:rsidR="006B623D" w:rsidRDefault="006B623D" w:rsidP="006B623D">
      <w:pPr>
        <w:rPr>
          <w:sz w:val="20"/>
        </w:rPr>
      </w:pPr>
      <w:r>
        <w:rPr>
          <w:sz w:val="20"/>
        </w:rPr>
        <w:t xml:space="preserve">4391.5 - </w:t>
      </w:r>
      <w:r w:rsidRPr="00216655">
        <w:rPr>
          <w:sz w:val="20"/>
        </w:rPr>
        <w:t>replace "is set to" with "is"</w:t>
      </w:r>
    </w:p>
    <w:p w14:paraId="617FB3FA" w14:textId="77777777" w:rsidR="006B623D" w:rsidRDefault="006B623D" w:rsidP="006B623D">
      <w:pPr>
        <w:rPr>
          <w:sz w:val="20"/>
        </w:rPr>
      </w:pPr>
      <w:r>
        <w:rPr>
          <w:sz w:val="20"/>
        </w:rPr>
        <w:t xml:space="preserve">4391.9 - </w:t>
      </w:r>
      <w:r w:rsidRPr="00216655">
        <w:rPr>
          <w:sz w:val="20"/>
        </w:rPr>
        <w:t>replace "is set to" with "is"</w:t>
      </w:r>
    </w:p>
    <w:p w14:paraId="7B28769A" w14:textId="77777777" w:rsidR="006B623D" w:rsidRDefault="006B623D" w:rsidP="006B623D">
      <w:pPr>
        <w:rPr>
          <w:sz w:val="20"/>
        </w:rPr>
      </w:pPr>
      <w:r>
        <w:rPr>
          <w:sz w:val="20"/>
        </w:rPr>
        <w:t xml:space="preserve">4391.15 - </w:t>
      </w:r>
      <w:r w:rsidRPr="00216655">
        <w:rPr>
          <w:sz w:val="20"/>
        </w:rPr>
        <w:t>replace "is set to" with "is"</w:t>
      </w:r>
    </w:p>
    <w:p w14:paraId="5A5AEAA7" w14:textId="77777777" w:rsidR="006B623D" w:rsidRDefault="006B623D" w:rsidP="006B623D">
      <w:pPr>
        <w:rPr>
          <w:sz w:val="20"/>
        </w:rPr>
      </w:pPr>
      <w:r>
        <w:rPr>
          <w:sz w:val="20"/>
        </w:rPr>
        <w:t xml:space="preserve">4391.16 - </w:t>
      </w:r>
      <w:r w:rsidRPr="00216655">
        <w:rPr>
          <w:sz w:val="20"/>
        </w:rPr>
        <w:t>replace "is set to" with "is"</w:t>
      </w:r>
    </w:p>
    <w:p w14:paraId="6CE8FA7B" w14:textId="77777777" w:rsidR="006B623D" w:rsidRDefault="006B623D" w:rsidP="006B623D">
      <w:pPr>
        <w:rPr>
          <w:sz w:val="20"/>
        </w:rPr>
      </w:pPr>
      <w:r>
        <w:rPr>
          <w:sz w:val="20"/>
        </w:rPr>
        <w:t xml:space="preserve">4391.17 - </w:t>
      </w:r>
      <w:r w:rsidRPr="00216655">
        <w:rPr>
          <w:sz w:val="20"/>
        </w:rPr>
        <w:t>replace "is set to" with "is"</w:t>
      </w:r>
    </w:p>
    <w:p w14:paraId="40DE3D84" w14:textId="77777777" w:rsidR="006B623D" w:rsidRDefault="006B623D" w:rsidP="006B623D">
      <w:pPr>
        <w:rPr>
          <w:sz w:val="20"/>
        </w:rPr>
      </w:pPr>
      <w:r>
        <w:rPr>
          <w:sz w:val="20"/>
        </w:rPr>
        <w:t xml:space="preserve">4391.23 - </w:t>
      </w:r>
      <w:r w:rsidRPr="00216655">
        <w:rPr>
          <w:sz w:val="20"/>
        </w:rPr>
        <w:t>replace "is set to" with "is"</w:t>
      </w:r>
    </w:p>
    <w:p w14:paraId="28EABC1C" w14:textId="77777777" w:rsidR="006B623D" w:rsidRDefault="006B623D" w:rsidP="006B623D">
      <w:pPr>
        <w:rPr>
          <w:sz w:val="20"/>
        </w:rPr>
      </w:pPr>
      <w:r>
        <w:rPr>
          <w:sz w:val="20"/>
        </w:rPr>
        <w:t xml:space="preserve">4391.28 - </w:t>
      </w:r>
      <w:r w:rsidRPr="00216655">
        <w:rPr>
          <w:sz w:val="20"/>
        </w:rPr>
        <w:t>replace "is set to" with "is"</w:t>
      </w:r>
    </w:p>
    <w:p w14:paraId="503F38C4" w14:textId="77777777" w:rsidR="006B623D" w:rsidRDefault="006B623D" w:rsidP="006B623D">
      <w:pPr>
        <w:rPr>
          <w:sz w:val="20"/>
        </w:rPr>
      </w:pPr>
      <w:r>
        <w:rPr>
          <w:sz w:val="20"/>
        </w:rPr>
        <w:t xml:space="preserve">4432.38 - </w:t>
      </w:r>
      <w:r w:rsidRPr="00216655">
        <w:rPr>
          <w:sz w:val="20"/>
        </w:rPr>
        <w:t>replace "is set to" with "is"</w:t>
      </w:r>
    </w:p>
    <w:p w14:paraId="247192B1" w14:textId="77777777" w:rsidR="006B623D" w:rsidRDefault="006B623D" w:rsidP="006B623D">
      <w:pPr>
        <w:rPr>
          <w:sz w:val="20"/>
        </w:rPr>
      </w:pPr>
      <w:r>
        <w:rPr>
          <w:sz w:val="20"/>
        </w:rPr>
        <w:t xml:space="preserve">4433.37 - </w:t>
      </w:r>
      <w:r w:rsidRPr="00216655">
        <w:rPr>
          <w:sz w:val="20"/>
        </w:rPr>
        <w:t>replace "is set to" with "is"</w:t>
      </w:r>
    </w:p>
    <w:p w14:paraId="341561D3" w14:textId="77777777" w:rsidR="006B623D" w:rsidRDefault="006B623D" w:rsidP="006B623D">
      <w:pPr>
        <w:rPr>
          <w:sz w:val="20"/>
        </w:rPr>
      </w:pPr>
      <w:r>
        <w:rPr>
          <w:sz w:val="20"/>
        </w:rPr>
        <w:t xml:space="preserve">4434.62 - </w:t>
      </w:r>
      <w:r w:rsidRPr="00216655">
        <w:rPr>
          <w:sz w:val="20"/>
        </w:rPr>
        <w:t>replace "is set to" with "is"</w:t>
      </w:r>
    </w:p>
    <w:p w14:paraId="3356A71B" w14:textId="77777777" w:rsidR="006B623D" w:rsidRDefault="006B623D" w:rsidP="006B623D">
      <w:pPr>
        <w:rPr>
          <w:sz w:val="20"/>
        </w:rPr>
      </w:pPr>
      <w:r>
        <w:rPr>
          <w:sz w:val="20"/>
        </w:rPr>
        <w:t xml:space="preserve">4435.8 - </w:t>
      </w:r>
      <w:r w:rsidRPr="00216655">
        <w:rPr>
          <w:sz w:val="20"/>
        </w:rPr>
        <w:t>replace "is set to" with "is"</w:t>
      </w:r>
    </w:p>
    <w:p w14:paraId="1E558D47" w14:textId="77777777" w:rsidR="006B623D" w:rsidRDefault="006B623D" w:rsidP="006B623D">
      <w:pPr>
        <w:rPr>
          <w:sz w:val="20"/>
        </w:rPr>
      </w:pPr>
      <w:r>
        <w:rPr>
          <w:sz w:val="20"/>
        </w:rPr>
        <w:t xml:space="preserve">4435.11 - </w:t>
      </w:r>
      <w:r w:rsidRPr="00216655">
        <w:rPr>
          <w:sz w:val="20"/>
        </w:rPr>
        <w:t>replace "is set to" with "is"</w:t>
      </w:r>
    </w:p>
    <w:p w14:paraId="5319A7CC" w14:textId="77777777" w:rsidR="006B623D" w:rsidRDefault="006B623D" w:rsidP="006B623D">
      <w:pPr>
        <w:rPr>
          <w:sz w:val="20"/>
        </w:rPr>
      </w:pPr>
      <w:r>
        <w:rPr>
          <w:sz w:val="20"/>
        </w:rPr>
        <w:t xml:space="preserve">4435.54 - </w:t>
      </w:r>
      <w:r w:rsidRPr="00216655">
        <w:rPr>
          <w:sz w:val="20"/>
        </w:rPr>
        <w:t>replace "is set to" with "is"</w:t>
      </w:r>
    </w:p>
    <w:p w14:paraId="1A471022" w14:textId="77777777" w:rsidR="006B623D" w:rsidRDefault="006B623D" w:rsidP="006B623D">
      <w:pPr>
        <w:rPr>
          <w:sz w:val="20"/>
        </w:rPr>
      </w:pPr>
      <w:r>
        <w:rPr>
          <w:sz w:val="20"/>
        </w:rPr>
        <w:t xml:space="preserve">4437.1 - </w:t>
      </w:r>
      <w:r w:rsidRPr="00216655">
        <w:rPr>
          <w:sz w:val="20"/>
        </w:rPr>
        <w:t>replace "is set to" with "is"</w:t>
      </w:r>
    </w:p>
    <w:p w14:paraId="3342A5B8" w14:textId="77777777" w:rsidR="006B623D" w:rsidRDefault="006B623D" w:rsidP="006B623D">
      <w:pPr>
        <w:rPr>
          <w:sz w:val="20"/>
        </w:rPr>
      </w:pPr>
      <w:r>
        <w:rPr>
          <w:sz w:val="20"/>
        </w:rPr>
        <w:t xml:space="preserve">4437.12 - </w:t>
      </w:r>
      <w:r w:rsidRPr="00216655">
        <w:rPr>
          <w:sz w:val="20"/>
        </w:rPr>
        <w:t>replace "is set to" with "is"</w:t>
      </w:r>
    </w:p>
    <w:p w14:paraId="1EDC549E" w14:textId="77777777" w:rsidR="006B623D" w:rsidRDefault="006B623D" w:rsidP="006B623D">
      <w:pPr>
        <w:rPr>
          <w:sz w:val="20"/>
        </w:rPr>
      </w:pPr>
      <w:r>
        <w:rPr>
          <w:sz w:val="20"/>
        </w:rPr>
        <w:t xml:space="preserve">4437.33 - </w:t>
      </w:r>
      <w:r w:rsidRPr="00216655">
        <w:rPr>
          <w:sz w:val="20"/>
        </w:rPr>
        <w:t>replace "is set to" with "is"</w:t>
      </w:r>
    </w:p>
    <w:p w14:paraId="05A703E6" w14:textId="77777777" w:rsidR="006B623D" w:rsidRDefault="006B623D" w:rsidP="006B623D">
      <w:pPr>
        <w:rPr>
          <w:sz w:val="20"/>
        </w:rPr>
      </w:pPr>
      <w:r>
        <w:rPr>
          <w:sz w:val="20"/>
        </w:rPr>
        <w:t xml:space="preserve">4437.48 - </w:t>
      </w:r>
      <w:r w:rsidRPr="00216655">
        <w:rPr>
          <w:sz w:val="20"/>
        </w:rPr>
        <w:t>replace "is set to" with "is"</w:t>
      </w:r>
    </w:p>
    <w:p w14:paraId="734D4181" w14:textId="77777777" w:rsidR="006B623D" w:rsidRDefault="006B623D" w:rsidP="006B623D">
      <w:pPr>
        <w:rPr>
          <w:sz w:val="20"/>
        </w:rPr>
      </w:pPr>
      <w:r>
        <w:rPr>
          <w:sz w:val="20"/>
        </w:rPr>
        <w:t xml:space="preserve">4548.45 - </w:t>
      </w:r>
      <w:r w:rsidRPr="00216655">
        <w:rPr>
          <w:sz w:val="20"/>
        </w:rPr>
        <w:t>replace "is set to" with "is"</w:t>
      </w:r>
    </w:p>
    <w:p w14:paraId="75D6DF7B" w14:textId="77777777" w:rsidR="006B623D" w:rsidRDefault="006B623D" w:rsidP="006B623D">
      <w:pPr>
        <w:rPr>
          <w:sz w:val="20"/>
        </w:rPr>
      </w:pPr>
    </w:p>
    <w:p w14:paraId="45443D9F" w14:textId="4F4867FF" w:rsidR="00A95AAB" w:rsidRPr="00DD02C5" w:rsidRDefault="006B623D" w:rsidP="006B623D">
      <w:r>
        <w:rPr>
          <w:sz w:val="20"/>
        </w:rPr>
        <w:t>Note: these proposed changes provide a change only where “is set to” is used in a “test” (~124 instances), there are a total of 2790 uses of “is set to” in the draft.</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7725D24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1237863F" w14:textId="77777777" w:rsidR="00A05B07" w:rsidRDefault="00A05B07" w:rsidP="0073468D"/>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lastRenderedPageBreak/>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rsidRPr="006B623D">
        <w:rPr>
          <w:highlight w:val="green"/>
        </w:rPr>
        <w:t>[</w:t>
      </w:r>
      <w:proofErr w:type="spellStart"/>
      <w:r w:rsidRPr="006B623D">
        <w:rPr>
          <w:highlight w:val="green"/>
        </w:rPr>
        <w:t>TGme</w:t>
      </w:r>
      <w:proofErr w:type="spellEnd"/>
      <w:r w:rsidRPr="006B623D">
        <w:rPr>
          <w:highlight w:val="green"/>
        </w:rPr>
        <w:t xml:space="preserve"> Editor] change as suggested.</w:t>
      </w:r>
    </w:p>
    <w:p w14:paraId="45160527" w14:textId="77777777" w:rsidR="00A05B07" w:rsidRDefault="00A05B07" w:rsidP="0073468D"/>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47850902" w14:textId="77777777" w:rsidR="00061BC2" w:rsidRDefault="00061BC2" w:rsidP="00061BC2">
      <w:r w:rsidRPr="006B623D">
        <w:rPr>
          <w:highlight w:val="green"/>
        </w:rPr>
        <w:t>[</w:t>
      </w:r>
      <w:proofErr w:type="spellStart"/>
      <w:r w:rsidRPr="006B623D">
        <w:rPr>
          <w:highlight w:val="green"/>
        </w:rPr>
        <w:t>TGme</w:t>
      </w:r>
      <w:proofErr w:type="spellEnd"/>
      <w:r w:rsidRPr="006B623D">
        <w:rPr>
          <w:highlight w:val="green"/>
        </w:rPr>
        <w:t xml:space="preserve"> Editor] </w:t>
      </w:r>
      <w:r w:rsidRPr="006B623D">
        <w:rPr>
          <w:highlight w:val="green"/>
          <w:lang w:val="en-US"/>
        </w:rPr>
        <w:t>Accept all proposed changes in this section.</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lastRenderedPageBreak/>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066C47B2" w14:textId="77777777" w:rsidR="00A05B07" w:rsidRDefault="00A05B07" w:rsidP="00341F07"/>
    <w:p w14:paraId="44C9D8DB" w14:textId="51BDB965" w:rsidR="00A05B07" w:rsidRDefault="00A05B07" w:rsidP="00341F07">
      <w:r w:rsidRPr="006B623D">
        <w:rPr>
          <w:highlight w:val="green"/>
        </w:rPr>
        <w:t>[</w:t>
      </w:r>
      <w:proofErr w:type="spellStart"/>
      <w:r w:rsidRPr="006B623D">
        <w:rPr>
          <w:highlight w:val="green"/>
        </w:rPr>
        <w:t>TGme</w:t>
      </w:r>
      <w:proofErr w:type="spellEnd"/>
      <w:r w:rsidRPr="006B623D">
        <w:rPr>
          <w:highlight w:val="green"/>
        </w:rPr>
        <w:t xml:space="preserve"> Editor] </w:t>
      </w:r>
      <w:r w:rsidR="00231C1B" w:rsidRPr="006B623D">
        <w:rPr>
          <w:highlight w:val="green"/>
          <w:lang w:val="en-US"/>
        </w:rPr>
        <w:t>Accept all proposed changes in this section.</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7C351964" w14:textId="77777777" w:rsidR="00784F66" w:rsidRDefault="00784F66" w:rsidP="00784F66"/>
    <w:p w14:paraId="50848D12" w14:textId="78C6C309" w:rsidR="00784F66" w:rsidRDefault="00784F66" w:rsidP="00784F66">
      <w:r w:rsidRPr="006B623D">
        <w:rPr>
          <w:highlight w:val="green"/>
        </w:rPr>
        <w:t>[</w:t>
      </w:r>
      <w:proofErr w:type="spellStart"/>
      <w:r w:rsidRPr="006B623D">
        <w:rPr>
          <w:highlight w:val="green"/>
        </w:rPr>
        <w:t>TGme</w:t>
      </w:r>
      <w:proofErr w:type="spellEnd"/>
      <w:r w:rsidRPr="006B623D">
        <w:rPr>
          <w:highlight w:val="green"/>
        </w:rPr>
        <w:t xml:space="preserve"> Editor] No change in this section review.</w:t>
      </w:r>
      <w:r>
        <w:t xml:space="preserve">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00CBB444" w14:textId="77777777" w:rsidR="0043299E" w:rsidRDefault="0043299E" w:rsidP="0043299E">
      <w:pPr>
        <w:jc w:val="both"/>
      </w:pPr>
      <w:r>
        <w:rPr>
          <w:lang w:val="en-US"/>
        </w:rPr>
        <w:t>[</w:t>
      </w:r>
      <w:proofErr w:type="spellStart"/>
      <w:r>
        <w:rPr>
          <w:lang w:val="en-US"/>
        </w:rPr>
        <w:t>TGme</w:t>
      </w:r>
      <w:proofErr w:type="spellEnd"/>
      <w:r>
        <w:rPr>
          <w:lang w:val="en-US"/>
        </w:rPr>
        <w:t xml:space="preserve"> Editor] Accept all proposed changes in this section.</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7AF23DEB" w14:textId="77777777" w:rsidR="0056075B" w:rsidRDefault="0056075B" w:rsidP="00A65863">
      <w:pPr>
        <w:jc w:val="both"/>
      </w:pP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lastRenderedPageBreak/>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05AC6117" w14:textId="77777777" w:rsidR="00EF23EE" w:rsidRDefault="00EF23EE" w:rsidP="00A65863">
      <w:pPr>
        <w:jc w:val="both"/>
      </w:pPr>
    </w:p>
    <w:p w14:paraId="6CD0CA4B" w14:textId="20ED823B" w:rsidR="00EF23EE" w:rsidRDefault="00EF23EE" w:rsidP="00A65863">
      <w:pPr>
        <w:jc w:val="both"/>
      </w:pPr>
      <w:r>
        <w:rPr>
          <w:lang w:val="en-US"/>
        </w:rPr>
        <w:t>[</w:t>
      </w:r>
      <w:proofErr w:type="spellStart"/>
      <w:r>
        <w:rPr>
          <w:lang w:val="en-US"/>
        </w:rPr>
        <w:t>TGme</w:t>
      </w:r>
      <w:proofErr w:type="spellEnd"/>
      <w:r>
        <w:rPr>
          <w:lang w:val="en-US"/>
        </w:rPr>
        <w:t xml:space="preserve"> Editor] Accept all proposed changes in this section.</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6B623D">
        <w:rPr>
          <w:b w:val="0"/>
          <w:bCs w:val="0"/>
          <w:highlight w:val="green"/>
          <w:lang w:val="en-US"/>
        </w:rPr>
        <w:t>[</w:t>
      </w:r>
      <w:proofErr w:type="spellStart"/>
      <w:r w:rsidRPr="006B623D">
        <w:rPr>
          <w:b w:val="0"/>
          <w:bCs w:val="0"/>
          <w:highlight w:val="green"/>
          <w:lang w:val="en-US"/>
        </w:rPr>
        <w:t>TGme</w:t>
      </w:r>
      <w:proofErr w:type="spellEnd"/>
      <w:r w:rsidRPr="006B623D">
        <w:rPr>
          <w:b w:val="0"/>
          <w:bCs w:val="0"/>
          <w:highlight w:val="green"/>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lastRenderedPageBreak/>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lastRenderedPageBreak/>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lastRenderedPageBreak/>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lastRenderedPageBreak/>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lastRenderedPageBreak/>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lastRenderedPageBreak/>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lastRenderedPageBreak/>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lastRenderedPageBreak/>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lastRenderedPageBreak/>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lastRenderedPageBreak/>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Pr>
          <w:lang w:val="en-US"/>
        </w:rPr>
        <w:t>[</w:t>
      </w:r>
      <w:proofErr w:type="spellStart"/>
      <w:r>
        <w:rPr>
          <w:lang w:val="en-US"/>
        </w:rPr>
        <w:t>TGme</w:t>
      </w:r>
      <w:proofErr w:type="spellEnd"/>
      <w:r>
        <w:rPr>
          <w:lang w:val="en-US"/>
        </w:rPr>
        <w:t xml:space="preserve"> Editor] Accept all proposed changes in this section.</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t>Unicast (11 occurrences: 7 changes proposed, 4 ok)</w:t>
      </w:r>
    </w:p>
    <w:p w14:paraId="089BF711" w14:textId="77777777" w:rsidR="001A0D0A" w:rsidRDefault="001A0D0A" w:rsidP="0029745E"/>
    <w:p w14:paraId="66D927CF" w14:textId="635C52F6" w:rsidR="001A0D0A" w:rsidRDefault="001A0D0A" w:rsidP="0029745E">
      <w:r>
        <w:lastRenderedPageBreak/>
        <w:t>[</w:t>
      </w:r>
      <w:proofErr w:type="spellStart"/>
      <w:r>
        <w:t>TGme</w:t>
      </w:r>
      <w:proofErr w:type="spellEnd"/>
      <w:r>
        <w:t xml:space="preserve"> Editor] No change in this section. </w:t>
      </w:r>
      <w:r w:rsidR="00510F4F">
        <w:t>“unicast” and “multicast” in</w:t>
      </w:r>
      <w:r w:rsidR="001E79BF">
        <w:t xml:space="preserve"> the</w:t>
      </w:r>
      <w:r w:rsidR="00510F4F">
        <w:t xml:space="preserve"> identified locations are </w:t>
      </w:r>
      <w:r w:rsidR="00055D71">
        <w:t>referred to upper layers (</w:t>
      </w:r>
      <w:proofErr w:type="gramStart"/>
      <w:r w:rsidR="00055D71">
        <w:t>i.e.</w:t>
      </w:r>
      <w:proofErr w:type="gramEnd"/>
      <w:r w:rsidR="00055D71">
        <w:t xml:space="preserve"> IP layer). </w:t>
      </w:r>
      <w:r w:rsidR="00140DFF">
        <w:t xml:space="preserve">In the IP layer, </w:t>
      </w:r>
      <w:r w:rsidR="001E79BF">
        <w:t>“</w:t>
      </w:r>
      <w:r w:rsidR="00140DFF">
        <w:t>unicast</w:t>
      </w:r>
      <w:r w:rsidR="001E79BF">
        <w:t>”</w:t>
      </w:r>
      <w:r w:rsidR="00140DFF">
        <w:t xml:space="preserve"> and </w:t>
      </w:r>
      <w:r w:rsidR="001E79BF">
        <w:t>“</w:t>
      </w:r>
      <w:r w:rsidR="00140DFF">
        <w:t>multicast</w:t>
      </w:r>
      <w:r w:rsidR="001E79BF">
        <w:t>”</w:t>
      </w:r>
      <w:r w:rsidR="00140DFF">
        <w:t xml:space="preserve"> are used</w:t>
      </w:r>
      <w:r w:rsidR="001E79BF">
        <w:t>, instead of “</w:t>
      </w:r>
      <w:r w:rsidR="001E79BF" w:rsidRPr="001E79BF">
        <w:rPr>
          <w:u w:val="single"/>
        </w:rPr>
        <w:t>individually addressed” and “group addressed”.</w:t>
      </w:r>
    </w:p>
    <w:p w14:paraId="24D22A45" w14:textId="77777777" w:rsidR="007B6381" w:rsidRDefault="007B6381" w:rsidP="0029745E"/>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rsidRPr="006B623D">
        <w:rPr>
          <w:highlight w:val="green"/>
        </w:rPr>
        <w:t>[</w:t>
      </w:r>
      <w:proofErr w:type="spellStart"/>
      <w:r w:rsidRPr="006B623D">
        <w:rPr>
          <w:highlight w:val="green"/>
        </w:rPr>
        <w:t>TGme</w:t>
      </w:r>
      <w:proofErr w:type="spellEnd"/>
      <w:r w:rsidRPr="006B623D">
        <w:rPr>
          <w:highlight w:val="green"/>
        </w:rPr>
        <w:t xml:space="preserve"> Editor] </w:t>
      </w:r>
      <w:r w:rsidR="007B6381" w:rsidRPr="006B623D">
        <w:rPr>
          <w:highlight w:val="green"/>
        </w:rPr>
        <w:t>No change.</w:t>
      </w:r>
      <w:r w:rsidR="007B6381">
        <w:t xml:space="preserv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rsidRPr="006B623D">
        <w:rPr>
          <w:highlight w:val="green"/>
        </w:rPr>
        <w:t>[</w:t>
      </w:r>
      <w:proofErr w:type="spellStart"/>
      <w:r w:rsidRPr="006B623D">
        <w:rPr>
          <w:highlight w:val="green"/>
        </w:rPr>
        <w:t>TGme</w:t>
      </w:r>
      <w:proofErr w:type="spellEnd"/>
      <w:r w:rsidRPr="006B623D">
        <w:rPr>
          <w:highlight w:val="green"/>
        </w:rPr>
        <w:t xml:space="preserve"> Editor] No change.</w:t>
      </w:r>
      <w:r>
        <w:t xml:space="preserv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rsidRPr="006B623D">
        <w:rPr>
          <w:highlight w:val="green"/>
        </w:rPr>
        <w:t>[</w:t>
      </w:r>
      <w:proofErr w:type="spellStart"/>
      <w:r w:rsidRPr="006B623D">
        <w:rPr>
          <w:highlight w:val="green"/>
        </w:rPr>
        <w:t>TGme</w:t>
      </w:r>
      <w:proofErr w:type="spellEnd"/>
      <w:r w:rsidRPr="006B623D">
        <w:rPr>
          <w:highlight w:val="green"/>
        </w:rPr>
        <w:t xml:space="preserve"> Editor] No change.</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lastRenderedPageBreak/>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rsidRPr="00EC32BD">
        <w:rPr>
          <w:highlight w:val="green"/>
        </w:rPr>
        <w:t>[</w:t>
      </w:r>
      <w:proofErr w:type="spellStart"/>
      <w:r w:rsidRPr="00EC32BD">
        <w:rPr>
          <w:highlight w:val="green"/>
        </w:rPr>
        <w:t>TGme</w:t>
      </w:r>
      <w:proofErr w:type="spellEnd"/>
      <w:r w:rsidRPr="00EC32BD">
        <w:rPr>
          <w:highlight w:val="green"/>
        </w:rPr>
        <w:t xml:space="preserve"> Editor] No change.</w:t>
      </w:r>
    </w:p>
    <w:p w14:paraId="5E43A4A1" w14:textId="77777777" w:rsidR="00995F40" w:rsidRDefault="00995F40" w:rsidP="0029745E">
      <w:pPr>
        <w:rPr>
          <w:b/>
          <w:bCs/>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Pr="00EC32BD" w:rsidRDefault="0017255C" w:rsidP="008A3FF8">
      <w:r w:rsidRPr="00EC32BD">
        <w:t>[01</w:t>
      </w:r>
      <w:proofErr w:type="gramStart"/>
      <w:r w:rsidRPr="00EC32BD">
        <w:t>]  607.44</w:t>
      </w:r>
      <w:proofErr w:type="gramEnd"/>
      <w:r w:rsidRPr="00EC32BD">
        <w:t xml:space="preserve">:  Given “0s”, “1s” and  “2s”,  </w:t>
      </w:r>
      <w:r w:rsidRPr="00EC32BD">
        <w:rPr>
          <w:b/>
        </w:rPr>
        <w:t>not</w:t>
      </w:r>
      <w:r w:rsidRPr="00EC32BD">
        <w:t xml:space="preserve"> “zeros”, “ones” and “twos”, please replace “a sequence of zeros” with “a sequence of 0s”.</w:t>
      </w:r>
    </w:p>
    <w:p w14:paraId="393A4521" w14:textId="190C99D4" w:rsidR="0017255C" w:rsidRPr="00EC32BD" w:rsidRDefault="00B41B04" w:rsidP="00B41B04">
      <w:r w:rsidRPr="00EC32BD">
        <w:t>[02</w:t>
      </w:r>
      <w:proofErr w:type="gramStart"/>
      <w:r w:rsidRPr="00EC32BD">
        <w:t>]  798.52</w:t>
      </w:r>
      <w:proofErr w:type="gramEnd"/>
      <w:r w:rsidRPr="00EC32BD">
        <w:t>:  Replace “up to seven zeros are appended” with “up to seven 0s are appended”.</w:t>
      </w:r>
    </w:p>
    <w:p w14:paraId="1EB4CC41" w14:textId="31098B86" w:rsidR="00B41B04" w:rsidRPr="00EC32BD" w:rsidRDefault="002B1A36" w:rsidP="00B41B04">
      <w:r w:rsidRPr="00EC32BD">
        <w:t>[03</w:t>
      </w:r>
      <w:proofErr w:type="gramStart"/>
      <w:r w:rsidRPr="00EC32BD">
        <w:t>]  2819.33</w:t>
      </w:r>
      <w:proofErr w:type="gramEnd"/>
      <w:r w:rsidRPr="00EC32BD">
        <w:t>:  Replace “a salt of all zeros” with “a salt of all 0s”.</w:t>
      </w:r>
    </w:p>
    <w:p w14:paraId="74DF2E8B" w14:textId="540335E0" w:rsidR="002B1A36" w:rsidRPr="00EC32BD" w:rsidRDefault="00027021" w:rsidP="00B41B04">
      <w:r w:rsidRPr="00EC32BD">
        <w:t>[04</w:t>
      </w:r>
      <w:proofErr w:type="gramStart"/>
      <w:r w:rsidRPr="00EC32BD">
        <w:t>]  3361.16</w:t>
      </w:r>
      <w:proofErr w:type="gramEnd"/>
      <w:r w:rsidRPr="00EC32BD">
        <w:t>:  Replace “concatenating 504-LH zeros” with “concatenating 504-LH 0s”.</w:t>
      </w:r>
    </w:p>
    <w:p w14:paraId="272F1346" w14:textId="29ECD025" w:rsidR="00027021" w:rsidRPr="00EC32BD" w:rsidRDefault="00061BF7" w:rsidP="00061BF7">
      <w:r w:rsidRPr="00EC32BD">
        <w:t>[05</w:t>
      </w:r>
      <w:proofErr w:type="gramStart"/>
      <w:r w:rsidRPr="00EC32BD">
        <w:t>]  3362.45</w:t>
      </w:r>
      <w:proofErr w:type="gramEnd"/>
      <w:r w:rsidRPr="00EC32BD">
        <w:t>:  Replace “The data are padded with zeros” with “The data are padded with 0s”.</w:t>
      </w:r>
    </w:p>
    <w:p w14:paraId="3B0E2D4E" w14:textId="03E155FA" w:rsidR="00061BF7" w:rsidRPr="00EC32BD" w:rsidRDefault="00E76E5C" w:rsidP="00061BF7">
      <w:r w:rsidRPr="00EC32BD">
        <w:t>[06</w:t>
      </w:r>
      <w:proofErr w:type="gramStart"/>
      <w:r w:rsidRPr="00EC32BD">
        <w:t>]  3363.59</w:t>
      </w:r>
      <w:proofErr w:type="gramEnd"/>
      <w:r w:rsidRPr="00EC32BD">
        <w:t>:  Replace “zeros” with “0s”.</w:t>
      </w:r>
    </w:p>
    <w:p w14:paraId="723F8D23" w14:textId="1F15E8DD" w:rsidR="00F37E32" w:rsidRPr="00EC32BD" w:rsidRDefault="00F37E32" w:rsidP="00F37E32">
      <w:r w:rsidRPr="00EC32BD">
        <w:t>[07</w:t>
      </w:r>
      <w:proofErr w:type="gramStart"/>
      <w:r w:rsidRPr="00EC32BD">
        <w:t>]  3364.56</w:t>
      </w:r>
      <w:proofErr w:type="gramEnd"/>
      <w:r w:rsidRPr="00EC32BD">
        <w:t>:  Replace “zeros” with “0s”.</w:t>
      </w:r>
    </w:p>
    <w:p w14:paraId="0C85CB9F" w14:textId="6561C5ED" w:rsidR="00E76E5C" w:rsidRPr="00EC32BD" w:rsidRDefault="00E831AB" w:rsidP="00061BF7">
      <w:r w:rsidRPr="00EC32BD">
        <w:t>[08</w:t>
      </w:r>
      <w:proofErr w:type="gramStart"/>
      <w:r w:rsidRPr="00EC32BD">
        <w:t>]  3365.21</w:t>
      </w:r>
      <w:proofErr w:type="gramEnd"/>
      <w:r w:rsidRPr="00EC32BD">
        <w:t>:  Replace “zeros” with “0s”.</w:t>
      </w:r>
    </w:p>
    <w:p w14:paraId="7F1392FD" w14:textId="47848DDD" w:rsidR="006E03A8" w:rsidRPr="00EC32BD" w:rsidRDefault="006E03A8" w:rsidP="006E03A8">
      <w:r w:rsidRPr="00EC32BD">
        <w:t>[09</w:t>
      </w:r>
      <w:proofErr w:type="gramStart"/>
      <w:r w:rsidRPr="00EC32BD">
        <w:t>]  3372.27</w:t>
      </w:r>
      <w:proofErr w:type="gramEnd"/>
      <w:r w:rsidRPr="00EC32BD">
        <w:t>:  Replace “zeros” with “0s”.</w:t>
      </w:r>
    </w:p>
    <w:p w14:paraId="5AFCA89E" w14:textId="4AFFE069" w:rsidR="0053154A" w:rsidRPr="00EC32BD" w:rsidRDefault="0053154A" w:rsidP="0053154A">
      <w:r w:rsidRPr="00EC32BD">
        <w:t>[10</w:t>
      </w:r>
      <w:proofErr w:type="gramStart"/>
      <w:r w:rsidRPr="00EC32BD">
        <w:t>]  3373.8</w:t>
      </w:r>
      <w:proofErr w:type="gramEnd"/>
      <w:r w:rsidRPr="00EC32BD">
        <w:t>:  Replace “zeros” with “0s”.</w:t>
      </w:r>
    </w:p>
    <w:p w14:paraId="28789E3E" w14:textId="7897D312" w:rsidR="006950C9" w:rsidRPr="00EC32BD" w:rsidRDefault="0053154A" w:rsidP="008A3FF8">
      <w:r w:rsidRPr="00EC32BD">
        <w:t>[11</w:t>
      </w:r>
      <w:proofErr w:type="gramStart"/>
      <w:r w:rsidRPr="00EC32BD">
        <w:t>]  3730.53</w:t>
      </w:r>
      <w:proofErr w:type="gramEnd"/>
      <w:r w:rsidRPr="00EC32BD">
        <w:t>:  Replace “zeros” with “0s”.</w:t>
      </w:r>
    </w:p>
    <w:p w14:paraId="73894B04" w14:textId="1AD71BCA" w:rsidR="0053154A" w:rsidRPr="00EC32BD" w:rsidRDefault="006D726A" w:rsidP="008A3FF8">
      <w:r w:rsidRPr="00EC32BD">
        <w:t>[12</w:t>
      </w:r>
      <w:proofErr w:type="gramStart"/>
      <w:r w:rsidRPr="00EC32BD">
        <w:t>]  3777.14</w:t>
      </w:r>
      <w:proofErr w:type="gramEnd"/>
      <w:r w:rsidRPr="00EC32BD">
        <w:t>:  Replace “zeros” with “0s”.</w:t>
      </w:r>
    </w:p>
    <w:p w14:paraId="750FC938" w14:textId="1EEDE9FB" w:rsidR="0053154A" w:rsidRPr="00EC32BD" w:rsidRDefault="006D726A" w:rsidP="008A3FF8">
      <w:r w:rsidRPr="00EC32BD">
        <w:t>[13</w:t>
      </w:r>
      <w:proofErr w:type="gramStart"/>
      <w:r w:rsidRPr="00EC32BD">
        <w:t>]</w:t>
      </w:r>
      <w:r w:rsidR="00571020" w:rsidRPr="00EC32BD">
        <w:t xml:space="preserve">  3786.58</w:t>
      </w:r>
      <w:proofErr w:type="gramEnd"/>
      <w:r w:rsidR="00571020" w:rsidRPr="00EC32BD">
        <w:t>:  Replace “zeros” with “0s”.</w:t>
      </w:r>
    </w:p>
    <w:p w14:paraId="3E89E0BF" w14:textId="7A5DFA66" w:rsidR="000B7F23" w:rsidRPr="00EC32BD" w:rsidRDefault="000B7F23" w:rsidP="000B7F23">
      <w:r w:rsidRPr="00EC32BD">
        <w:t>[14</w:t>
      </w:r>
      <w:proofErr w:type="gramStart"/>
      <w:r w:rsidRPr="00EC32BD">
        <w:t>]  3792.7</w:t>
      </w:r>
      <w:proofErr w:type="gramEnd"/>
      <w:r w:rsidRPr="00EC32BD">
        <w:t>:  Replace “zeros” with “0s”.</w:t>
      </w:r>
    </w:p>
    <w:p w14:paraId="2E623C70" w14:textId="57E7550A" w:rsidR="00D45C61" w:rsidRPr="00EC32BD" w:rsidRDefault="00D45C61" w:rsidP="00D45C61">
      <w:r w:rsidRPr="00EC32BD">
        <w:t>[15</w:t>
      </w:r>
      <w:proofErr w:type="gramStart"/>
      <w:r w:rsidRPr="00EC32BD">
        <w:t>]  3792.41</w:t>
      </w:r>
      <w:proofErr w:type="gramEnd"/>
      <w:r w:rsidRPr="00EC32BD">
        <w:t>:  Replace “zeros” with “0s”.</w:t>
      </w:r>
    </w:p>
    <w:p w14:paraId="6D969E52" w14:textId="51202B3D" w:rsidR="00D45C61" w:rsidRPr="00EC32BD" w:rsidRDefault="00D45C61" w:rsidP="00D45C61">
      <w:r w:rsidRPr="00EC32BD">
        <w:t>[16</w:t>
      </w:r>
      <w:proofErr w:type="gramStart"/>
      <w:r w:rsidRPr="00EC32BD">
        <w:t>]  5616.49</w:t>
      </w:r>
      <w:proofErr w:type="gramEnd"/>
      <w:r w:rsidRPr="00EC32BD">
        <w:t>:  Replace “zeros” with “0s”.</w:t>
      </w:r>
    </w:p>
    <w:p w14:paraId="7357F381" w14:textId="3A5A84FE" w:rsidR="00F325C7" w:rsidRPr="00EC32BD" w:rsidRDefault="00F325C7" w:rsidP="00F325C7">
      <w:r w:rsidRPr="00EC32BD">
        <w:t>[17</w:t>
      </w:r>
      <w:proofErr w:type="gramStart"/>
      <w:r w:rsidRPr="00EC32BD">
        <w:t>]  5618.57</w:t>
      </w:r>
      <w:proofErr w:type="gramEnd"/>
      <w:r w:rsidRPr="00EC32BD">
        <w:t>:  Replace “zeros” with “0s”.</w:t>
      </w:r>
    </w:p>
    <w:p w14:paraId="6305EE75" w14:textId="42554C95" w:rsidR="00D84FD0" w:rsidRPr="00EC32BD" w:rsidRDefault="00D84FD0" w:rsidP="00D84FD0">
      <w:r w:rsidRPr="00EC32BD">
        <w:t>[18</w:t>
      </w:r>
      <w:proofErr w:type="gramStart"/>
      <w:r w:rsidRPr="00EC32BD">
        <w:t>]  5618.58</w:t>
      </w:r>
      <w:proofErr w:type="gramEnd"/>
      <w:r w:rsidRPr="00EC32BD">
        <w:t>:  Replace “zeros” with “0s”.</w:t>
      </w:r>
    </w:p>
    <w:p w14:paraId="38FCA0D8" w14:textId="2D1AD9F7" w:rsidR="007B7EF8" w:rsidRPr="00EC32BD" w:rsidRDefault="007B7EF8" w:rsidP="007B7EF8">
      <w:r w:rsidRPr="00EC32BD">
        <w:t>[19</w:t>
      </w:r>
      <w:proofErr w:type="gramStart"/>
      <w:r w:rsidRPr="00EC32BD">
        <w:t>]  5620.33</w:t>
      </w:r>
      <w:proofErr w:type="gramEnd"/>
      <w:r w:rsidRPr="00EC32BD">
        <w:t>:  Replace “zeros” with “0s”.</w:t>
      </w:r>
    </w:p>
    <w:p w14:paraId="7B6A37E5" w14:textId="11C70C84" w:rsidR="00913A1C" w:rsidRPr="00EC32BD" w:rsidRDefault="00913A1C" w:rsidP="00913A1C">
      <w:r w:rsidRPr="00EC32BD">
        <w:t>[20</w:t>
      </w:r>
      <w:proofErr w:type="gramStart"/>
      <w:r w:rsidRPr="00EC32BD">
        <w:t>]  5621.21</w:t>
      </w:r>
      <w:proofErr w:type="gramEnd"/>
      <w:r w:rsidRPr="00EC32BD">
        <w:t>:  Replace “zeros” with “0s”.</w:t>
      </w:r>
    </w:p>
    <w:p w14:paraId="5EFB0D1E" w14:textId="1E598BB1" w:rsidR="000A5465" w:rsidRPr="00EC32BD" w:rsidRDefault="000A5465" w:rsidP="000A5465">
      <w:r w:rsidRPr="00EC32BD">
        <w:t>[21</w:t>
      </w:r>
      <w:proofErr w:type="gramStart"/>
      <w:r w:rsidRPr="00EC32BD">
        <w:t>]  5622.8</w:t>
      </w:r>
      <w:proofErr w:type="gramEnd"/>
      <w:r w:rsidRPr="00EC32BD">
        <w:t>:  Replace “zeros” with “0s”.</w:t>
      </w:r>
    </w:p>
    <w:p w14:paraId="2E1358D9" w14:textId="07B23620" w:rsidR="00636C49" w:rsidRPr="00EC32BD" w:rsidRDefault="000A5465" w:rsidP="00636C49">
      <w:r w:rsidRPr="00EC32BD">
        <w:t>[22</w:t>
      </w:r>
      <w:proofErr w:type="gramStart"/>
      <w:r w:rsidRPr="00EC32BD">
        <w:t>]</w:t>
      </w:r>
      <w:r w:rsidR="00636C49" w:rsidRPr="00EC32BD">
        <w:t xml:space="preserve">  5623.39</w:t>
      </w:r>
      <w:proofErr w:type="gramEnd"/>
      <w:r w:rsidR="00636C49" w:rsidRPr="00EC32BD">
        <w:t>:  Replace “zeros” with “0s”.</w:t>
      </w:r>
    </w:p>
    <w:p w14:paraId="41AC98F5" w14:textId="3B645877" w:rsidR="00AF2E34" w:rsidRPr="00EC32BD" w:rsidRDefault="00AF2E34" w:rsidP="00AF2E34">
      <w:r w:rsidRPr="00EC32BD">
        <w:lastRenderedPageBreak/>
        <w:t>[23</w:t>
      </w:r>
      <w:proofErr w:type="gramStart"/>
      <w:r w:rsidRPr="00EC32BD">
        <w:t>]  5625.39</w:t>
      </w:r>
      <w:proofErr w:type="gramEnd"/>
      <w:r w:rsidRPr="00EC32BD">
        <w:t>:  Replace “zeros” with “0s”.</w:t>
      </w:r>
    </w:p>
    <w:p w14:paraId="60B65478" w14:textId="4AA75475" w:rsidR="00D45C61" w:rsidRPr="00EC32BD" w:rsidRDefault="00296017" w:rsidP="008A3FF8">
      <w:r w:rsidRPr="00EC32BD">
        <w:t>[24] 4067.58:  Replace dot with multiplication sign.</w:t>
      </w:r>
    </w:p>
    <w:p w14:paraId="38102BA6" w14:textId="668D85D8" w:rsidR="008E49D2" w:rsidRPr="00EC32BD" w:rsidRDefault="008E49D2" w:rsidP="008E49D2">
      <w:r w:rsidRPr="00EC32BD">
        <w:t>[25] 4069.2:  Replace dot with multiplication sign.</w:t>
      </w:r>
    </w:p>
    <w:p w14:paraId="66E7978D" w14:textId="564627C9" w:rsidR="00382D04" w:rsidRPr="00EC32BD" w:rsidRDefault="00382D04" w:rsidP="00382D04">
      <w:r w:rsidRPr="00EC32BD">
        <w:t>[26] 4070.48:  Replace dot with multiplication sign.</w:t>
      </w:r>
    </w:p>
    <w:p w14:paraId="7EC2AECC" w14:textId="79DEC6BD" w:rsidR="00F36456" w:rsidRPr="00EC32BD" w:rsidRDefault="00F36456" w:rsidP="00F36456">
      <w:r w:rsidRPr="00EC32BD">
        <w:t>[27] 4085.39:  Replace dot with multiplication sign.</w:t>
      </w:r>
    </w:p>
    <w:p w14:paraId="6D683F74" w14:textId="2DC6EFD4" w:rsidR="000363DD" w:rsidRPr="00EC32BD" w:rsidRDefault="000363DD" w:rsidP="000363DD">
      <w:r w:rsidRPr="00EC32BD">
        <w:t>[28] 4126.55:  Replace dot with multiplication sign.</w:t>
      </w:r>
    </w:p>
    <w:p w14:paraId="5DA864A0" w14:textId="64445458" w:rsidR="00A12AF6" w:rsidRPr="00EC32BD" w:rsidRDefault="00A12AF6" w:rsidP="00A12AF6">
      <w:r w:rsidRPr="00EC32BD">
        <w:t>[29] 4128.2:  Replace dot with multiplication sign.</w:t>
      </w:r>
    </w:p>
    <w:p w14:paraId="20293B13" w14:textId="6AA93626" w:rsidR="00A12AF6" w:rsidRPr="00EC32BD" w:rsidRDefault="00A12AF6" w:rsidP="00A12AF6">
      <w:r w:rsidRPr="00EC32BD">
        <w:t>[30] 4128.9:  Replace dot with multiplication sign.</w:t>
      </w:r>
    </w:p>
    <w:p w14:paraId="2CDD6A82" w14:textId="7D2A67D5" w:rsidR="00DC3204" w:rsidRDefault="00DC3204" w:rsidP="00DC3204">
      <w:r w:rsidRPr="00EC32BD">
        <w:t>[31] 4128.24:  Replace dot with multiplication sign.</w:t>
      </w:r>
    </w:p>
    <w:p w14:paraId="21C982B0" w14:textId="5F7E1BA8" w:rsidR="00296017" w:rsidRDefault="00296017" w:rsidP="008A3FF8"/>
    <w:p w14:paraId="03F7EA8E" w14:textId="3F385234" w:rsidR="00EC32BD" w:rsidRDefault="00EC32BD" w:rsidP="008A3FF8">
      <w:r>
        <w:t>[Robert: changes look ok to me]</w:t>
      </w:r>
    </w:p>
    <w:p w14:paraId="6EB66895" w14:textId="77777777" w:rsidR="00EC32BD" w:rsidRPr="00EC4997" w:rsidRDefault="00EC32BD"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rsidRPr="00EC32BD">
        <w:rPr>
          <w:highlight w:val="green"/>
        </w:rPr>
        <w:t>[</w:t>
      </w:r>
      <w:proofErr w:type="spellStart"/>
      <w:r w:rsidRPr="00EC32BD">
        <w:rPr>
          <w:highlight w:val="green"/>
        </w:rPr>
        <w:t>TGme</w:t>
      </w:r>
      <w:proofErr w:type="spellEnd"/>
      <w:r w:rsidRPr="00EC32BD">
        <w:rPr>
          <w:highlight w:val="green"/>
        </w:rPr>
        <w:t xml:space="preserve"> Editor] </w:t>
      </w:r>
      <w:r w:rsidR="0011505A" w:rsidRPr="00EC32BD">
        <w:rPr>
          <w:highlight w:val="green"/>
        </w:rPr>
        <w:t>no change in this section review. The rule in Section 2.10 is for Maths operators and relations. The cited sentences are not math operators/relations.</w:t>
      </w:r>
      <w:r w:rsidR="0011505A">
        <w:t xml:space="preserve">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lastRenderedPageBreak/>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CCBBF32" w:rsidR="006922D2" w:rsidRDefault="006922D2" w:rsidP="00A65863">
      <w:r>
        <w:t>Action: as suggested for all.</w:t>
      </w:r>
    </w:p>
    <w:p w14:paraId="0BB24456" w14:textId="5451741F"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lastRenderedPageBreak/>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11A1D9D" w14:textId="77777777" w:rsidR="00374A6D" w:rsidRDefault="00374A6D" w:rsidP="002D2BC4"/>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6BBD3E27" w14:textId="77777777" w:rsidR="00374A6D" w:rsidRDefault="00374A6D" w:rsidP="002E1132"/>
    <w:p w14:paraId="5AE9FDCD" w14:textId="6F928370"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lastRenderedPageBreak/>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3F61D371" w14:textId="5FCA1E18" w:rsidR="00374A6D" w:rsidRPr="00C031D9" w:rsidRDefault="00374A6D" w:rsidP="00374A6D">
      <w:r w:rsidRPr="00EC32BD">
        <w:rPr>
          <w:highlight w:val="green"/>
        </w:rPr>
        <w:t>[</w:t>
      </w:r>
      <w:proofErr w:type="spellStart"/>
      <w:r w:rsidRPr="00EC32BD">
        <w:rPr>
          <w:highlight w:val="green"/>
        </w:rPr>
        <w:t>TGme</w:t>
      </w:r>
      <w:proofErr w:type="spellEnd"/>
      <w:r w:rsidRPr="00EC32BD">
        <w:rPr>
          <w:highlight w:val="green"/>
        </w:rPr>
        <w:t xml:space="preserve"> Editor]</w:t>
      </w:r>
      <w:r w:rsidR="00407400" w:rsidRPr="00EC32BD">
        <w:rPr>
          <w:highlight w:val="green"/>
        </w:rPr>
        <w:t xml:space="preserve"> </w:t>
      </w:r>
      <w:r w:rsidRPr="00EC32BD">
        <w:rPr>
          <w:highlight w:val="green"/>
        </w:rPr>
        <w:t>Accept all suggested changes in this section.</w:t>
      </w:r>
      <w: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EC32BD" w:rsidRDefault="00416ADB" w:rsidP="00416ADB">
      <w:pPr>
        <w:pStyle w:val="Heading4"/>
      </w:pPr>
      <w:r w:rsidRPr="00EC32BD">
        <w:t>Annex B – PICS</w:t>
      </w:r>
      <w:r w:rsidR="00D50BF1" w:rsidRPr="00EC32BD">
        <w:t xml:space="preserve">  </w:t>
      </w:r>
    </w:p>
    <w:p w14:paraId="5151C786" w14:textId="3BCC64BF" w:rsidR="00256501" w:rsidRPr="00EC32BD" w:rsidRDefault="000668E8" w:rsidP="00256501">
      <w:pPr>
        <w:rPr>
          <w:lang w:val="en-US"/>
        </w:rPr>
      </w:pPr>
      <w:r w:rsidRPr="00EC32BD">
        <w:t>Edward</w:t>
      </w:r>
    </w:p>
    <w:p w14:paraId="1966BA73" w14:textId="77777777" w:rsidR="000305CA" w:rsidRPr="00EC32BD" w:rsidRDefault="000305CA" w:rsidP="002D2BC4"/>
    <w:p w14:paraId="47F39FC7" w14:textId="77777777" w:rsidR="00E631EB" w:rsidRPr="00EC32BD" w:rsidRDefault="00E631EB" w:rsidP="00E631EB">
      <w:r w:rsidRPr="00EC32BD">
        <w:t>[01</w:t>
      </w:r>
      <w:proofErr w:type="gramStart"/>
      <w:r w:rsidRPr="00EC32BD">
        <w:t>]  Please</w:t>
      </w:r>
      <w:proofErr w:type="gramEnd"/>
      <w:r w:rsidRPr="00EC32BD">
        <w:t xml:space="preserve"> add the abbreviation WURM (Wake Up Radio (WUR) medium access control (MAC) features) to B.2.2.</w:t>
      </w:r>
    </w:p>
    <w:p w14:paraId="6845641E" w14:textId="77777777" w:rsidR="00E631EB" w:rsidRPr="00EC32BD" w:rsidRDefault="00E631EB" w:rsidP="00E631EB">
      <w:r w:rsidRPr="00EC32BD">
        <w:t>[02</w:t>
      </w:r>
      <w:proofErr w:type="gramStart"/>
      <w:r w:rsidRPr="00EC32BD">
        <w:t>]  Please</w:t>
      </w:r>
      <w:proofErr w:type="gramEnd"/>
      <w:r w:rsidRPr="00EC32BD">
        <w:t xml:space="preserve"> add the abbreviation WURP (Wake Up Radio (WUR) physical layer (PHY) features) to B.2.2.</w:t>
      </w:r>
    </w:p>
    <w:p w14:paraId="491EB009" w14:textId="77777777" w:rsidR="00E631EB" w:rsidRPr="00EC32BD" w:rsidRDefault="00E631EB" w:rsidP="00E631EB">
      <w:r w:rsidRPr="00EC32BD">
        <w:t>[03</w:t>
      </w:r>
      <w:proofErr w:type="gramStart"/>
      <w:r w:rsidRPr="00EC32BD">
        <w:t>]  Please</w:t>
      </w:r>
      <w:proofErr w:type="gramEnd"/>
      <w:r w:rsidRPr="00EC32BD">
        <w:t xml:space="preserve"> add the abbreviation TDD-M (Time division duplex (TDD) medium access control (MAC) features) to B.2.2.</w:t>
      </w:r>
    </w:p>
    <w:p w14:paraId="39541AA4" w14:textId="77777777" w:rsidR="00E631EB" w:rsidRPr="00EC32BD" w:rsidRDefault="00E631EB" w:rsidP="00E631EB">
      <w:r w:rsidRPr="00EC32BD">
        <w:t>[04</w:t>
      </w:r>
      <w:proofErr w:type="gramStart"/>
      <w:r w:rsidRPr="00EC32BD">
        <w:t>]  Please</w:t>
      </w:r>
      <w:proofErr w:type="gramEnd"/>
      <w:r w:rsidRPr="00EC32BD">
        <w:t xml:space="preserve"> add the abbreviation EDMG-M (Enhanced direct multi-gigabit (EDMG) medium access control (MAC) features) to B.2.2.</w:t>
      </w:r>
    </w:p>
    <w:p w14:paraId="6A8EE975" w14:textId="77777777" w:rsidR="00E631EB" w:rsidRPr="00EC32BD" w:rsidRDefault="00E631EB" w:rsidP="00E631EB">
      <w:r w:rsidRPr="00EC32BD">
        <w:t>[05</w:t>
      </w:r>
      <w:proofErr w:type="gramStart"/>
      <w:r w:rsidRPr="00EC32BD">
        <w:t>]  Please</w:t>
      </w:r>
      <w:proofErr w:type="gramEnd"/>
      <w:r w:rsidRPr="00EC32BD">
        <w:t xml:space="preserve"> add the abbreviation EDMG-P (Enhanced direct multi-gigabit (EDMG) physical layer (PHY) features) to B.2.2.</w:t>
      </w:r>
    </w:p>
    <w:p w14:paraId="079F0C38" w14:textId="77777777" w:rsidR="00E631EB" w:rsidRPr="00EC32BD" w:rsidRDefault="00E631EB" w:rsidP="00E631EB">
      <w:r w:rsidRPr="00EC32BD">
        <w:t>[06</w:t>
      </w:r>
      <w:proofErr w:type="gramStart"/>
      <w:r w:rsidRPr="00EC32BD">
        <w:t>]  Please</w:t>
      </w:r>
      <w:proofErr w:type="gramEnd"/>
      <w:r w:rsidRPr="00EC32BD">
        <w:t xml:space="preserve"> add the abbreviation HEM (High-efficiency (HE) medium access control (MAC) features) to B.2.2.</w:t>
      </w:r>
    </w:p>
    <w:p w14:paraId="7BA4643B" w14:textId="77777777" w:rsidR="00E631EB" w:rsidRPr="00EC32BD" w:rsidRDefault="00E631EB" w:rsidP="00E631EB">
      <w:r w:rsidRPr="00EC32BD">
        <w:t>[07</w:t>
      </w:r>
      <w:proofErr w:type="gramStart"/>
      <w:r w:rsidRPr="00EC32BD">
        <w:t>]  Please</w:t>
      </w:r>
      <w:proofErr w:type="gramEnd"/>
      <w:r w:rsidRPr="00EC32BD">
        <w:t xml:space="preserve"> add the abbreviation HEP (High-efficiency (HE) physical layer (PHY) features) to B.2.2.</w:t>
      </w:r>
    </w:p>
    <w:p w14:paraId="6CA62BDC" w14:textId="77777777" w:rsidR="00E631EB" w:rsidRPr="00EC32BD" w:rsidRDefault="00E631EB" w:rsidP="00E631EB">
      <w:r w:rsidRPr="00EC32BD">
        <w:t>[08</w:t>
      </w:r>
      <w:proofErr w:type="gramStart"/>
      <w:r w:rsidRPr="00EC32BD">
        <w:t>]  4635.49</w:t>
      </w:r>
      <w:proofErr w:type="gramEnd"/>
      <w:r w:rsidRPr="00EC32BD">
        <w:t xml:space="preserve">:  Replace “CFAVT.” with “CFAVT”, i.e., remove the </w:t>
      </w:r>
      <w:proofErr w:type="spellStart"/>
      <w:r w:rsidRPr="00EC32BD">
        <w:t>fullstop</w:t>
      </w:r>
      <w:proofErr w:type="spellEnd"/>
      <w:r w:rsidRPr="00EC32BD">
        <w:t>.</w:t>
      </w:r>
    </w:p>
    <w:p w14:paraId="3DED7DA6" w14:textId="77777777" w:rsidR="00E631EB" w:rsidRPr="00EC32BD" w:rsidRDefault="00E631EB" w:rsidP="00E631EB">
      <w:r w:rsidRPr="00EC32BD">
        <w:t>[09</w:t>
      </w:r>
      <w:proofErr w:type="gramStart"/>
      <w:r w:rsidRPr="00EC32BD">
        <w:t>]  4637.29</w:t>
      </w:r>
      <w:proofErr w:type="gramEnd"/>
      <w:r w:rsidRPr="00EC32BD">
        <w:t>:  Prepend “*” to CF2G4n6G because it is referenced by HEM12.2.</w:t>
      </w:r>
    </w:p>
    <w:p w14:paraId="5AFA2457" w14:textId="77777777" w:rsidR="00E631EB" w:rsidRPr="00EC32BD" w:rsidRDefault="00E631EB" w:rsidP="00E631EB">
      <w:r w:rsidRPr="00EC32BD">
        <w:t>[10</w:t>
      </w:r>
      <w:proofErr w:type="gramStart"/>
      <w:r w:rsidRPr="00EC32BD">
        <w:t>]  4637.31</w:t>
      </w:r>
      <w:proofErr w:type="gramEnd"/>
      <w:r w:rsidRPr="00EC32BD">
        <w:t>:  Prepend “*” to CF5Gn6G because it is referenced by HEM12.2.</w:t>
      </w:r>
    </w:p>
    <w:p w14:paraId="4951120B" w14:textId="77777777" w:rsidR="00E631EB" w:rsidRPr="00EC32BD" w:rsidRDefault="00E631EB" w:rsidP="00E631EB">
      <w:r w:rsidRPr="00EC32BD">
        <w:t>[11</w:t>
      </w:r>
      <w:proofErr w:type="gramStart"/>
      <w:r w:rsidRPr="00EC32BD">
        <w:t>]  4637.57</w:t>
      </w:r>
      <w:proofErr w:type="gramEnd"/>
      <w:r w:rsidRPr="00EC32BD">
        <w:t>:  Prepend “*” to CFPAD because it is referenced by others in B.4.32.</w:t>
      </w:r>
    </w:p>
    <w:p w14:paraId="462E142D" w14:textId="77777777" w:rsidR="00E631EB" w:rsidRPr="00EC32BD" w:rsidRDefault="00E631EB" w:rsidP="00E631EB">
      <w:r w:rsidRPr="00EC32BD">
        <w:t>[12</w:t>
      </w:r>
      <w:proofErr w:type="gramStart"/>
      <w:r w:rsidRPr="00EC32BD">
        <w:t>]  4638.49</w:t>
      </w:r>
      <w:proofErr w:type="gramEnd"/>
      <w:r w:rsidRPr="00EC32BD">
        <w:t>:  Prepend “*” to PC1.</w:t>
      </w:r>
    </w:p>
    <w:p w14:paraId="70C8D690" w14:textId="77777777" w:rsidR="00E631EB" w:rsidRPr="00EC32BD" w:rsidRDefault="00E631EB" w:rsidP="00E631EB">
      <w:r w:rsidRPr="00EC32BD">
        <w:t>[13</w:t>
      </w:r>
      <w:proofErr w:type="gramStart"/>
      <w:r w:rsidRPr="00EC32BD">
        <w:t>]  4639.26</w:t>
      </w:r>
      <w:proofErr w:type="gramEnd"/>
      <w:r w:rsidRPr="00EC32BD">
        <w:t>:  Replace “Random Backoff function” with “Random backoff function”.</w:t>
      </w:r>
    </w:p>
    <w:p w14:paraId="63DC58CF" w14:textId="77777777" w:rsidR="00E631EB" w:rsidRPr="00EC32BD" w:rsidRDefault="00E631EB" w:rsidP="00E631EB">
      <w:r w:rsidRPr="00EC32BD">
        <w:t>[14</w:t>
      </w:r>
      <w:proofErr w:type="gramStart"/>
      <w:r w:rsidRPr="00EC32BD">
        <w:t>]  4639.29</w:t>
      </w:r>
      <w:proofErr w:type="gramEnd"/>
      <w:r w:rsidRPr="00EC32BD">
        <w:t>:  Replace “DCF Access procedure” with “DCF access procedure”.</w:t>
      </w:r>
    </w:p>
    <w:p w14:paraId="1747D8D7" w14:textId="77777777" w:rsidR="00E631EB" w:rsidRPr="00EC32BD" w:rsidRDefault="00E631EB" w:rsidP="00E631EB">
      <w:r w:rsidRPr="00EC32BD">
        <w:t>[15</w:t>
      </w:r>
      <w:proofErr w:type="gramStart"/>
      <w:r w:rsidRPr="00EC32BD">
        <w:t>]  4639.33</w:t>
      </w:r>
      <w:proofErr w:type="gramEnd"/>
      <w:r w:rsidRPr="00EC32BD">
        <w:t>:  Replace “Random Backoff procedure” with “Random backoff procedure”.</w:t>
      </w:r>
    </w:p>
    <w:p w14:paraId="3A566934" w14:textId="77777777" w:rsidR="00E631EB" w:rsidRPr="00EC32BD" w:rsidRDefault="00E631EB" w:rsidP="00E631EB">
      <w:r w:rsidRPr="00EC32BD">
        <w:t>[16</w:t>
      </w:r>
      <w:proofErr w:type="gramStart"/>
      <w:r w:rsidRPr="00EC32BD">
        <w:t>]  4640.19</w:t>
      </w:r>
      <w:proofErr w:type="gramEnd"/>
      <w:r w:rsidRPr="00EC32BD">
        <w:t>:  Add “PC4 Reserved” and “PC5 reserved”.</w:t>
      </w:r>
    </w:p>
    <w:p w14:paraId="200EB31B" w14:textId="77777777" w:rsidR="00E631EB" w:rsidRPr="00EC32BD" w:rsidRDefault="00E631EB" w:rsidP="00E631EB">
      <w:r w:rsidRPr="00EC32BD">
        <w:lastRenderedPageBreak/>
        <w:t>[17</w:t>
      </w:r>
      <w:proofErr w:type="gramStart"/>
      <w:r w:rsidRPr="00EC32BD">
        <w:t>]  4641.50</w:t>
      </w:r>
      <w:proofErr w:type="gramEnd"/>
      <w:r w:rsidRPr="00EC32BD">
        <w:t>:  Remove the underline from the reference subclause.</w:t>
      </w:r>
    </w:p>
    <w:p w14:paraId="6EF9C3A9" w14:textId="77777777" w:rsidR="00E631EB" w:rsidRPr="00EC32BD" w:rsidRDefault="00E631EB" w:rsidP="00E631EB">
      <w:r w:rsidRPr="00EC32BD">
        <w:t>[18</w:t>
      </w:r>
      <w:proofErr w:type="gramStart"/>
      <w:r w:rsidRPr="00EC32BD">
        <w:t>]  4643.50</w:t>
      </w:r>
      <w:proofErr w:type="gramEnd"/>
      <w:r w:rsidRPr="00EC32BD">
        <w:t>:  PC2 is reserved.  Why does PC15.2 need to reference it?</w:t>
      </w:r>
    </w:p>
    <w:p w14:paraId="7ED414B7" w14:textId="77777777" w:rsidR="00E631EB" w:rsidRPr="00EC32BD" w:rsidRDefault="00E631EB" w:rsidP="00E631EB">
      <w:r w:rsidRPr="00EC32BD">
        <w:t>[19</w:t>
      </w:r>
      <w:proofErr w:type="gramStart"/>
      <w:r w:rsidRPr="00EC32BD">
        <w:t>]  4645.28</w:t>
      </w:r>
      <w:proofErr w:type="gramEnd"/>
      <w:r w:rsidRPr="00EC32BD">
        <w:t>:  Prepend “*” to PC34.1.</w:t>
      </w:r>
    </w:p>
    <w:p w14:paraId="292BA718" w14:textId="77777777" w:rsidR="00E631EB" w:rsidRPr="00EC32BD" w:rsidRDefault="00E631EB" w:rsidP="00E631EB">
      <w:r w:rsidRPr="00EC32BD">
        <w:t>[20</w:t>
      </w:r>
      <w:proofErr w:type="gramStart"/>
      <w:r w:rsidRPr="00EC32BD">
        <w:t>]  4645.34</w:t>
      </w:r>
      <w:proofErr w:type="gramEnd"/>
      <w:r w:rsidRPr="00EC32BD">
        <w:t>:  Prepend “*” to PC34.1.2.1.</w:t>
      </w:r>
    </w:p>
    <w:p w14:paraId="0AB60BE1" w14:textId="77777777" w:rsidR="00E631EB" w:rsidRPr="00EC32BD" w:rsidRDefault="00E631EB" w:rsidP="00E631EB">
      <w:r w:rsidRPr="00EC32BD">
        <w:t>[21</w:t>
      </w:r>
      <w:proofErr w:type="gramStart"/>
      <w:r w:rsidRPr="00EC32BD">
        <w:t>]  4645.46</w:t>
      </w:r>
      <w:proofErr w:type="gramEnd"/>
      <w:r w:rsidRPr="00EC32BD">
        <w:t>:  Prepend “*” to PC34.1.2.2.</w:t>
      </w:r>
    </w:p>
    <w:p w14:paraId="04F26725" w14:textId="77777777" w:rsidR="00E631EB" w:rsidRPr="00EC32BD" w:rsidRDefault="00E631EB" w:rsidP="00E631EB">
      <w:r w:rsidRPr="00EC32BD">
        <w:t>[22</w:t>
      </w:r>
      <w:proofErr w:type="gramStart"/>
      <w:r w:rsidRPr="00EC32BD">
        <w:t>]  4647.40</w:t>
      </w:r>
      <w:proofErr w:type="gramEnd"/>
      <w:r w:rsidRPr="00EC32BD">
        <w:t>:  Remove the underline from the reference subclause.</w:t>
      </w:r>
    </w:p>
    <w:p w14:paraId="626BB6F4" w14:textId="77777777" w:rsidR="00E631EB" w:rsidRPr="00EC32BD" w:rsidRDefault="00E631EB" w:rsidP="00E631EB">
      <w:r w:rsidRPr="00EC32BD">
        <w:t>[23</w:t>
      </w:r>
      <w:proofErr w:type="gramStart"/>
      <w:r w:rsidRPr="00EC32BD">
        <w:t>]  4649.52</w:t>
      </w:r>
      <w:proofErr w:type="gramEnd"/>
      <w:r w:rsidRPr="00EC32BD">
        <w:t>:  Replace “Resource Request Procedures” with “Resource request procedures”.</w:t>
      </w:r>
    </w:p>
    <w:p w14:paraId="5956978A" w14:textId="77777777" w:rsidR="00E631EB" w:rsidRPr="00EC32BD" w:rsidRDefault="00E631EB" w:rsidP="00E631EB">
      <w:r w:rsidRPr="00EC32BD">
        <w:t>[24</w:t>
      </w:r>
      <w:proofErr w:type="gramStart"/>
      <w:r w:rsidRPr="00EC32BD">
        <w:t>]  4649.56</w:t>
      </w:r>
      <w:proofErr w:type="gramEnd"/>
      <w:r w:rsidRPr="00EC32BD">
        <w:t>:  Replace “Resource Request Procedures” with “Resource request procedures”.</w:t>
      </w:r>
    </w:p>
    <w:p w14:paraId="6A006E5C" w14:textId="77777777" w:rsidR="00E631EB" w:rsidRPr="00EC32BD" w:rsidRDefault="00E631EB" w:rsidP="00E631EB">
      <w:r w:rsidRPr="00EC32BD">
        <w:t>[25</w:t>
      </w:r>
      <w:proofErr w:type="gramStart"/>
      <w:r w:rsidRPr="00EC32BD">
        <w:t>]  4649.59</w:t>
      </w:r>
      <w:proofErr w:type="gramEnd"/>
      <w:r w:rsidRPr="00EC32BD">
        <w:t>:  Replace “Resource Request Procedures” with “Resource request procedures”.</w:t>
      </w:r>
    </w:p>
    <w:p w14:paraId="2D96A879" w14:textId="77777777" w:rsidR="00E631EB" w:rsidRPr="00EC32BD" w:rsidRDefault="00E631EB" w:rsidP="00E631EB">
      <w:r w:rsidRPr="00EC32BD">
        <w:t>[26</w:t>
      </w:r>
      <w:proofErr w:type="gramStart"/>
      <w:r w:rsidRPr="00EC32BD">
        <w:t>]  4650.15</w:t>
      </w:r>
      <w:proofErr w:type="gramEnd"/>
      <w:r w:rsidRPr="00EC32BD">
        <w:t>:  Replace “SA Query Procedure” with “SA Query procedure”.</w:t>
      </w:r>
    </w:p>
    <w:p w14:paraId="07C9F6C3" w14:textId="77777777" w:rsidR="00E631EB" w:rsidRPr="00EC32BD" w:rsidRDefault="00E631EB" w:rsidP="00E631EB">
      <w:r w:rsidRPr="00EC32BD">
        <w:t>[27</w:t>
      </w:r>
      <w:proofErr w:type="gramStart"/>
      <w:r w:rsidRPr="00EC32BD">
        <w:t>]  4650.37</w:t>
      </w:r>
      <w:proofErr w:type="gramEnd"/>
      <w:r w:rsidRPr="00EC32BD">
        <w:t>:  Remove the underline from the reference subclause.</w:t>
      </w:r>
    </w:p>
    <w:p w14:paraId="6A0C5148" w14:textId="77777777" w:rsidR="00E631EB" w:rsidRPr="00EC32BD" w:rsidRDefault="00E631EB" w:rsidP="00E631EB">
      <w:r w:rsidRPr="00EC32BD">
        <w:t>[28</w:t>
      </w:r>
      <w:proofErr w:type="gramStart"/>
      <w:r w:rsidRPr="00EC32BD">
        <w:t>]  4651.8</w:t>
      </w:r>
      <w:proofErr w:type="gramEnd"/>
      <w:r w:rsidRPr="00EC32BD">
        <w:t>:  Remove the underline from the reference subclause.</w:t>
      </w:r>
    </w:p>
    <w:p w14:paraId="75972B11" w14:textId="77777777" w:rsidR="00E631EB" w:rsidRPr="00EC32BD" w:rsidRDefault="00E631EB" w:rsidP="00E631EB">
      <w:r w:rsidRPr="00EC32BD">
        <w:t>[29</w:t>
      </w:r>
      <w:proofErr w:type="gramStart"/>
      <w:r w:rsidRPr="00EC32BD">
        <w:t>]  4651.41</w:t>
      </w:r>
      <w:proofErr w:type="gramEnd"/>
      <w:r w:rsidRPr="00EC32BD">
        <w:t>:  Replace “Multi-band Discovery Assistance” with “Multi-band discovery assistance”.</w:t>
      </w:r>
    </w:p>
    <w:p w14:paraId="435C2B4E" w14:textId="77777777" w:rsidR="00E631EB" w:rsidRPr="00EC32BD" w:rsidRDefault="00E631EB" w:rsidP="00E631EB">
      <w:r w:rsidRPr="00EC32BD">
        <w:t>[30</w:t>
      </w:r>
      <w:proofErr w:type="gramStart"/>
      <w:r w:rsidRPr="00EC32BD">
        <w:t>]  4652.6</w:t>
      </w:r>
      <w:proofErr w:type="gramEnd"/>
      <w:r w:rsidRPr="00EC32BD">
        <w:t>:  Prepend “*” to PC45.</w:t>
      </w:r>
    </w:p>
    <w:p w14:paraId="41F61A31" w14:textId="77777777" w:rsidR="00E631EB" w:rsidRPr="00EC32BD" w:rsidRDefault="00E631EB" w:rsidP="00E631EB">
      <w:r w:rsidRPr="00EC32BD">
        <w:t>[31</w:t>
      </w:r>
      <w:proofErr w:type="gramStart"/>
      <w:r w:rsidRPr="00EC32BD">
        <w:t>]  4652.6</w:t>
      </w:r>
      <w:proofErr w:type="gramEnd"/>
      <w:r w:rsidRPr="00EC32BD">
        <w:t>:  Replace “Operating Channel Information Validation” with “Operating channel information validation”.</w:t>
      </w:r>
    </w:p>
    <w:p w14:paraId="19578EE3" w14:textId="77777777" w:rsidR="00E631EB" w:rsidRPr="00EC32BD" w:rsidRDefault="00E631EB" w:rsidP="00E631EB">
      <w:r w:rsidRPr="00EC32BD">
        <w:t>[32</w:t>
      </w:r>
      <w:proofErr w:type="gramStart"/>
      <w:r w:rsidRPr="00EC32BD">
        <w:t>]  4652.45</w:t>
      </w:r>
      <w:proofErr w:type="gramEnd"/>
      <w:r w:rsidRPr="00EC32BD">
        <w:t>:  Replace “OCI Element” with “OCI element”.</w:t>
      </w:r>
    </w:p>
    <w:p w14:paraId="4F116013" w14:textId="77777777" w:rsidR="00E631EB" w:rsidRPr="00EC32BD" w:rsidRDefault="00E631EB" w:rsidP="00E631EB">
      <w:r w:rsidRPr="00EC32BD">
        <w:t>[33</w:t>
      </w:r>
      <w:proofErr w:type="gramStart"/>
      <w:r w:rsidRPr="00EC32BD">
        <w:t>]  4655.37</w:t>
      </w:r>
      <w:proofErr w:type="gramEnd"/>
      <w:r w:rsidRPr="00EC32BD">
        <w:t>:  Replace “Timing Advertisement frame” with “Timing Advertisement”.</w:t>
      </w:r>
    </w:p>
    <w:p w14:paraId="689F88EC" w14:textId="036983DF" w:rsidR="00E631EB" w:rsidRPr="00EC32BD" w:rsidRDefault="00E631EB" w:rsidP="00E631EB">
      <w:r w:rsidRPr="00EC32BD">
        <w:t>[34</w:t>
      </w:r>
      <w:proofErr w:type="gramStart"/>
      <w:r w:rsidRPr="00EC32BD">
        <w:t>]  4656.60</w:t>
      </w:r>
      <w:proofErr w:type="gramEnd"/>
      <w:r w:rsidRPr="00EC32BD">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EC32BD" w:rsidRDefault="00E631EB" w:rsidP="00E631EB">
      <w:r w:rsidRPr="00EC32BD">
        <w:t>[35</w:t>
      </w:r>
      <w:proofErr w:type="gramStart"/>
      <w:r w:rsidRPr="00EC32BD">
        <w:t>]  4657.6</w:t>
      </w:r>
      <w:proofErr w:type="gramEnd"/>
      <w:r w:rsidRPr="00EC32BD">
        <w:t>:  Remove “frame”.</w:t>
      </w:r>
    </w:p>
    <w:p w14:paraId="0E2EDA61" w14:textId="77777777" w:rsidR="00E631EB" w:rsidRPr="00EC32BD" w:rsidRDefault="00E631EB" w:rsidP="00E631EB">
      <w:r w:rsidRPr="00EC32BD">
        <w:t>[36</w:t>
      </w:r>
      <w:proofErr w:type="gramStart"/>
      <w:r w:rsidRPr="00EC32BD">
        <w:t>]  4657.13</w:t>
      </w:r>
      <w:proofErr w:type="gramEnd"/>
      <w:r w:rsidRPr="00EC32BD">
        <w:t>:  Remove “frame”.</w:t>
      </w:r>
    </w:p>
    <w:p w14:paraId="367C7EC0" w14:textId="77777777" w:rsidR="00E631EB" w:rsidRPr="00EC32BD" w:rsidRDefault="00E631EB" w:rsidP="00E631EB">
      <w:r w:rsidRPr="00EC32BD">
        <w:t>[37</w:t>
      </w:r>
      <w:proofErr w:type="gramStart"/>
      <w:r w:rsidRPr="00EC32BD">
        <w:t>]  4657.19</w:t>
      </w:r>
      <w:proofErr w:type="gramEnd"/>
      <w:r w:rsidRPr="00EC32BD">
        <w:t>:  Remove “frame”.</w:t>
      </w:r>
    </w:p>
    <w:p w14:paraId="6117587A" w14:textId="77777777" w:rsidR="00E631EB" w:rsidRPr="00EC32BD" w:rsidRDefault="00E631EB" w:rsidP="00E631EB">
      <w:r w:rsidRPr="00EC32BD">
        <w:t>[38</w:t>
      </w:r>
      <w:proofErr w:type="gramStart"/>
      <w:r w:rsidRPr="00EC32BD">
        <w:t>]  4657.26</w:t>
      </w:r>
      <w:proofErr w:type="gramEnd"/>
      <w:r w:rsidRPr="00EC32BD">
        <w:t>:  Remove “frame”.</w:t>
      </w:r>
    </w:p>
    <w:p w14:paraId="57AA1A29" w14:textId="77777777" w:rsidR="00E631EB" w:rsidRPr="00EC32BD" w:rsidRDefault="00E631EB" w:rsidP="00E631EB">
      <w:r w:rsidRPr="00EC32BD">
        <w:t>[39</w:t>
      </w:r>
      <w:proofErr w:type="gramStart"/>
      <w:r w:rsidRPr="00EC32BD">
        <w:t>]  4657.32</w:t>
      </w:r>
      <w:proofErr w:type="gramEnd"/>
      <w:r w:rsidRPr="00EC32BD">
        <w:t>:  Remove “frame”.</w:t>
      </w:r>
    </w:p>
    <w:p w14:paraId="33BA6891" w14:textId="77777777" w:rsidR="00E631EB" w:rsidRPr="00EC32BD" w:rsidRDefault="00E631EB" w:rsidP="00E631EB">
      <w:r w:rsidRPr="00EC32BD">
        <w:t>[40</w:t>
      </w:r>
      <w:proofErr w:type="gramStart"/>
      <w:r w:rsidRPr="00EC32BD">
        <w:t>]  4657.38</w:t>
      </w:r>
      <w:proofErr w:type="gramEnd"/>
      <w:r w:rsidRPr="00EC32BD">
        <w:t>:  Remove “frame”.</w:t>
      </w:r>
    </w:p>
    <w:p w14:paraId="114A5C12" w14:textId="77777777" w:rsidR="00E631EB" w:rsidRPr="00EC32BD" w:rsidRDefault="00E631EB" w:rsidP="00E631EB">
      <w:r w:rsidRPr="00EC32BD">
        <w:t>[41</w:t>
      </w:r>
      <w:proofErr w:type="gramStart"/>
      <w:r w:rsidRPr="00EC32BD">
        <w:t>]  4658.40</w:t>
      </w:r>
      <w:proofErr w:type="gramEnd"/>
      <w:r w:rsidRPr="00EC32BD">
        <w:t>:  Remove “frame”.</w:t>
      </w:r>
    </w:p>
    <w:p w14:paraId="6CBAC666" w14:textId="77777777" w:rsidR="00E631EB" w:rsidRPr="00EC32BD" w:rsidRDefault="00E631EB" w:rsidP="00E631EB">
      <w:r w:rsidRPr="00EC32BD">
        <w:t>[42</w:t>
      </w:r>
      <w:proofErr w:type="gramStart"/>
      <w:r w:rsidRPr="00EC32BD">
        <w:t>]  4658.46</w:t>
      </w:r>
      <w:proofErr w:type="gramEnd"/>
      <w:r w:rsidRPr="00EC32BD">
        <w:t>:  Remove “frame”.</w:t>
      </w:r>
    </w:p>
    <w:p w14:paraId="545A292B" w14:textId="77777777" w:rsidR="00E631EB" w:rsidRPr="00EC32BD" w:rsidRDefault="00E631EB" w:rsidP="00E631EB">
      <w:r w:rsidRPr="00EC32BD">
        <w:t>[43</w:t>
      </w:r>
      <w:proofErr w:type="gramStart"/>
      <w:r w:rsidRPr="00EC32BD">
        <w:t>]  4658.53</w:t>
      </w:r>
      <w:proofErr w:type="gramEnd"/>
      <w:r w:rsidRPr="00EC32BD">
        <w:t>:  Remove “frame”.</w:t>
      </w:r>
    </w:p>
    <w:p w14:paraId="21EA490A" w14:textId="77777777" w:rsidR="00E631EB" w:rsidRPr="00EC32BD" w:rsidRDefault="00E631EB" w:rsidP="00E631EB">
      <w:r w:rsidRPr="00EC32BD">
        <w:t>[44</w:t>
      </w:r>
      <w:proofErr w:type="gramStart"/>
      <w:r w:rsidRPr="00EC32BD">
        <w:t>]  4658.59</w:t>
      </w:r>
      <w:proofErr w:type="gramEnd"/>
      <w:r w:rsidRPr="00EC32BD">
        <w:t>:  Remove “frame”.</w:t>
      </w:r>
    </w:p>
    <w:p w14:paraId="3400C61F" w14:textId="77777777" w:rsidR="00E631EB" w:rsidRPr="00EC32BD" w:rsidRDefault="00E631EB" w:rsidP="00E631EB">
      <w:r w:rsidRPr="00EC32BD">
        <w:t>[45</w:t>
      </w:r>
      <w:proofErr w:type="gramStart"/>
      <w:r w:rsidRPr="00EC32BD">
        <w:t>]  4659.6</w:t>
      </w:r>
      <w:proofErr w:type="gramEnd"/>
      <w:r w:rsidRPr="00EC32BD">
        <w:t>:  Remove “frame”.</w:t>
      </w:r>
    </w:p>
    <w:p w14:paraId="1CBD63AA" w14:textId="77777777" w:rsidR="00E631EB" w:rsidRPr="00EC32BD" w:rsidRDefault="00E631EB" w:rsidP="00E631EB">
      <w:r w:rsidRPr="00EC32BD">
        <w:t>[46</w:t>
      </w:r>
      <w:proofErr w:type="gramStart"/>
      <w:r w:rsidRPr="00EC32BD">
        <w:t>]  4659.13</w:t>
      </w:r>
      <w:proofErr w:type="gramEnd"/>
      <w:r w:rsidRPr="00EC32BD">
        <w:t>:  Remove “frame”.</w:t>
      </w:r>
    </w:p>
    <w:p w14:paraId="28A5206A" w14:textId="77777777" w:rsidR="00E631EB" w:rsidRPr="00EC32BD" w:rsidRDefault="00E631EB" w:rsidP="00E631EB">
      <w:r w:rsidRPr="00EC32BD">
        <w:t>[47</w:t>
      </w:r>
      <w:proofErr w:type="gramStart"/>
      <w:r w:rsidRPr="00EC32BD">
        <w:t>]  4659.19</w:t>
      </w:r>
      <w:proofErr w:type="gramEnd"/>
      <w:r w:rsidRPr="00EC32BD">
        <w:t>:  Remove “frame”.</w:t>
      </w:r>
    </w:p>
    <w:p w14:paraId="61D94A10" w14:textId="77777777" w:rsidR="00E631EB" w:rsidRPr="00EC32BD" w:rsidRDefault="00E631EB" w:rsidP="00E631EB">
      <w:r w:rsidRPr="00EC32BD">
        <w:t>[48</w:t>
      </w:r>
      <w:proofErr w:type="gramStart"/>
      <w:r w:rsidRPr="00EC32BD">
        <w:t>]  4659.25</w:t>
      </w:r>
      <w:proofErr w:type="gramEnd"/>
      <w:r w:rsidRPr="00EC32BD">
        <w:t>:  Remove “frame”.</w:t>
      </w:r>
    </w:p>
    <w:p w14:paraId="67FB338F" w14:textId="77777777" w:rsidR="00E631EB" w:rsidRPr="00EC32BD" w:rsidRDefault="00E631EB" w:rsidP="00E631EB">
      <w:r w:rsidRPr="00EC32BD">
        <w:t>[49</w:t>
      </w:r>
      <w:proofErr w:type="gramStart"/>
      <w:r w:rsidRPr="00EC32BD">
        <w:t>]  4659.32</w:t>
      </w:r>
      <w:proofErr w:type="gramEnd"/>
      <w:r w:rsidRPr="00EC32BD">
        <w:t>:  Remove “frame”.</w:t>
      </w:r>
    </w:p>
    <w:p w14:paraId="2AF5D66F" w14:textId="77777777" w:rsidR="00E631EB" w:rsidRPr="00EC32BD" w:rsidRDefault="00E631EB" w:rsidP="00E631EB">
      <w:r w:rsidRPr="00EC32BD">
        <w:t>[50</w:t>
      </w:r>
      <w:proofErr w:type="gramStart"/>
      <w:r w:rsidRPr="00EC32BD">
        <w:t>]  4659.38</w:t>
      </w:r>
      <w:proofErr w:type="gramEnd"/>
      <w:r w:rsidRPr="00EC32BD">
        <w:t>:  Remove “frame”.</w:t>
      </w:r>
    </w:p>
    <w:p w14:paraId="34301FDD" w14:textId="77777777" w:rsidR="00E631EB" w:rsidRPr="00EC32BD" w:rsidRDefault="00E631EB" w:rsidP="00E631EB">
      <w:r w:rsidRPr="00EC32BD">
        <w:t>[51</w:t>
      </w:r>
      <w:proofErr w:type="gramStart"/>
      <w:r w:rsidRPr="00EC32BD">
        <w:t>]  4659.45</w:t>
      </w:r>
      <w:proofErr w:type="gramEnd"/>
      <w:r w:rsidRPr="00EC32BD">
        <w:t>:  Remove “frame”.</w:t>
      </w:r>
    </w:p>
    <w:p w14:paraId="35433C53" w14:textId="77777777" w:rsidR="00E631EB" w:rsidRPr="00EC32BD" w:rsidRDefault="00E631EB" w:rsidP="00E631EB">
      <w:r w:rsidRPr="00EC32BD">
        <w:t>[52</w:t>
      </w:r>
      <w:proofErr w:type="gramStart"/>
      <w:r w:rsidRPr="00EC32BD">
        <w:t>]  4659.51</w:t>
      </w:r>
      <w:proofErr w:type="gramEnd"/>
      <w:r w:rsidRPr="00EC32BD">
        <w:t>:  Replace “Header compression frame” with “Header Compression frame”.</w:t>
      </w:r>
    </w:p>
    <w:p w14:paraId="6F6E0A3A" w14:textId="77777777" w:rsidR="00E631EB" w:rsidRPr="00EC32BD" w:rsidRDefault="00E631EB" w:rsidP="00E631EB">
      <w:r w:rsidRPr="00EC32BD">
        <w:t>[53</w:t>
      </w:r>
      <w:proofErr w:type="gramStart"/>
      <w:r w:rsidRPr="00EC32BD">
        <w:t>]  4659.56</w:t>
      </w:r>
      <w:proofErr w:type="gramEnd"/>
      <w:r w:rsidRPr="00EC32BD">
        <w:t>:  Remove “frame”.</w:t>
      </w:r>
    </w:p>
    <w:p w14:paraId="6B8B373F" w14:textId="77777777" w:rsidR="00E631EB" w:rsidRPr="00EC32BD" w:rsidRDefault="00E631EB" w:rsidP="00E631EB">
      <w:r w:rsidRPr="00EC32BD">
        <w:t>[54</w:t>
      </w:r>
      <w:proofErr w:type="gramStart"/>
      <w:r w:rsidRPr="00EC32BD">
        <w:t>]  4660.6</w:t>
      </w:r>
      <w:proofErr w:type="gramEnd"/>
      <w:r w:rsidRPr="00EC32BD">
        <w:t>:  Remove “frame”.</w:t>
      </w:r>
    </w:p>
    <w:p w14:paraId="56D3668B" w14:textId="77777777" w:rsidR="00E631EB" w:rsidRPr="00EC32BD" w:rsidRDefault="00E631EB" w:rsidP="00E631EB">
      <w:r w:rsidRPr="00EC32BD">
        <w:t>[55</w:t>
      </w:r>
      <w:proofErr w:type="gramStart"/>
      <w:r w:rsidRPr="00EC32BD">
        <w:t>]  4660.11</w:t>
      </w:r>
      <w:proofErr w:type="gramEnd"/>
      <w:r w:rsidRPr="00EC32BD">
        <w:t>:  Remove “frame”.</w:t>
      </w:r>
    </w:p>
    <w:p w14:paraId="0711C9AD" w14:textId="77777777" w:rsidR="00E631EB" w:rsidRPr="00EC32BD" w:rsidRDefault="00E631EB" w:rsidP="00E631EB">
      <w:r w:rsidRPr="00EC32BD">
        <w:t>[56</w:t>
      </w:r>
      <w:proofErr w:type="gramStart"/>
      <w:r w:rsidRPr="00EC32BD">
        <w:t>]  4660.15</w:t>
      </w:r>
      <w:proofErr w:type="gramEnd"/>
      <w:r w:rsidRPr="00EC32BD">
        <w:t>:  Remove “frame”.</w:t>
      </w:r>
    </w:p>
    <w:p w14:paraId="5072A9E5" w14:textId="77777777" w:rsidR="00E631EB" w:rsidRPr="00EC32BD" w:rsidRDefault="00E631EB" w:rsidP="00E631EB">
      <w:r w:rsidRPr="00EC32BD">
        <w:t>[57</w:t>
      </w:r>
      <w:proofErr w:type="gramStart"/>
      <w:r w:rsidRPr="00EC32BD">
        <w:t>]  4660.17</w:t>
      </w:r>
      <w:proofErr w:type="gramEnd"/>
      <w:r w:rsidRPr="00EC32BD">
        <w:t>:  Remove “frame”.</w:t>
      </w:r>
    </w:p>
    <w:p w14:paraId="59EC8AEF" w14:textId="77777777" w:rsidR="00E631EB" w:rsidRPr="00EC32BD" w:rsidRDefault="00E631EB" w:rsidP="00E631EB">
      <w:r w:rsidRPr="00EC32BD">
        <w:t>[58</w:t>
      </w:r>
      <w:proofErr w:type="gramStart"/>
      <w:r w:rsidRPr="00EC32BD">
        <w:t>]  4660.19</w:t>
      </w:r>
      <w:proofErr w:type="gramEnd"/>
      <w:r w:rsidRPr="00EC32BD">
        <w:t>:  Remove “frame”.</w:t>
      </w:r>
    </w:p>
    <w:p w14:paraId="629ADD5F" w14:textId="77777777" w:rsidR="00E631EB" w:rsidRPr="00EC32BD" w:rsidRDefault="00E631EB" w:rsidP="00E631EB">
      <w:r w:rsidRPr="00EC32BD">
        <w:t>[59</w:t>
      </w:r>
      <w:proofErr w:type="gramStart"/>
      <w:r w:rsidRPr="00EC32BD">
        <w:t>]  4660.23</w:t>
      </w:r>
      <w:proofErr w:type="gramEnd"/>
      <w:r w:rsidRPr="00EC32BD">
        <w:t>:  Remove “frame”.</w:t>
      </w:r>
    </w:p>
    <w:p w14:paraId="6A2B6A96" w14:textId="77777777" w:rsidR="00E631EB" w:rsidRPr="00EC32BD" w:rsidRDefault="00E631EB" w:rsidP="00E631EB">
      <w:r w:rsidRPr="00EC32BD">
        <w:t>[60</w:t>
      </w:r>
      <w:proofErr w:type="gramStart"/>
      <w:r w:rsidRPr="00EC32BD">
        <w:t>]  4660.28</w:t>
      </w:r>
      <w:proofErr w:type="gramEnd"/>
      <w:r w:rsidRPr="00EC32BD">
        <w:t>:  Remove “frame”.</w:t>
      </w:r>
    </w:p>
    <w:p w14:paraId="1EA4FDF8" w14:textId="77777777" w:rsidR="00E631EB" w:rsidRPr="00EC32BD" w:rsidRDefault="00E631EB" w:rsidP="00E631EB">
      <w:r w:rsidRPr="00EC32BD">
        <w:t>[61</w:t>
      </w:r>
      <w:proofErr w:type="gramStart"/>
      <w:r w:rsidRPr="00EC32BD">
        <w:t>]  4660.33</w:t>
      </w:r>
      <w:proofErr w:type="gramEnd"/>
      <w:r w:rsidRPr="00EC32BD">
        <w:t>:  Remove “frame”.</w:t>
      </w:r>
    </w:p>
    <w:p w14:paraId="3AAFE823" w14:textId="77777777" w:rsidR="00E631EB" w:rsidRPr="00EC32BD" w:rsidRDefault="00E631EB" w:rsidP="00E631EB">
      <w:r w:rsidRPr="00EC32BD">
        <w:t>[62</w:t>
      </w:r>
      <w:proofErr w:type="gramStart"/>
      <w:r w:rsidRPr="00EC32BD">
        <w:t>]  4660.39</w:t>
      </w:r>
      <w:proofErr w:type="gramEnd"/>
      <w:r w:rsidRPr="00EC32BD">
        <w:t>:  Remove “frame”.</w:t>
      </w:r>
    </w:p>
    <w:p w14:paraId="096966C7" w14:textId="77777777" w:rsidR="00E631EB" w:rsidRPr="00EC32BD" w:rsidRDefault="00E631EB" w:rsidP="00E631EB">
      <w:r w:rsidRPr="00EC32BD">
        <w:t>[63</w:t>
      </w:r>
      <w:proofErr w:type="gramStart"/>
      <w:r w:rsidRPr="00EC32BD">
        <w:t>]  4661.16</w:t>
      </w:r>
      <w:proofErr w:type="gramEnd"/>
      <w:r w:rsidRPr="00EC32BD">
        <w:t>:  Remove “frame”.</w:t>
      </w:r>
    </w:p>
    <w:p w14:paraId="2B988E86" w14:textId="77777777" w:rsidR="00E631EB" w:rsidRPr="00EC32BD" w:rsidRDefault="00E631EB" w:rsidP="00E631EB">
      <w:r w:rsidRPr="00EC32BD">
        <w:t>[64</w:t>
      </w:r>
      <w:proofErr w:type="gramStart"/>
      <w:r w:rsidRPr="00EC32BD">
        <w:t>]  4661.21</w:t>
      </w:r>
      <w:proofErr w:type="gramEnd"/>
      <w:r w:rsidRPr="00EC32BD">
        <w:t>:  Remove “frame”.</w:t>
      </w:r>
    </w:p>
    <w:p w14:paraId="16A0874B" w14:textId="77777777" w:rsidR="00E631EB" w:rsidRPr="00EC32BD" w:rsidRDefault="00E631EB" w:rsidP="00E631EB">
      <w:r w:rsidRPr="00EC32BD">
        <w:t>[65</w:t>
      </w:r>
      <w:proofErr w:type="gramStart"/>
      <w:r w:rsidRPr="00EC32BD">
        <w:t>]  4661.27</w:t>
      </w:r>
      <w:proofErr w:type="gramEnd"/>
      <w:r w:rsidRPr="00EC32BD">
        <w:t>:  Remove “frame”.</w:t>
      </w:r>
    </w:p>
    <w:p w14:paraId="27730F34" w14:textId="77777777" w:rsidR="00E631EB" w:rsidRPr="00EC32BD" w:rsidRDefault="00E631EB" w:rsidP="00E631EB">
      <w:r w:rsidRPr="00EC32BD">
        <w:t>[66</w:t>
      </w:r>
      <w:proofErr w:type="gramStart"/>
      <w:r w:rsidRPr="00EC32BD">
        <w:t>]  4661.32</w:t>
      </w:r>
      <w:proofErr w:type="gramEnd"/>
      <w:r w:rsidRPr="00EC32BD">
        <w:t>:  Remove “frame”.</w:t>
      </w:r>
    </w:p>
    <w:p w14:paraId="041B1842" w14:textId="77777777" w:rsidR="00E631EB" w:rsidRPr="00EC32BD" w:rsidRDefault="00E631EB" w:rsidP="00E631EB">
      <w:r w:rsidRPr="00EC32BD">
        <w:t>[67</w:t>
      </w:r>
      <w:proofErr w:type="gramStart"/>
      <w:r w:rsidRPr="00EC32BD">
        <w:t>]  4662.12</w:t>
      </w:r>
      <w:proofErr w:type="gramEnd"/>
      <w:r w:rsidRPr="00EC32BD">
        <w:t>:  Remove “frame”.</w:t>
      </w:r>
    </w:p>
    <w:p w14:paraId="1E7E51B4" w14:textId="77777777" w:rsidR="00E631EB" w:rsidRPr="00EC32BD" w:rsidRDefault="00E631EB" w:rsidP="00E631EB">
      <w:r w:rsidRPr="00EC32BD">
        <w:lastRenderedPageBreak/>
        <w:t>[68</w:t>
      </w:r>
      <w:proofErr w:type="gramStart"/>
      <w:r w:rsidRPr="00EC32BD">
        <w:t>]  4662.17</w:t>
      </w:r>
      <w:proofErr w:type="gramEnd"/>
      <w:r w:rsidRPr="00EC32BD">
        <w:t>:  Remove “frame”.</w:t>
      </w:r>
    </w:p>
    <w:p w14:paraId="6F1122EE" w14:textId="77777777" w:rsidR="00E631EB" w:rsidRPr="00EC32BD" w:rsidRDefault="00E631EB" w:rsidP="00E631EB">
      <w:r w:rsidRPr="00EC32BD">
        <w:t>[69</w:t>
      </w:r>
      <w:proofErr w:type="gramStart"/>
      <w:r w:rsidRPr="00EC32BD">
        <w:t>]  4662.24</w:t>
      </w:r>
      <w:proofErr w:type="gramEnd"/>
      <w:r w:rsidRPr="00EC32BD">
        <w:t>:  Remove “frame”.</w:t>
      </w:r>
    </w:p>
    <w:p w14:paraId="7F75FBAB" w14:textId="77777777" w:rsidR="00E631EB" w:rsidRPr="00EC32BD" w:rsidRDefault="00E631EB" w:rsidP="00E631EB">
      <w:r w:rsidRPr="00EC32BD">
        <w:t>[70</w:t>
      </w:r>
      <w:proofErr w:type="gramStart"/>
      <w:r w:rsidRPr="00EC32BD">
        <w:t>]  4662.28</w:t>
      </w:r>
      <w:proofErr w:type="gramEnd"/>
      <w:r w:rsidRPr="00EC32BD">
        <w:t>:  Remove “frame”.</w:t>
      </w:r>
    </w:p>
    <w:p w14:paraId="6C44CF05" w14:textId="77777777" w:rsidR="00E631EB" w:rsidRPr="00EC32BD" w:rsidRDefault="00E631EB" w:rsidP="00E631EB">
      <w:r w:rsidRPr="00EC32BD">
        <w:t>[71</w:t>
      </w:r>
      <w:proofErr w:type="gramStart"/>
      <w:r w:rsidRPr="00EC32BD">
        <w:t>]  4662.33</w:t>
      </w:r>
      <w:proofErr w:type="gramEnd"/>
      <w:r w:rsidRPr="00EC32BD">
        <w:t>:  Remove “frame”.</w:t>
      </w:r>
    </w:p>
    <w:p w14:paraId="26C6F56B" w14:textId="77777777" w:rsidR="00E631EB" w:rsidRPr="00EC32BD" w:rsidRDefault="00E631EB" w:rsidP="00E631EB">
      <w:r w:rsidRPr="00EC32BD">
        <w:t>[72</w:t>
      </w:r>
      <w:proofErr w:type="gramStart"/>
      <w:r w:rsidRPr="00EC32BD">
        <w:t>]  4662.40</w:t>
      </w:r>
      <w:proofErr w:type="gramEnd"/>
      <w:r w:rsidRPr="00EC32BD">
        <w:t>:  Remove “frame”.</w:t>
      </w:r>
    </w:p>
    <w:p w14:paraId="39C1D46D" w14:textId="77777777" w:rsidR="00E631EB" w:rsidRPr="00EC32BD" w:rsidRDefault="00E631EB" w:rsidP="00E631EB">
      <w:r w:rsidRPr="00EC32BD">
        <w:t>[73</w:t>
      </w:r>
      <w:proofErr w:type="gramStart"/>
      <w:r w:rsidRPr="00EC32BD">
        <w:t>]  4662.44</w:t>
      </w:r>
      <w:proofErr w:type="gramEnd"/>
      <w:r w:rsidRPr="00EC32BD">
        <w:t>:  Remove “frame”.</w:t>
      </w:r>
    </w:p>
    <w:p w14:paraId="5BFF292C" w14:textId="77777777" w:rsidR="00E631EB" w:rsidRPr="00EC32BD" w:rsidRDefault="00E631EB" w:rsidP="00E631EB">
      <w:r w:rsidRPr="00EC32BD">
        <w:t>[74</w:t>
      </w:r>
      <w:proofErr w:type="gramStart"/>
      <w:r w:rsidRPr="00EC32BD">
        <w:t>]  4662.51</w:t>
      </w:r>
      <w:proofErr w:type="gramEnd"/>
      <w:r w:rsidRPr="00EC32BD">
        <w:t>:  Remove “frame”.</w:t>
      </w:r>
    </w:p>
    <w:p w14:paraId="66DB5313" w14:textId="77777777" w:rsidR="00E631EB" w:rsidRPr="00EC32BD" w:rsidRDefault="00E631EB" w:rsidP="00E631EB">
      <w:r w:rsidRPr="00EC32BD">
        <w:t>[75</w:t>
      </w:r>
      <w:proofErr w:type="gramStart"/>
      <w:r w:rsidRPr="00EC32BD">
        <w:t>]  4662.57</w:t>
      </w:r>
      <w:proofErr w:type="gramEnd"/>
      <w:r w:rsidRPr="00EC32BD">
        <w:t>:  Remove “frame”.</w:t>
      </w:r>
    </w:p>
    <w:p w14:paraId="070EF4CB" w14:textId="77777777" w:rsidR="00E631EB" w:rsidRPr="00EC32BD" w:rsidRDefault="00E631EB" w:rsidP="00E631EB">
      <w:r w:rsidRPr="00EC32BD">
        <w:t>[76</w:t>
      </w:r>
      <w:proofErr w:type="gramStart"/>
      <w:r w:rsidRPr="00EC32BD">
        <w:t>]  4663.13</w:t>
      </w:r>
      <w:proofErr w:type="gramEnd"/>
      <w:r w:rsidRPr="00EC32BD">
        <w:t>:  Remove “frame”.</w:t>
      </w:r>
    </w:p>
    <w:p w14:paraId="63D1D102" w14:textId="77777777" w:rsidR="00E631EB" w:rsidRPr="00EC32BD" w:rsidRDefault="00E631EB" w:rsidP="00E631EB">
      <w:r w:rsidRPr="00EC32BD">
        <w:t>[77</w:t>
      </w:r>
      <w:proofErr w:type="gramStart"/>
      <w:r w:rsidRPr="00EC32BD">
        <w:t>]  4663.28</w:t>
      </w:r>
      <w:proofErr w:type="gramEnd"/>
      <w:r w:rsidRPr="00EC32BD">
        <w:t>:  Remove “frame”.</w:t>
      </w:r>
    </w:p>
    <w:p w14:paraId="034C1B96" w14:textId="77777777" w:rsidR="00E631EB" w:rsidRPr="00EC32BD" w:rsidRDefault="00E631EB" w:rsidP="00E631EB">
      <w:r w:rsidRPr="00EC32BD">
        <w:t>[78</w:t>
      </w:r>
      <w:proofErr w:type="gramStart"/>
      <w:r w:rsidRPr="00EC32BD">
        <w:t>]  4663.34</w:t>
      </w:r>
      <w:proofErr w:type="gramEnd"/>
      <w:r w:rsidRPr="00EC32BD">
        <w:t>:  Remove “frame”.</w:t>
      </w:r>
    </w:p>
    <w:p w14:paraId="19CB0583" w14:textId="77777777" w:rsidR="00E631EB" w:rsidRPr="00EC32BD" w:rsidRDefault="00E631EB" w:rsidP="00E631EB">
      <w:r w:rsidRPr="00EC32BD">
        <w:t>[79</w:t>
      </w:r>
      <w:proofErr w:type="gramStart"/>
      <w:r w:rsidRPr="00EC32BD">
        <w:t>]  4663.40</w:t>
      </w:r>
      <w:proofErr w:type="gramEnd"/>
      <w:r w:rsidRPr="00EC32BD">
        <w:t>:  Remove “frame”.</w:t>
      </w:r>
    </w:p>
    <w:p w14:paraId="1C9F3907" w14:textId="77777777" w:rsidR="00E631EB" w:rsidRPr="00EC32BD" w:rsidRDefault="00E631EB" w:rsidP="00E631EB">
      <w:r w:rsidRPr="00EC32BD">
        <w:t>[80</w:t>
      </w:r>
      <w:proofErr w:type="gramStart"/>
      <w:r w:rsidRPr="00EC32BD">
        <w:t>]  4663.45</w:t>
      </w:r>
      <w:proofErr w:type="gramEnd"/>
      <w:r w:rsidRPr="00EC32BD">
        <w:t>:  Remove “frame”.</w:t>
      </w:r>
    </w:p>
    <w:p w14:paraId="235B8222" w14:textId="77777777" w:rsidR="00E631EB" w:rsidRPr="00EC32BD" w:rsidRDefault="00E631EB" w:rsidP="00E631EB">
      <w:r w:rsidRPr="00EC32BD">
        <w:t>[81</w:t>
      </w:r>
      <w:proofErr w:type="gramStart"/>
      <w:r w:rsidRPr="00EC32BD">
        <w:t>]  4663.51</w:t>
      </w:r>
      <w:proofErr w:type="gramEnd"/>
      <w:r w:rsidRPr="00EC32BD">
        <w:t>:  Remove “frame”.</w:t>
      </w:r>
    </w:p>
    <w:p w14:paraId="089C1BDC" w14:textId="77777777" w:rsidR="00E631EB" w:rsidRPr="00EC32BD" w:rsidRDefault="00E631EB" w:rsidP="00E631EB">
      <w:r w:rsidRPr="00EC32BD">
        <w:t>[82</w:t>
      </w:r>
      <w:proofErr w:type="gramStart"/>
      <w:r w:rsidRPr="00EC32BD">
        <w:t>]  4663.56</w:t>
      </w:r>
      <w:proofErr w:type="gramEnd"/>
      <w:r w:rsidRPr="00EC32BD">
        <w:t>:  Remove “frame”.</w:t>
      </w:r>
    </w:p>
    <w:p w14:paraId="67E581AA" w14:textId="77777777" w:rsidR="00E631EB" w:rsidRPr="00EC32BD" w:rsidRDefault="00E631EB" w:rsidP="00E631EB">
      <w:r w:rsidRPr="00EC32BD">
        <w:t>[83</w:t>
      </w:r>
      <w:proofErr w:type="gramStart"/>
      <w:r w:rsidRPr="00EC32BD">
        <w:t>]  4684.5</w:t>
      </w:r>
      <w:proofErr w:type="gramEnd"/>
      <w:r w:rsidRPr="00EC32BD">
        <w:t>:  Remove “*” from DS5.6 since it is not referenced by any other PICS item.</w:t>
      </w:r>
    </w:p>
    <w:p w14:paraId="6AAC402E" w14:textId="77777777" w:rsidR="00E631EB" w:rsidRPr="00EC32BD" w:rsidRDefault="00E631EB" w:rsidP="00E631EB">
      <w:r w:rsidRPr="00EC32BD">
        <w:t>[84</w:t>
      </w:r>
      <w:proofErr w:type="gramStart"/>
      <w:r w:rsidRPr="00EC32BD">
        <w:t>]  4685.60</w:t>
      </w:r>
      <w:proofErr w:type="gramEnd"/>
      <w:r w:rsidRPr="00EC32BD">
        <w:t>:  Replace “Energy Only” with “Energy only”.</w:t>
      </w:r>
    </w:p>
    <w:p w14:paraId="6D27145A" w14:textId="77777777" w:rsidR="00E631EB" w:rsidRPr="00EC32BD" w:rsidRDefault="00E631EB" w:rsidP="00E631EB">
      <w:r w:rsidRPr="00EC32BD">
        <w:t>[85</w:t>
      </w:r>
      <w:proofErr w:type="gramStart"/>
      <w:r w:rsidRPr="00EC32BD">
        <w:t>]  4693.36</w:t>
      </w:r>
      <w:proofErr w:type="gramEnd"/>
      <w:r w:rsidRPr="00EC32BD">
        <w:t>:  Replace “Timing related” with “Timing-related”.</w:t>
      </w:r>
    </w:p>
    <w:p w14:paraId="0F44B344" w14:textId="77777777" w:rsidR="00E631EB" w:rsidRPr="00EC32BD" w:rsidRDefault="00E631EB" w:rsidP="00E631EB">
      <w:r w:rsidRPr="00EC32BD">
        <w:t>[86</w:t>
      </w:r>
      <w:proofErr w:type="gramStart"/>
      <w:r w:rsidRPr="00EC32BD">
        <w:t>]  4720.37</w:t>
      </w:r>
      <w:proofErr w:type="gramEnd"/>
      <w:r w:rsidRPr="00EC32BD">
        <w:t>:  ERP4 says “Support of ERP3 required PPDU formats as described in reference” but ERP3 is reserved!</w:t>
      </w:r>
    </w:p>
    <w:p w14:paraId="599DE0D6" w14:textId="77777777" w:rsidR="00E631EB" w:rsidRPr="00EC32BD" w:rsidRDefault="00E631EB" w:rsidP="00E631EB">
      <w:r w:rsidRPr="00EC32BD">
        <w:t>[87</w:t>
      </w:r>
      <w:proofErr w:type="gramStart"/>
      <w:r w:rsidRPr="00EC32BD">
        <w:t>]  4729.32</w:t>
      </w:r>
      <w:proofErr w:type="gramEnd"/>
      <w:r w:rsidRPr="00EC32BD">
        <w:t>:  Add “OC5.1” to the item.</w:t>
      </w:r>
    </w:p>
    <w:p w14:paraId="18C7673C" w14:textId="77777777" w:rsidR="00E631EB" w:rsidRPr="00EC32BD" w:rsidRDefault="00E631EB" w:rsidP="00E631EB">
      <w:r w:rsidRPr="00EC32BD">
        <w:t>[88</w:t>
      </w:r>
      <w:proofErr w:type="gramStart"/>
      <w:r w:rsidRPr="00EC32BD">
        <w:t>]  4729.41</w:t>
      </w:r>
      <w:proofErr w:type="gramEnd"/>
      <w:r w:rsidRPr="00EC32BD">
        <w:t>:  Add “OC6.1” to the item.</w:t>
      </w:r>
    </w:p>
    <w:p w14:paraId="34D01515" w14:textId="77777777" w:rsidR="00E631EB" w:rsidRPr="00EC32BD" w:rsidRDefault="00E631EB" w:rsidP="00E631EB">
      <w:r w:rsidRPr="00EC32BD">
        <w:t>[89</w:t>
      </w:r>
      <w:proofErr w:type="gramStart"/>
      <w:r w:rsidRPr="00EC32BD">
        <w:t>]  4730.6</w:t>
      </w:r>
      <w:proofErr w:type="gramEnd"/>
      <w:r w:rsidRPr="00EC32BD">
        <w:t>:  Add “OC7.1” to the item.</w:t>
      </w:r>
    </w:p>
    <w:p w14:paraId="2DC58785" w14:textId="77777777" w:rsidR="00E631EB" w:rsidRPr="00EC32BD" w:rsidRDefault="00E631EB" w:rsidP="00E631EB">
      <w:r w:rsidRPr="00EC32BD">
        <w:t>[90</w:t>
      </w:r>
      <w:proofErr w:type="gramStart"/>
      <w:r w:rsidRPr="00EC32BD">
        <w:t>]  4732.44</w:t>
      </w:r>
      <w:proofErr w:type="gramEnd"/>
      <w:r w:rsidRPr="00EC32BD">
        <w:t>:  Remove “*” from QB4.2 since it is reserved.</w:t>
      </w:r>
    </w:p>
    <w:p w14:paraId="0DECB856" w14:textId="77777777" w:rsidR="00E631EB" w:rsidRPr="00EC32BD" w:rsidRDefault="00E631EB" w:rsidP="00E631EB">
      <w:r w:rsidRPr="00EC32BD">
        <w:t>[91</w:t>
      </w:r>
      <w:proofErr w:type="gramStart"/>
      <w:r w:rsidRPr="00EC32BD">
        <w:t>]  4733.28</w:t>
      </w:r>
      <w:proofErr w:type="gramEnd"/>
      <w:r w:rsidRPr="00EC32BD">
        <w:t>:  Remove the underline from the reference subclause.</w:t>
      </w:r>
    </w:p>
    <w:p w14:paraId="7083AE8F" w14:textId="7A3E8C73" w:rsidR="006D0BB9" w:rsidRPr="00EC32BD" w:rsidRDefault="006D0BB9" w:rsidP="00E631EB">
      <w:r w:rsidRPr="00EC32BD">
        <w:t>[92</w:t>
      </w:r>
      <w:proofErr w:type="gramStart"/>
      <w:r w:rsidRPr="00EC32BD">
        <w:t>]  4637.42</w:t>
      </w:r>
      <w:proofErr w:type="gramEnd"/>
      <w:r w:rsidRPr="00EC32BD">
        <w:t>:  For CFCDMG, it is cross-referenced itself.  It does not make sense.</w:t>
      </w:r>
    </w:p>
    <w:p w14:paraId="0C346348" w14:textId="6EF7F538" w:rsidR="006D0BB9" w:rsidRPr="00EC32BD" w:rsidRDefault="006D0BB9" w:rsidP="006D0BB9">
      <w:r w:rsidRPr="00EC32BD">
        <w:t>[93</w:t>
      </w:r>
      <w:proofErr w:type="gramStart"/>
      <w:r w:rsidRPr="00EC32BD">
        <w:t>]  4637.46</w:t>
      </w:r>
      <w:proofErr w:type="gramEnd"/>
      <w:r w:rsidRPr="00EC32BD">
        <w:t>:  For CFCMMG, it is cross-referenced itself.  It does not make sense.</w:t>
      </w:r>
    </w:p>
    <w:p w14:paraId="0FC0B181" w14:textId="3DC68F19" w:rsidR="00166EBB" w:rsidRPr="00EC32BD" w:rsidRDefault="00166EBB" w:rsidP="00166EBB">
      <w:r w:rsidRPr="00EC32BD">
        <w:t>[94</w:t>
      </w:r>
      <w:proofErr w:type="gramStart"/>
      <w:r w:rsidRPr="00EC32BD">
        <w:t>]  4638.6</w:t>
      </w:r>
      <w:proofErr w:type="gramEnd"/>
      <w:r w:rsidRPr="00EC32BD">
        <w:t>:  For CFEDMG, it is cross-referenced itself.  It does not make sense.</w:t>
      </w:r>
    </w:p>
    <w:p w14:paraId="717D9809" w14:textId="4440ABA5" w:rsidR="006D0BB9" w:rsidRPr="00EC32BD" w:rsidRDefault="00594718" w:rsidP="00E631EB">
      <w:r w:rsidRPr="00EC32BD">
        <w:t>[95</w:t>
      </w:r>
      <w:proofErr w:type="gramStart"/>
      <w:r w:rsidRPr="00EC32BD">
        <w:t xml:space="preserve">] </w:t>
      </w:r>
      <w:r w:rsidR="00B173A0" w:rsidRPr="00EC32BD">
        <w:t xml:space="preserve"> 4638.23</w:t>
      </w:r>
      <w:proofErr w:type="gramEnd"/>
      <w:r w:rsidR="00B173A0" w:rsidRPr="00EC32BD">
        <w:t>:  Remove the “*” because CFWUR2G4 is not cross referenced by others.</w:t>
      </w:r>
    </w:p>
    <w:p w14:paraId="72FC531B" w14:textId="088DD280" w:rsidR="00B173A0" w:rsidRPr="00EC32BD" w:rsidRDefault="00B173A0" w:rsidP="00B173A0">
      <w:r w:rsidRPr="00EC32BD">
        <w:t>[96</w:t>
      </w:r>
      <w:proofErr w:type="gramStart"/>
      <w:r w:rsidRPr="00EC32BD">
        <w:t>]  4638.30</w:t>
      </w:r>
      <w:proofErr w:type="gramEnd"/>
      <w:r w:rsidRPr="00EC32BD">
        <w:t>:  Remove the “*” because CFWUR5G is not cross referenced by others.</w:t>
      </w:r>
    </w:p>
    <w:p w14:paraId="7F7846CA" w14:textId="6C9C0A08" w:rsidR="00B173A0" w:rsidRPr="00EC32BD" w:rsidRDefault="00BB3FBD" w:rsidP="00E631EB">
      <w:r w:rsidRPr="00EC32BD">
        <w:t>[97</w:t>
      </w:r>
      <w:proofErr w:type="gramStart"/>
      <w:r w:rsidRPr="00EC32BD">
        <w:t>]  4641.48</w:t>
      </w:r>
      <w:proofErr w:type="gramEnd"/>
      <w:r w:rsidRPr="00EC32BD">
        <w:t>:  Remove “PC11.10”.</w:t>
      </w:r>
    </w:p>
    <w:p w14:paraId="355AE808" w14:textId="0C2DE306" w:rsidR="00614FD2" w:rsidRPr="00EC32BD" w:rsidRDefault="00614FD2" w:rsidP="00614FD2">
      <w:r w:rsidRPr="00EC32BD">
        <w:t>[98</w:t>
      </w:r>
      <w:proofErr w:type="gramStart"/>
      <w:r w:rsidRPr="00EC32BD">
        <w:t>]  4643.55</w:t>
      </w:r>
      <w:proofErr w:type="gramEnd"/>
      <w:r w:rsidRPr="00EC32BD">
        <w:t>:  Remove the “*” because PC15.4 is not cross referenced by others.</w:t>
      </w:r>
    </w:p>
    <w:p w14:paraId="53C87F33" w14:textId="1E9159F0" w:rsidR="00EB6D49" w:rsidRPr="00EC32BD" w:rsidRDefault="00EB6D49" w:rsidP="00EB6D49">
      <w:r w:rsidRPr="00EC32BD">
        <w:t>[99</w:t>
      </w:r>
      <w:proofErr w:type="gramStart"/>
      <w:r w:rsidRPr="00EC32BD">
        <w:t>]  4650.28</w:t>
      </w:r>
      <w:proofErr w:type="gramEnd"/>
      <w:r w:rsidRPr="00EC32BD">
        <w:t>:  Prepend “*” to PC39.</w:t>
      </w:r>
    </w:p>
    <w:p w14:paraId="732EBCD6" w14:textId="2C5F3391" w:rsidR="00B907DB" w:rsidRPr="00EC32BD" w:rsidRDefault="00EB6D49" w:rsidP="00B907DB">
      <w:r w:rsidRPr="00EC32BD">
        <w:t>[100]</w:t>
      </w:r>
      <w:r w:rsidR="00B907DB" w:rsidRPr="00EC32BD">
        <w:t xml:space="preserve"> 46</w:t>
      </w:r>
      <w:r w:rsidR="00B32D86" w:rsidRPr="00EC32BD">
        <w:t>67</w:t>
      </w:r>
      <w:r w:rsidR="00B907DB" w:rsidRPr="00EC32BD">
        <w:t>.</w:t>
      </w:r>
      <w:r w:rsidR="00B32D86" w:rsidRPr="00EC32BD">
        <w:t>27</w:t>
      </w:r>
      <w:r w:rsidR="00B907DB" w:rsidRPr="00EC32BD">
        <w:t xml:space="preserve">:  Prepend “*” to </w:t>
      </w:r>
      <w:r w:rsidR="00DC09BB" w:rsidRPr="00EC32BD">
        <w:t>FT</w:t>
      </w:r>
      <w:r w:rsidR="00B907DB" w:rsidRPr="00EC32BD">
        <w:t>4</w:t>
      </w:r>
      <w:r w:rsidR="00B32D86" w:rsidRPr="00EC32BD">
        <w:t>6.2</w:t>
      </w:r>
      <w:r w:rsidR="00B907DB" w:rsidRPr="00EC32BD">
        <w:t>.</w:t>
      </w:r>
    </w:p>
    <w:p w14:paraId="57C35F49" w14:textId="254CD1B7" w:rsidR="00DC09BB" w:rsidRPr="00EC32BD" w:rsidRDefault="00DC09BB" w:rsidP="00DC09BB">
      <w:r w:rsidRPr="00EC32BD">
        <w:t>[101] 4667.27:  Prepend “*” to FT47.11.</w:t>
      </w:r>
    </w:p>
    <w:p w14:paraId="43FA750A" w14:textId="4059A25F" w:rsidR="00DC09BB" w:rsidRPr="00EC32BD" w:rsidRDefault="00DC09BB" w:rsidP="00DC09BB">
      <w:r w:rsidRPr="00EC32BD">
        <w:t>[102] 4656.60:  Prepend “*” to FT45.</w:t>
      </w:r>
    </w:p>
    <w:p w14:paraId="04E37692" w14:textId="532BA033" w:rsidR="00DC09BB" w:rsidRPr="00EC32BD" w:rsidRDefault="00DC09BB" w:rsidP="00DC09BB">
      <w:r w:rsidRPr="00EC32BD">
        <w:t>[103] 4657.51:  Prepend “*” to FT46.</w:t>
      </w:r>
    </w:p>
    <w:p w14:paraId="6D3E1411" w14:textId="5F1FC821" w:rsidR="00DC09BB" w:rsidRPr="00EC32BD" w:rsidRDefault="00DC09BB" w:rsidP="00DC09BB">
      <w:r w:rsidRPr="00EC32BD">
        <w:t>[104] 4658.39:  Prepend “*” to FT47.</w:t>
      </w:r>
    </w:p>
    <w:p w14:paraId="6B4D34BA" w14:textId="47A9030F" w:rsidR="009064E6" w:rsidRPr="00EC32BD" w:rsidRDefault="009064E6" w:rsidP="009064E6">
      <w:r w:rsidRPr="00EC32BD">
        <w:t>[105] 4662.6:  Prepend “*” to FT52.</w:t>
      </w:r>
    </w:p>
    <w:p w14:paraId="2F224287" w14:textId="36CE44D8" w:rsidR="00916F34" w:rsidRPr="00EC32BD" w:rsidRDefault="00916F34" w:rsidP="00916F34">
      <w:r w:rsidRPr="00EC32BD">
        <w:t>[106] 4664.48:  Prepend “*” to FR1</w:t>
      </w:r>
      <w:r w:rsidR="002C10CD" w:rsidRPr="00EC32BD">
        <w:t>0</w:t>
      </w:r>
      <w:r w:rsidRPr="00EC32BD">
        <w:t>.</w:t>
      </w:r>
    </w:p>
    <w:p w14:paraId="614BC77B" w14:textId="42556FA5" w:rsidR="0078032D" w:rsidRPr="00EC32BD" w:rsidRDefault="0078032D" w:rsidP="0078032D">
      <w:r w:rsidRPr="00EC32BD">
        <w:t>[107] 4667.15:  Prepend “*” to FR46.</w:t>
      </w:r>
    </w:p>
    <w:p w14:paraId="17625617" w14:textId="22819AF6" w:rsidR="002B61C2" w:rsidRPr="00EC32BD" w:rsidRDefault="002B61C2" w:rsidP="002B61C2">
      <w:r w:rsidRPr="00EC32BD">
        <w:t>[10</w:t>
      </w:r>
      <w:r w:rsidR="00314379" w:rsidRPr="00EC32BD">
        <w:t>8</w:t>
      </w:r>
      <w:r w:rsidRPr="00EC32BD">
        <w:t>] 467</w:t>
      </w:r>
      <w:r w:rsidR="00314379" w:rsidRPr="00EC32BD">
        <w:t>6</w:t>
      </w:r>
      <w:r w:rsidRPr="00EC32BD">
        <w:t>.</w:t>
      </w:r>
      <w:r w:rsidR="00314379" w:rsidRPr="00EC32BD">
        <w:t>31</w:t>
      </w:r>
      <w:r w:rsidRPr="00EC32BD">
        <w:t>:  Prepend “*” to AD12.</w:t>
      </w:r>
    </w:p>
    <w:p w14:paraId="0521DFA9" w14:textId="057AF934" w:rsidR="002B61C2" w:rsidRPr="00EC32BD" w:rsidRDefault="002B61C2" w:rsidP="002B61C2">
      <w:r w:rsidRPr="00EC32BD">
        <w:t>[10</w:t>
      </w:r>
      <w:r w:rsidR="00314379" w:rsidRPr="00EC32BD">
        <w:t>9</w:t>
      </w:r>
      <w:r w:rsidRPr="00EC32BD">
        <w:t>] 467</w:t>
      </w:r>
      <w:r w:rsidR="00314379" w:rsidRPr="00EC32BD">
        <w:t>6</w:t>
      </w:r>
      <w:r w:rsidRPr="00EC32BD">
        <w:t>.</w:t>
      </w:r>
      <w:r w:rsidR="00314379" w:rsidRPr="00EC32BD">
        <w:t>38</w:t>
      </w:r>
      <w:r w:rsidRPr="00EC32BD">
        <w:t>:  Prepend “*” to AD13.</w:t>
      </w:r>
    </w:p>
    <w:p w14:paraId="5D2B468A" w14:textId="4857A393" w:rsidR="00DF2B22" w:rsidRPr="00EC32BD" w:rsidRDefault="00314379" w:rsidP="00DF2B22">
      <w:r w:rsidRPr="00EC32BD">
        <w:t>[110</w:t>
      </w:r>
      <w:r w:rsidR="00DF2B22" w:rsidRPr="00EC32BD">
        <w:t>] 467</w:t>
      </w:r>
      <w:r w:rsidRPr="00EC32BD">
        <w:t>6</w:t>
      </w:r>
      <w:r w:rsidR="00DF2B22" w:rsidRPr="00EC32BD">
        <w:t>.</w:t>
      </w:r>
      <w:r w:rsidRPr="00EC32BD">
        <w:t>44</w:t>
      </w:r>
      <w:r w:rsidR="00DF2B22" w:rsidRPr="00EC32BD">
        <w:t>:  Prepend “*” to AD14.</w:t>
      </w:r>
    </w:p>
    <w:p w14:paraId="603DFB11" w14:textId="4C6A1A6C" w:rsidR="00DF2B22" w:rsidRPr="00EC32BD" w:rsidRDefault="00314379" w:rsidP="00DF2B22">
      <w:r w:rsidRPr="00EC32BD">
        <w:t>[111</w:t>
      </w:r>
      <w:r w:rsidR="00DF2B22" w:rsidRPr="00EC32BD">
        <w:t>] 467</w:t>
      </w:r>
      <w:r w:rsidRPr="00EC32BD">
        <w:t>7</w:t>
      </w:r>
      <w:r w:rsidR="00DF2B22" w:rsidRPr="00EC32BD">
        <w:t>.</w:t>
      </w:r>
      <w:r w:rsidRPr="00EC32BD">
        <w:t>6</w:t>
      </w:r>
      <w:r w:rsidR="00DF2B22" w:rsidRPr="00EC32BD">
        <w:t>:  Prepend “*” to AD15.</w:t>
      </w:r>
    </w:p>
    <w:p w14:paraId="11DCF60D" w14:textId="733CB7E4" w:rsidR="003054C8" w:rsidRPr="00EC32BD" w:rsidRDefault="003054C8" w:rsidP="003054C8">
      <w:r w:rsidRPr="00EC32BD">
        <w:t>[112] 4734.20:  Prepend “*” to QD6.</w:t>
      </w:r>
    </w:p>
    <w:p w14:paraId="45F0A086" w14:textId="2831D0AE" w:rsidR="00706F75" w:rsidRPr="00EC32BD" w:rsidRDefault="00706F75" w:rsidP="00706F75">
      <w:r w:rsidRPr="00EC32BD">
        <w:t>[113] 4735.12:  Prepend “*” to QP2.</w:t>
      </w:r>
    </w:p>
    <w:p w14:paraId="76DA5044" w14:textId="651D8E2C" w:rsidR="008D0F42" w:rsidRPr="00EC32BD" w:rsidRDefault="008D0F42" w:rsidP="008D0F42">
      <w:r w:rsidRPr="00EC32BD">
        <w:t>[114] 4736.10:  Replace “Radio Measurement Capability” with “Radio measurement capability”.</w:t>
      </w:r>
    </w:p>
    <w:p w14:paraId="2BEED66E" w14:textId="307B18E3" w:rsidR="008579B5" w:rsidRPr="00EC32BD" w:rsidRDefault="008579B5" w:rsidP="008579B5">
      <w:r w:rsidRPr="00EC32BD">
        <w:t>[115] 4736.38:  Remove the underline from the reference subclause.</w:t>
      </w:r>
    </w:p>
    <w:p w14:paraId="0D2265F9" w14:textId="6A3045EE" w:rsidR="00CE2316" w:rsidRPr="00EC32BD" w:rsidRDefault="00CE2316" w:rsidP="00CE2316">
      <w:r w:rsidRPr="00EC32BD">
        <w:t>[116] 4</w:t>
      </w:r>
      <w:r w:rsidR="00D54096" w:rsidRPr="00EC32BD">
        <w:t>7</w:t>
      </w:r>
      <w:r w:rsidR="00332C40" w:rsidRPr="00EC32BD">
        <w:t>45</w:t>
      </w:r>
      <w:r w:rsidRPr="00EC32BD">
        <w:t>.</w:t>
      </w:r>
      <w:r w:rsidR="00332C40" w:rsidRPr="00EC32BD">
        <w:t>24</w:t>
      </w:r>
      <w:r w:rsidRPr="00EC32BD">
        <w:t>:  Remove the “*” because DSE1 is not cross referenced by others.</w:t>
      </w:r>
    </w:p>
    <w:p w14:paraId="2A70EAF1" w14:textId="3224C666" w:rsidR="009320D9" w:rsidRPr="00EC32BD" w:rsidRDefault="009320D9" w:rsidP="009320D9">
      <w:r w:rsidRPr="00EC32BD">
        <w:t>[117] 4753.18:  Prepend “*” to HTM11.</w:t>
      </w:r>
    </w:p>
    <w:p w14:paraId="1E5D2FE6" w14:textId="0F291553" w:rsidR="007E5C97" w:rsidRPr="00EC32BD" w:rsidRDefault="007E5C97" w:rsidP="007E5C97">
      <w:r w:rsidRPr="00EC32BD">
        <w:t>[118] 4752.6:  Prepend “*” to HTM4.4.</w:t>
      </w:r>
    </w:p>
    <w:p w14:paraId="79CF33B6" w14:textId="36DE29FD" w:rsidR="00AD6280" w:rsidRPr="00EC32BD" w:rsidRDefault="00AD6280" w:rsidP="00AD6280">
      <w:r w:rsidRPr="00EC32BD">
        <w:t>[119] 4753.22:  Remove the “*” because HTM10 is not cross referenced by others.</w:t>
      </w:r>
    </w:p>
    <w:p w14:paraId="7E4CFF13" w14:textId="786DCFB6" w:rsidR="00727C56" w:rsidRPr="00EC32BD" w:rsidRDefault="006F2499" w:rsidP="00727C56">
      <w:r w:rsidRPr="00EC32BD">
        <w:t>[120] 4753.53:  Replace “HTM13.1:O” with “HTM12.1:O”.  There is no such PICS item HTM13.1.</w:t>
      </w:r>
    </w:p>
    <w:p w14:paraId="3286CCDC" w14:textId="1A5A7C18" w:rsidR="006F2499" w:rsidRPr="00EC32BD" w:rsidRDefault="006F2499" w:rsidP="00727C56">
      <w:r w:rsidRPr="00EC32BD">
        <w:lastRenderedPageBreak/>
        <w:t xml:space="preserve">[121] </w:t>
      </w:r>
      <w:r w:rsidR="0028750B" w:rsidRPr="00EC32BD">
        <w:t>4753.58:  Replace “HTM13.3:M” with “HTM12.3:M”. There is no such PICS item HTM13.3.</w:t>
      </w:r>
    </w:p>
    <w:p w14:paraId="1C57727F" w14:textId="29630420" w:rsidR="0028750B" w:rsidRPr="00EC32BD" w:rsidRDefault="0028750B" w:rsidP="00727C56">
      <w:r w:rsidRPr="00EC32BD">
        <w:t>[122] 4754.6:  Replace “HTM13.2:O” with “HTM12.2:O”.  There is no such PICS item HTM13.2.</w:t>
      </w:r>
    </w:p>
    <w:p w14:paraId="7A170E9F" w14:textId="05546E9F" w:rsidR="0028750B" w:rsidRPr="00EC32BD" w:rsidRDefault="0028750B" w:rsidP="00727C56">
      <w:r w:rsidRPr="00EC32BD">
        <w:t>[123] 4754.12:  Replace “HTM13.4:M” with “HTM12.4:M”. There is no such PICS item HTM13.4.</w:t>
      </w:r>
    </w:p>
    <w:p w14:paraId="132477FF" w14:textId="124E237D" w:rsidR="0028750B" w:rsidRPr="00EC32BD" w:rsidRDefault="0028750B" w:rsidP="00727C56">
      <w:r w:rsidRPr="00EC32BD">
        <w:t>[124] 4754.</w:t>
      </w:r>
      <w:r w:rsidR="00617607" w:rsidRPr="00EC32BD">
        <w:t>17:  Replace “HTM13.1:O” with “HTM12.1:O”.</w:t>
      </w:r>
    </w:p>
    <w:p w14:paraId="78766923" w14:textId="7BC47416" w:rsidR="00617607" w:rsidRPr="00EC32BD" w:rsidRDefault="00617607" w:rsidP="00617607">
      <w:r w:rsidRPr="00EC32BD">
        <w:t>[125] 4754.22:  Replace “HTM13.5:M” with “HTM12.5:M”. There is no such PICS item HTM13.5.</w:t>
      </w:r>
    </w:p>
    <w:p w14:paraId="3AA66269" w14:textId="08A48C1D" w:rsidR="00617607" w:rsidRPr="00EC32BD" w:rsidRDefault="00617607" w:rsidP="00617607">
      <w:r w:rsidRPr="00EC32BD">
        <w:t xml:space="preserve">[126] </w:t>
      </w:r>
      <w:r w:rsidR="00292F7D" w:rsidRPr="00EC32BD">
        <w:t>4754.26:  Replace “HTM13.2:O” with “HTM12.2:O”.</w:t>
      </w:r>
    </w:p>
    <w:p w14:paraId="2B9FEFA8" w14:textId="07FC6F30" w:rsidR="00292F7D" w:rsidRPr="00EC32BD" w:rsidRDefault="00292F7D" w:rsidP="00617607">
      <w:r w:rsidRPr="00EC32BD">
        <w:t>[127] 4754.29:  Replace “HTM13.6:O.1” with “HTM12.6:O.1”. There is no such PICS item HTM13.6.</w:t>
      </w:r>
    </w:p>
    <w:p w14:paraId="26E6B6D2" w14:textId="35F14C3A" w:rsidR="0003550B" w:rsidRPr="00EC32BD" w:rsidRDefault="0003550B" w:rsidP="0003550B">
      <w:r w:rsidRPr="00EC32BD">
        <w:t>[128] 4754.35:  Replace “HTM13.6:O.1” with “HTM12.6:O.1”. There is no such PICS item HTM13.6.</w:t>
      </w:r>
    </w:p>
    <w:p w14:paraId="0506250A" w14:textId="12028E0E" w:rsidR="0003550B" w:rsidRPr="00EC32BD" w:rsidRDefault="0003550B" w:rsidP="0003550B">
      <w:r w:rsidRPr="00EC32BD">
        <w:t>[129] 4754.42:  Replace “HTM13.6:O.1” with “HTM12.6:O.1”. There is no such PICS item HTM13.6.</w:t>
      </w:r>
    </w:p>
    <w:p w14:paraId="5AB433E5" w14:textId="4A1DC492" w:rsidR="00617607" w:rsidRPr="00EC32BD" w:rsidRDefault="000009C1" w:rsidP="00727C56">
      <w:r w:rsidRPr="00EC32BD">
        <w:t>[130] 4754.50:  Replace “HTM13:O” with “HTM12:O”.  Calibration procedure is not related to HTM13.</w:t>
      </w:r>
    </w:p>
    <w:p w14:paraId="1424B67B" w14:textId="2E4CFB90" w:rsidR="00B616BD" w:rsidRPr="00EC32BD" w:rsidRDefault="00B616BD" w:rsidP="00B616BD">
      <w:r w:rsidRPr="00EC32BD">
        <w:t>[131] 4755.24:  Prepend “*” to HTM15.</w:t>
      </w:r>
    </w:p>
    <w:p w14:paraId="3841A9D9" w14:textId="4EA07E69" w:rsidR="000009C1" w:rsidRPr="00EC32BD" w:rsidRDefault="000F3FEE" w:rsidP="00727C56">
      <w:r w:rsidRPr="00EC32BD">
        <w:t>[132] 4768.16:  Replace “HTM14.7:M” with “HTM12.7:M”.  There is no such PICS item HTM14.7.</w:t>
      </w:r>
    </w:p>
    <w:p w14:paraId="7E1E62F3" w14:textId="648FC208" w:rsidR="000F3FEE" w:rsidRPr="00EC32BD" w:rsidRDefault="00427DB8" w:rsidP="00727C56">
      <w:r w:rsidRPr="00EC32BD">
        <w:t>[133] 4755.47:  Replace “HTM17.2:M” with “HTM16.2:M”.  There is no such PICS item HTM17.2.</w:t>
      </w:r>
    </w:p>
    <w:p w14:paraId="5490E2E0" w14:textId="1C2782D0" w:rsidR="00427DB8" w:rsidRPr="00EC32BD" w:rsidRDefault="00427DB8" w:rsidP="00427DB8">
      <w:r w:rsidRPr="00EC32BD">
        <w:t>[134] 4755.53:  Replace “HTM17.1:M” with “HTM16.1:M”.  There is no such PICS item HTM17.1.</w:t>
      </w:r>
    </w:p>
    <w:p w14:paraId="337C544C" w14:textId="5A8730CF" w:rsidR="00862038" w:rsidRPr="00EC32BD" w:rsidRDefault="00862038" w:rsidP="00862038">
      <w:r w:rsidRPr="00EC32BD">
        <w:t>[135] 4755.57:  Remove the underline from the reference subclause.</w:t>
      </w:r>
    </w:p>
    <w:p w14:paraId="1AC93DDC" w14:textId="15BF85C5" w:rsidR="006E0513" w:rsidRPr="00EC32BD" w:rsidRDefault="006E0513" w:rsidP="006E0513">
      <w:r w:rsidRPr="00EC32BD">
        <w:t>[136] 4756.14:  Remove the underline from the reference subclause.</w:t>
      </w:r>
    </w:p>
    <w:p w14:paraId="63ABBEFE" w14:textId="5692D7EE" w:rsidR="009E6B20" w:rsidRPr="00EC32BD" w:rsidRDefault="009E6B20" w:rsidP="009E6B20">
      <w:r w:rsidRPr="00EC32BD">
        <w:t>[1</w:t>
      </w:r>
      <w:r w:rsidR="00C7271F" w:rsidRPr="00EC32BD">
        <w:t>37</w:t>
      </w:r>
      <w:r w:rsidRPr="00EC32BD">
        <w:t>] 4778.47:  Prepend “*” to WNM17.</w:t>
      </w:r>
    </w:p>
    <w:p w14:paraId="3A6453B8" w14:textId="2357857C" w:rsidR="00065F4F" w:rsidRPr="00EC32BD" w:rsidRDefault="00065F4F" w:rsidP="00065F4F">
      <w:r w:rsidRPr="00EC32BD">
        <w:t>[138] 4780.12:  Replace “WNM21:M” with “WNM22:M”.  Calibration procedure is not related to WNM21.</w:t>
      </w:r>
    </w:p>
    <w:p w14:paraId="1DE96592" w14:textId="53C2FC23" w:rsidR="00900525" w:rsidRPr="00EC32BD" w:rsidRDefault="00900525" w:rsidP="00900525">
      <w:r w:rsidRPr="00EC32BD">
        <w:t>[139] 4780.18:  Replace “WNM21:M” with “WNM22:M”.  Calibration procedure is not related to WNM21.</w:t>
      </w:r>
    </w:p>
    <w:p w14:paraId="5D62C201" w14:textId="2AC68231" w:rsidR="00900525" w:rsidRPr="00EC32BD" w:rsidRDefault="00900525" w:rsidP="00900525">
      <w:r w:rsidRPr="00EC32BD">
        <w:t>[140] 4780.6:  Prepend “*” to WNM22.</w:t>
      </w:r>
    </w:p>
    <w:p w14:paraId="1E263B40" w14:textId="0CF1BCE4" w:rsidR="00EE2A9C" w:rsidRPr="00EC32BD" w:rsidRDefault="00EE2A9C" w:rsidP="00EE2A9C">
      <w:r w:rsidRPr="00EC32BD">
        <w:t>[141] 4780.23:  Prepend “*” to WNM23.</w:t>
      </w:r>
    </w:p>
    <w:p w14:paraId="6851FDC4" w14:textId="79B2F0C1" w:rsidR="00752FBB" w:rsidRPr="00EC32BD" w:rsidRDefault="00752FBB" w:rsidP="00752FBB">
      <w:r w:rsidRPr="00EC32BD">
        <w:t>[142] 4781.10:  Prepend “*” to IW1.</w:t>
      </w:r>
    </w:p>
    <w:p w14:paraId="0FFF981A" w14:textId="51F8E40E" w:rsidR="00F04ED1" w:rsidRPr="00EC32BD" w:rsidRDefault="00AF08A6" w:rsidP="007C382F">
      <w:r w:rsidRPr="00EC32BD">
        <w:t>[143] 4781.32:  Prepend “*” to IW2.</w:t>
      </w:r>
    </w:p>
    <w:p w14:paraId="5B7AC78E" w14:textId="2FFB5703" w:rsidR="00F04ED1" w:rsidRPr="00EC32BD" w:rsidRDefault="00F04ED1" w:rsidP="00F04ED1">
      <w:r w:rsidRPr="00EC32BD">
        <w:t>[144] 4781.49:  Prepend “*” to IW2.2.2.</w:t>
      </w:r>
    </w:p>
    <w:p w14:paraId="033208F0" w14:textId="0D754A2C" w:rsidR="007C382F" w:rsidRPr="00EC32BD" w:rsidRDefault="007C382F" w:rsidP="00F04ED1">
      <w:r w:rsidRPr="00EC32BD">
        <w:t>[14</w:t>
      </w:r>
      <w:r w:rsidR="00F04ED1" w:rsidRPr="00EC32BD">
        <w:t>5</w:t>
      </w:r>
      <w:r w:rsidRPr="00EC32BD">
        <w:t>] 4783.34:  Prepend “*” to IW2.2</w:t>
      </w:r>
      <w:r w:rsidR="0046633B" w:rsidRPr="00EC32BD">
        <w:t>1</w:t>
      </w:r>
      <w:r w:rsidRPr="00EC32BD">
        <w:t>.</w:t>
      </w:r>
    </w:p>
    <w:p w14:paraId="5CCB8911" w14:textId="0066BB6F" w:rsidR="00255E12" w:rsidRPr="00EC32BD" w:rsidRDefault="00255E12" w:rsidP="00255E12">
      <w:r w:rsidRPr="00EC32BD">
        <w:t>[146] 4784.27:  Prepend “*” to IW3.</w:t>
      </w:r>
    </w:p>
    <w:p w14:paraId="6BC80B9F" w14:textId="64B7FD65" w:rsidR="00186C7E" w:rsidRPr="00EC32BD" w:rsidRDefault="00186C7E" w:rsidP="00186C7E">
      <w:r w:rsidRPr="00EC32BD">
        <w:t>[147] 4785.6:  Prepend “*” to IW4.</w:t>
      </w:r>
    </w:p>
    <w:p w14:paraId="1D84893D" w14:textId="68DCBD15" w:rsidR="00314379" w:rsidRPr="00EC32BD" w:rsidRDefault="00CA40D0" w:rsidP="002D2BC4">
      <w:r w:rsidRPr="00EC32BD">
        <w:t>[148] 4787.64:  Replace “MCCAOP Advertisement” with “MCCAOP advertisement”.</w:t>
      </w:r>
    </w:p>
    <w:p w14:paraId="6DBC38D2" w14:textId="15090AF5" w:rsidR="00CA40D0" w:rsidRPr="00EC32BD" w:rsidRDefault="00CA40D0" w:rsidP="002A0E6A">
      <w:r w:rsidRPr="00EC32BD">
        <w:t>[149] 4788.</w:t>
      </w:r>
      <w:r w:rsidR="002A0E6A" w:rsidRPr="00EC32BD">
        <w:t>7:  Replace “</w:t>
      </w:r>
      <w:proofErr w:type="spellStart"/>
      <w:r w:rsidR="002A0E6A" w:rsidRPr="00EC32BD">
        <w:t>Neighbor</w:t>
      </w:r>
      <w:proofErr w:type="spellEnd"/>
      <w:r w:rsidR="002A0E6A" w:rsidRPr="00EC32BD">
        <w:t xml:space="preserve"> MCCAOP Recognition” with “</w:t>
      </w:r>
      <w:proofErr w:type="spellStart"/>
      <w:r w:rsidR="002A0E6A" w:rsidRPr="00EC32BD">
        <w:t>Neighbor</w:t>
      </w:r>
      <w:proofErr w:type="spellEnd"/>
      <w:r w:rsidR="002A0E6A" w:rsidRPr="00EC32BD">
        <w:t xml:space="preserve"> MCCAOP recognition”.</w:t>
      </w:r>
    </w:p>
    <w:p w14:paraId="16F61027" w14:textId="08BF9185" w:rsidR="002A0E6A" w:rsidRPr="00EC32BD" w:rsidRDefault="002A0E6A" w:rsidP="002A0E6A">
      <w:r w:rsidRPr="00EC32BD">
        <w:t>[150] 4788.</w:t>
      </w:r>
      <w:r w:rsidR="00680E0C" w:rsidRPr="00EC32BD">
        <w:t>12:  Replace “MCCAOP Setup” with “MCCAOP setup”.</w:t>
      </w:r>
    </w:p>
    <w:p w14:paraId="5F2B91D3" w14:textId="4C9E50AE" w:rsidR="002C4F3C" w:rsidRPr="00EC32BD" w:rsidRDefault="002C4F3C" w:rsidP="002C4F3C">
      <w:r w:rsidRPr="00EC32BD">
        <w:t>[151] 4733.26:  Prepend “*” to QB5.</w:t>
      </w:r>
    </w:p>
    <w:p w14:paraId="1FB25946" w14:textId="55281078" w:rsidR="00C06EF3" w:rsidRPr="00EC32BD" w:rsidRDefault="00C06EF3" w:rsidP="00C06EF3">
      <w:r w:rsidRPr="00EC32BD">
        <w:t>[152] 4794.6:  Prepend “*” to AVT4.</w:t>
      </w:r>
    </w:p>
    <w:p w14:paraId="3575D610" w14:textId="18A35D6E" w:rsidR="00C114F7" w:rsidRPr="00EC32BD" w:rsidRDefault="00C114F7" w:rsidP="00C114F7">
      <w:r w:rsidRPr="00EC32BD">
        <w:t>[153] 4794.20:  Prepend “*” to AVT5.</w:t>
      </w:r>
    </w:p>
    <w:p w14:paraId="48952124" w14:textId="2A7274E3" w:rsidR="00CE61E2" w:rsidRPr="00EC32BD" w:rsidRDefault="00CE61E2" w:rsidP="00CE61E2">
      <w:r w:rsidRPr="00EC32BD">
        <w:t>[154] 4794.</w:t>
      </w:r>
      <w:r w:rsidR="004F7578" w:rsidRPr="00EC32BD">
        <w:t>27</w:t>
      </w:r>
      <w:r w:rsidRPr="00EC32BD">
        <w:t>:  Prepend “*” to AVT5.</w:t>
      </w:r>
      <w:r w:rsidR="004F7578" w:rsidRPr="00EC32BD">
        <w:t>1</w:t>
      </w:r>
      <w:r w:rsidRPr="00EC32BD">
        <w:t>.</w:t>
      </w:r>
    </w:p>
    <w:p w14:paraId="6412A899" w14:textId="7A762FD2" w:rsidR="004F7578" w:rsidRPr="00EC32BD" w:rsidRDefault="004F7578" w:rsidP="004F7578">
      <w:r w:rsidRPr="00EC32BD">
        <w:t>[155] 4794.30:  Prepend “*” to AVT5.2.</w:t>
      </w:r>
    </w:p>
    <w:p w14:paraId="7FE23D06" w14:textId="20E751D8" w:rsidR="009B6642" w:rsidRPr="00EC32BD" w:rsidRDefault="009B6642" w:rsidP="009B6642">
      <w:r w:rsidRPr="00EC32BD">
        <w:t>[156] 4794.46:  Prepend “*” to AVT5.3.</w:t>
      </w:r>
    </w:p>
    <w:p w14:paraId="2E146320" w14:textId="45D1C225" w:rsidR="002C4F3C" w:rsidRPr="00EC32BD" w:rsidRDefault="00D573AB" w:rsidP="002D2BC4">
      <w:r w:rsidRPr="00EC32BD">
        <w:t>[157] 4798.60:  Replace “Transmission of Request” with “Transmission of request”.</w:t>
      </w:r>
    </w:p>
    <w:p w14:paraId="6CA9B6AB" w14:textId="4A756C18" w:rsidR="00D573AB" w:rsidRPr="00EC32BD" w:rsidRDefault="00D573AB" w:rsidP="002D2BC4">
      <w:r w:rsidRPr="00EC32BD">
        <w:t>[158]</w:t>
      </w:r>
      <w:r w:rsidR="008B4682" w:rsidRPr="00EC32BD">
        <w:t xml:space="preserve"> 4799.5:  Replace “Reception of Request” with “Reception of request”.</w:t>
      </w:r>
    </w:p>
    <w:p w14:paraId="4FF022D7" w14:textId="0F39C4B8" w:rsidR="008B4682" w:rsidRPr="00EC32BD" w:rsidRDefault="008B4682" w:rsidP="002D2BC4">
      <w:r w:rsidRPr="00EC32BD">
        <w:t xml:space="preserve">[159] </w:t>
      </w:r>
      <w:r w:rsidR="00103C22" w:rsidRPr="00EC32BD">
        <w:t>4799.12:  Replace “Transmission of Response” with “Transmission of response”.</w:t>
      </w:r>
    </w:p>
    <w:p w14:paraId="205F9DE9" w14:textId="00FE6819" w:rsidR="00103C22" w:rsidRPr="00EC32BD" w:rsidRDefault="00103C22" w:rsidP="002D2BC4">
      <w:r w:rsidRPr="00EC32BD">
        <w:t>[160] 4799.</w:t>
      </w:r>
      <w:r w:rsidR="000263B7" w:rsidRPr="00EC32BD">
        <w:t>18:  Replace “Reception of Response” with “Reception of response”.</w:t>
      </w:r>
    </w:p>
    <w:p w14:paraId="1C7D7392" w14:textId="0BCACA5E" w:rsidR="0076731B" w:rsidRPr="00EC32BD" w:rsidRDefault="0076731B" w:rsidP="0076731B">
      <w:r w:rsidRPr="00EC32BD">
        <w:t>[161] 4799.31:  Remove the underline from the reference subclause.</w:t>
      </w:r>
    </w:p>
    <w:p w14:paraId="2C209505" w14:textId="64502C9A" w:rsidR="00684C25" w:rsidRPr="00EC32BD" w:rsidRDefault="00684C25" w:rsidP="00684C25">
      <w:r w:rsidRPr="00EC32BD">
        <w:t>[162] 4799.48:  Remove the underline from the reference subclause.</w:t>
      </w:r>
    </w:p>
    <w:p w14:paraId="6495EE5D" w14:textId="50D45368" w:rsidR="00B52893" w:rsidRPr="00EC32BD" w:rsidRDefault="00B52893" w:rsidP="00B52893">
      <w:r w:rsidRPr="00EC32BD">
        <w:t>[163] 4800.10:  Remove the underline from the reference subclause.</w:t>
      </w:r>
    </w:p>
    <w:p w14:paraId="1B11E162" w14:textId="2179A8FA" w:rsidR="00D573AB" w:rsidRPr="00EC32BD" w:rsidRDefault="005829C6" w:rsidP="002D2BC4">
      <w:r w:rsidRPr="00EC32BD">
        <w:t>[164] 4801.6:  Replace “Random Backoff function” with “Random backoff function”.</w:t>
      </w:r>
    </w:p>
    <w:p w14:paraId="4974D0C3" w14:textId="7BD21CEB" w:rsidR="005829C6" w:rsidRPr="00EC32BD" w:rsidRDefault="005829C6" w:rsidP="002D2BC4">
      <w:r w:rsidRPr="00EC32BD">
        <w:t>[165] 4801.11:  Replace “DCF Access procedure” with “DCF access procedure”.</w:t>
      </w:r>
    </w:p>
    <w:p w14:paraId="4987DA64" w14:textId="3B45C4DB" w:rsidR="005829C6" w:rsidRPr="00EC32BD" w:rsidRDefault="005829C6" w:rsidP="002D2BC4">
      <w:r w:rsidRPr="00EC32BD">
        <w:t>[166] 4801.19:  Replace “Random Backoff procedure” with “Random backoff procedure”.</w:t>
      </w:r>
    </w:p>
    <w:p w14:paraId="2EDDBB5D" w14:textId="3B1FD357" w:rsidR="003F16A8" w:rsidRPr="00EC32BD" w:rsidRDefault="003F16A8" w:rsidP="003F16A8">
      <w:r w:rsidRPr="00EC32BD">
        <w:t>[167] 4803.9:  Remove the underline from the reference subclause.</w:t>
      </w:r>
    </w:p>
    <w:p w14:paraId="1F6EB1F5" w14:textId="1A7CFC93" w:rsidR="003F16A8" w:rsidRPr="00EC32BD" w:rsidRDefault="003F16A8" w:rsidP="003F16A8">
      <w:r w:rsidRPr="00EC32BD">
        <w:t>[168] 4803.24:  Remove the underline from the reference subclause.</w:t>
      </w:r>
    </w:p>
    <w:p w14:paraId="1FF0A1B6" w14:textId="38E5E9D4" w:rsidR="00FF4E0C" w:rsidRPr="00EC32BD" w:rsidRDefault="00FF4E0C" w:rsidP="00FF4E0C">
      <w:r w:rsidRPr="00EC32BD">
        <w:t>[169] 4806.10:  Remove the underline from the reference subclause.</w:t>
      </w:r>
    </w:p>
    <w:p w14:paraId="57BA5145" w14:textId="0ADF46E1" w:rsidR="00496058" w:rsidRPr="00EC32BD" w:rsidRDefault="00496058" w:rsidP="00496058">
      <w:r w:rsidRPr="00EC32BD">
        <w:t>[170] 4806.32:  Remove the underline from the reference subclause.</w:t>
      </w:r>
    </w:p>
    <w:p w14:paraId="383E5AC8" w14:textId="29EF98DE" w:rsidR="00680E0C" w:rsidRPr="00EC32BD" w:rsidRDefault="00FA1455" w:rsidP="002D2BC4">
      <w:r w:rsidRPr="00EC32BD">
        <w:t>[171] 4810.33:  Replace “DMG BSS Peer and Service Discovery” with “DMG BSS peer and service discovery”.</w:t>
      </w:r>
    </w:p>
    <w:p w14:paraId="20ABAF59" w14:textId="4A15ACA0" w:rsidR="000F4B86" w:rsidRPr="00EC32BD" w:rsidRDefault="000F4B86" w:rsidP="002D2BC4">
      <w:r w:rsidRPr="00EC32BD">
        <w:lastRenderedPageBreak/>
        <w:t>[172] 4810.51:  Replace “DMG Coexistence with” with “DMG coexistence with”.</w:t>
      </w:r>
    </w:p>
    <w:p w14:paraId="3C8C62EC" w14:textId="1B1318E0" w:rsidR="000F4B86" w:rsidRPr="00EC32BD" w:rsidRDefault="00983A26" w:rsidP="002D2BC4">
      <w:r w:rsidRPr="00EC32BD">
        <w:t xml:space="preserve">[173] 4811.11:  Replace “Power Save Configuration” with “Power </w:t>
      </w:r>
      <w:proofErr w:type="gramStart"/>
      <w:r w:rsidRPr="00EC32BD">
        <w:t>save</w:t>
      </w:r>
      <w:proofErr w:type="gramEnd"/>
      <w:r w:rsidRPr="00EC32BD">
        <w:t xml:space="preserve"> configuration”.</w:t>
      </w:r>
    </w:p>
    <w:p w14:paraId="674830AC" w14:textId="5E9F164D" w:rsidR="00FF4E0C" w:rsidRPr="00EC32BD" w:rsidRDefault="00983A26" w:rsidP="002D2BC4">
      <w:r w:rsidRPr="00EC32BD">
        <w:t>[174] 4811</w:t>
      </w:r>
      <w:r w:rsidR="005C3DF3" w:rsidRPr="00EC32BD">
        <w:t>.24:  Replace “Information Request/Response” with “Information Request/Response frame”.</w:t>
      </w:r>
    </w:p>
    <w:p w14:paraId="4A6D4FE6" w14:textId="60591630" w:rsidR="005C3DF3" w:rsidRPr="00EC32BD" w:rsidRDefault="009B67C2" w:rsidP="009B67C2">
      <w:r w:rsidRPr="00EC32BD">
        <w:t>[175] 4813.20:  Add “The DMG low-power SC mode is obsolete. Support for this mechanism might be removed in a later revision of the standard.”</w:t>
      </w:r>
    </w:p>
    <w:p w14:paraId="54B52A05" w14:textId="34D609C1" w:rsidR="009B67C2" w:rsidRPr="00EC32BD" w:rsidRDefault="008C532C" w:rsidP="009B67C2">
      <w:r w:rsidRPr="00EC32BD">
        <w:t>[176] 4828.8:  Replace “BSS Operation” with “BSS operation”.</w:t>
      </w:r>
    </w:p>
    <w:p w14:paraId="46AE08C4" w14:textId="52F7B6C6" w:rsidR="00983A26" w:rsidRPr="00EC32BD" w:rsidRDefault="008C532C" w:rsidP="002D2BC4">
      <w:r w:rsidRPr="00EC32BD">
        <w:t>[177]</w:t>
      </w:r>
      <w:r w:rsidR="00A45465" w:rsidRPr="00EC32BD">
        <w:t xml:space="preserve"> 4835.55:  Add “FILS 3.2  </w:t>
      </w:r>
      <w:r w:rsidR="00A45465" w:rsidRPr="00EC32BD">
        <w:rPr>
          <w:i/>
        </w:rPr>
        <w:t xml:space="preserve"> Reserved</w:t>
      </w:r>
      <w:r w:rsidR="00A45465" w:rsidRPr="00EC32BD">
        <w:t>”.</w:t>
      </w:r>
    </w:p>
    <w:p w14:paraId="79F24355" w14:textId="5EED8F40" w:rsidR="00F8153D" w:rsidRPr="00EC32BD" w:rsidRDefault="00F8153D" w:rsidP="00F8153D">
      <w:r w:rsidRPr="00EC32BD">
        <w:t>[178] 4856.25:  Prepend “*” to RL1.</w:t>
      </w:r>
    </w:p>
    <w:p w14:paraId="42087BA2" w14:textId="6224D78C" w:rsidR="00F8153D" w:rsidRPr="00EC32BD" w:rsidRDefault="00F8153D" w:rsidP="00F8153D">
      <w:r w:rsidRPr="00EC32BD">
        <w:t>[179] 4856.28:  Prepend “*” to RL2.</w:t>
      </w:r>
    </w:p>
    <w:p w14:paraId="5D37D7BA" w14:textId="589EE0D9" w:rsidR="00F8153D" w:rsidRPr="00EC32BD" w:rsidRDefault="00F8153D" w:rsidP="00F8153D">
      <w:r w:rsidRPr="00EC32BD">
        <w:t>[180] 4856.28:  Replace “S1G relay Support” with “S1G relay support”.</w:t>
      </w:r>
    </w:p>
    <w:p w14:paraId="7A7E1BA6" w14:textId="25EC9FF4" w:rsidR="00A45465" w:rsidRPr="00EC32BD" w:rsidRDefault="007754E2" w:rsidP="002D2BC4">
      <w:r w:rsidRPr="00EC32BD">
        <w:t>[181] 4856.36:  Replace “(RL2)” with “RL2”.</w:t>
      </w:r>
    </w:p>
    <w:p w14:paraId="53161C4D" w14:textId="15CDE6C2" w:rsidR="00C90546" w:rsidRPr="00EC32BD" w:rsidRDefault="00C90546" w:rsidP="00C90546">
      <w:r w:rsidRPr="00EC32BD">
        <w:t>[182] 4856.40:  Prepend “*” to RL6.</w:t>
      </w:r>
    </w:p>
    <w:p w14:paraId="3FD65EA7" w14:textId="6BB4E54D" w:rsidR="0087292E" w:rsidRPr="00EC32BD" w:rsidRDefault="0087292E" w:rsidP="0087292E">
      <w:r w:rsidRPr="00EC32BD">
        <w:t>[183] 4859.42:  Prepend “*” to CDMG-P2.1.</w:t>
      </w:r>
    </w:p>
    <w:p w14:paraId="0DC6BF60" w14:textId="36ACFA38" w:rsidR="0087292E" w:rsidRPr="00EC32BD" w:rsidRDefault="0087292E" w:rsidP="0087292E">
      <w:r w:rsidRPr="00EC32BD">
        <w:t>[184] 4859.44:  Prepend “*” to CDMG-P2.2.</w:t>
      </w:r>
    </w:p>
    <w:p w14:paraId="1CA87D2D" w14:textId="40AC94E5" w:rsidR="0087292E" w:rsidRPr="00EC32BD" w:rsidRDefault="0087292E" w:rsidP="0087292E">
      <w:r w:rsidRPr="00EC32BD">
        <w:t>[185] 4859.47:  Prepend “*” to CDMG-P2.3.</w:t>
      </w:r>
    </w:p>
    <w:p w14:paraId="3D30FEB4" w14:textId="63B078A6" w:rsidR="00A05899" w:rsidRPr="00EC32BD" w:rsidRDefault="00A05899" w:rsidP="00A05899">
      <w:r w:rsidRPr="00EC32BD">
        <w:t>[186] 4861.8:  Prepend “*” to CMMG-P2.1.</w:t>
      </w:r>
    </w:p>
    <w:p w14:paraId="5CED8B98" w14:textId="29DCA17E" w:rsidR="00B71EB4" w:rsidRPr="00EC32BD" w:rsidRDefault="00B71EB4" w:rsidP="00B71EB4">
      <w:r w:rsidRPr="00EC32BD">
        <w:t>[187] 4861.12:  Prepend “*” to CMMG-P2.2.</w:t>
      </w:r>
    </w:p>
    <w:p w14:paraId="20113231" w14:textId="0AB899E5" w:rsidR="00B71EB4" w:rsidRPr="00EC32BD" w:rsidRDefault="00B71EB4" w:rsidP="00B71EB4">
      <w:r w:rsidRPr="00EC32BD">
        <w:t>[188] 4861.16:  Prepend “*” to CMMG-P2.3.</w:t>
      </w:r>
    </w:p>
    <w:p w14:paraId="03A32C71" w14:textId="684AC068" w:rsidR="007754E2" w:rsidRPr="00EC32BD" w:rsidRDefault="00C67C18" w:rsidP="002D2BC4">
      <w:r w:rsidRPr="00EC32BD">
        <w:t>[189] 4862.32:  Replace “Service Information Response” with “Service information response”.</w:t>
      </w:r>
    </w:p>
    <w:p w14:paraId="1D93144F" w14:textId="51A0B850" w:rsidR="00983A26" w:rsidRPr="00EC32BD" w:rsidRDefault="009621DD" w:rsidP="002D2BC4">
      <w:r w:rsidRPr="00EC32BD">
        <w:t>[190] 4864.56:  Replace “CFHEM6.1” with “HEM6.1”.</w:t>
      </w:r>
    </w:p>
    <w:p w14:paraId="49A20A0C" w14:textId="6F5B19AB" w:rsidR="009621DD" w:rsidRPr="00EC32BD" w:rsidRDefault="009621DD" w:rsidP="009621DD">
      <w:r w:rsidRPr="00EC32BD">
        <w:t>[191] 4864.59:  Replace “CFHEM6.2” with “HEM6.2”.</w:t>
      </w:r>
    </w:p>
    <w:p w14:paraId="4B978922" w14:textId="7B4EC3DC" w:rsidR="00E83A4C" w:rsidRPr="00EC32BD" w:rsidRDefault="00E83A4C" w:rsidP="00E83A4C">
      <w:r w:rsidRPr="00EC32BD">
        <w:t>[192] 4865.64:  Prepend “*” to HEM11.1.</w:t>
      </w:r>
    </w:p>
    <w:p w14:paraId="120E9D4A" w14:textId="5467F4B2" w:rsidR="00E82466" w:rsidRPr="00EC32BD" w:rsidRDefault="00E82466" w:rsidP="00E82466">
      <w:r w:rsidRPr="00EC32BD">
        <w:t>[193] 4866.12:  Prepend “*” to HEM11.2.</w:t>
      </w:r>
    </w:p>
    <w:p w14:paraId="512B3D29" w14:textId="24F0C344" w:rsidR="00732417" w:rsidRPr="00EC32BD" w:rsidRDefault="00732417" w:rsidP="00E82466">
      <w:r w:rsidRPr="00EC32BD">
        <w:t>[194] 4877.6 and 4877.12:  There are two “EDMG-M8.3” with different protocol capabilities.  Please fix it.</w:t>
      </w:r>
    </w:p>
    <w:p w14:paraId="6E381837" w14:textId="5951844C" w:rsidR="00807FB1" w:rsidRPr="00EC32BD" w:rsidRDefault="00807FB1" w:rsidP="00E82466">
      <w:r w:rsidRPr="00EC32BD">
        <w:t xml:space="preserve">[195] 4881.16:  Replace “Support of one spatial </w:t>
      </w:r>
      <w:proofErr w:type="gramStart"/>
      <w:r w:rsidRPr="00EC32BD">
        <w:t>streams</w:t>
      </w:r>
      <w:proofErr w:type="gramEnd"/>
      <w:r w:rsidRPr="00EC32BD">
        <w:t>” with “Support of one spatial stream”.</w:t>
      </w:r>
    </w:p>
    <w:p w14:paraId="7309C82E" w14:textId="2721D790" w:rsidR="00807FB1" w:rsidRPr="00EC32BD" w:rsidRDefault="00572F43" w:rsidP="00E82466">
      <w:r w:rsidRPr="00EC32BD">
        <w:t>[196] 4883.8:  Replace “?” with \pi.</w:t>
      </w:r>
    </w:p>
    <w:p w14:paraId="0D5D33B8" w14:textId="58D21CD5" w:rsidR="00572F43" w:rsidRPr="00EC32BD" w:rsidRDefault="00572F43" w:rsidP="00572F43">
      <w:r w:rsidRPr="00EC32BD">
        <w:t>[197] 4883.11:  Replace “?” with \pi.</w:t>
      </w:r>
    </w:p>
    <w:p w14:paraId="5C403AEF" w14:textId="0ABC3F3E" w:rsidR="00572F43" w:rsidRPr="00EC32BD" w:rsidRDefault="00EE180B" w:rsidP="00E82466">
      <w:r w:rsidRPr="00EC32BD">
        <w:t>[198] 4890.6:  Replace “WUR PN Update procedure” with “WUR PN update procedure”.</w:t>
      </w:r>
    </w:p>
    <w:p w14:paraId="5D7FCBDA" w14:textId="6C51965C" w:rsidR="00EE180B" w:rsidRDefault="00EE180B" w:rsidP="00E82466">
      <w:r w:rsidRPr="00EC32BD">
        <w:t>[199] 4890</w:t>
      </w:r>
      <w:r w:rsidR="00F03D5E" w:rsidRPr="00EC32BD">
        <w:t>.18:  Replace “WUR Discovery” with “WUR discovery”.</w:t>
      </w:r>
    </w:p>
    <w:p w14:paraId="470029D4" w14:textId="37E0EBE0" w:rsidR="00F03D5E" w:rsidRDefault="00F03D5E" w:rsidP="00E82466"/>
    <w:p w14:paraId="4AC5C69E" w14:textId="77777777" w:rsidR="00EC32BD" w:rsidRDefault="00EC32BD"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lastRenderedPageBreak/>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477FAFE8" w:rsidR="00290F9B" w:rsidRDefault="00E132B9" w:rsidP="00290F9B">
            <w:pPr>
              <w:rPr>
                <w:rFonts w:ascii="Arial" w:hAnsi="Arial" w:cs="Arial"/>
                <w:sz w:val="20"/>
              </w:rPr>
            </w:pPr>
            <w:r>
              <w:rPr>
                <w:rFonts w:ascii="Arial" w:hAnsi="Arial" w:cs="Arial"/>
                <w:sz w:val="20"/>
              </w:rPr>
              <w:t>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lastRenderedPageBreak/>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06177DD"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5640124E" w14:textId="77777777" w:rsidR="00EC32BD" w:rsidRDefault="00EC32BD" w:rsidP="00A9751C"/>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6DE4CF9B" w:rsidR="008F2F3D" w:rsidRPr="00C031D9" w:rsidRDefault="008F2F3D" w:rsidP="008F2F3D">
      <w:r>
        <w:t>[</w:t>
      </w:r>
      <w:proofErr w:type="spellStart"/>
      <w:r>
        <w:t>TGme</w:t>
      </w:r>
      <w:proofErr w:type="spellEnd"/>
      <w:r>
        <w:t xml:space="preserve"> Editor]</w:t>
      </w:r>
      <w:r w:rsidR="00F6431D">
        <w:t xml:space="preserve"> </w:t>
      </w:r>
      <w:r>
        <w:t xml:space="preserve">Accept all suggested changes in this section. </w:t>
      </w:r>
    </w:p>
    <w:p w14:paraId="6B90A35A" w14:textId="462C13BD" w:rsidR="00A0043C" w:rsidRDefault="00A0043C" w:rsidP="00A9751C"/>
    <w:p w14:paraId="23FE0112" w14:textId="27F32B5E" w:rsidR="00970F4D" w:rsidRPr="00A9751C" w:rsidRDefault="00970F4D" w:rsidP="00A9751C">
      <w:r>
        <w:t>[Robert</w:t>
      </w:r>
      <w:proofErr w:type="gramStart"/>
      <w:r>
        <w:t>: ]</w:t>
      </w:r>
      <w:proofErr w:type="gramEnd"/>
    </w:p>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025CA887" w14:textId="77777777" w:rsidR="00870F97" w:rsidRDefault="00870F97" w:rsidP="00870F97">
      <w:pPr>
        <w:pStyle w:val="Heading3"/>
      </w:pPr>
      <w:r>
        <w:t>Detailed proposed changes</w:t>
      </w:r>
    </w:p>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40943C17" w14:textId="77777777" w:rsidR="00407400" w:rsidRDefault="00407400" w:rsidP="00407400">
      <w:pPr>
        <w:rPr>
          <w:lang w:eastAsia="ko-KR"/>
        </w:rPr>
      </w:pPr>
      <w:r w:rsidRPr="00B3417C">
        <w:rPr>
          <w:lang w:eastAsia="ko-KR"/>
        </w:rPr>
        <w:t>The compiled MIB is embedded as the following.</w:t>
      </w:r>
    </w:p>
    <w:p w14:paraId="11D21D84" w14:textId="77777777" w:rsidR="00407400" w:rsidRDefault="00407400" w:rsidP="00407400">
      <w:pPr>
        <w:pStyle w:val="ListParagraph"/>
        <w:numPr>
          <w:ilvl w:val="0"/>
          <w:numId w:val="42"/>
        </w:numPr>
        <w:contextualSpacing/>
        <w:rPr>
          <w:lang w:eastAsia="ko-KR"/>
        </w:rPr>
      </w:pPr>
      <w:r>
        <w:rPr>
          <w:lang w:eastAsia="ko-KR"/>
        </w:rPr>
        <w:t xml:space="preserve">Original MIB file </w:t>
      </w:r>
    </w:p>
    <w:p w14:paraId="44C31EA7" w14:textId="77777777" w:rsidR="00407400" w:rsidRDefault="00407400" w:rsidP="00407400"/>
    <w:p w14:paraId="0C7BD45F" w14:textId="77777777" w:rsidR="00407400" w:rsidRDefault="00407400" w:rsidP="00407400">
      <w:r>
        <w:object w:dxaOrig="1508" w:dyaOrig="983" w14:anchorId="46D8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Package" ShapeID="_x0000_i1025" DrawAspect="Icon" ObjectID="_1750512848" r:id="rId14"/>
        </w:object>
      </w:r>
    </w:p>
    <w:p w14:paraId="058F02FA" w14:textId="77777777" w:rsidR="00407400" w:rsidRDefault="00407400" w:rsidP="00407400">
      <w:pPr>
        <w:pStyle w:val="ListParagraph"/>
        <w:numPr>
          <w:ilvl w:val="0"/>
          <w:numId w:val="42"/>
        </w:numPr>
        <w:contextualSpacing/>
        <w:rPr>
          <w:lang w:eastAsia="ko-KR"/>
        </w:rPr>
      </w:pPr>
      <w:r>
        <w:rPr>
          <w:lang w:eastAsia="ko-KR"/>
        </w:rPr>
        <w:t>Fixed MIB file after compilation</w:t>
      </w:r>
    </w:p>
    <w:p w14:paraId="5A71E8B7" w14:textId="77777777" w:rsidR="00407400" w:rsidRDefault="00407400" w:rsidP="00407400"/>
    <w:p w14:paraId="5EF9A1A6" w14:textId="77777777" w:rsidR="00407400" w:rsidRDefault="00407400" w:rsidP="00407400">
      <w:r>
        <w:object w:dxaOrig="1508" w:dyaOrig="983" w14:anchorId="6FDCCBCD">
          <v:shape id="_x0000_i1026" type="#_x0000_t75" style="width:75.6pt;height:49.2pt" o:ole="">
            <v:imagedata r:id="rId15" o:title=""/>
          </v:shape>
          <o:OLEObject Type="Embed" ProgID="Package" ShapeID="_x0000_i1026" DrawAspect="Icon" ObjectID="_1750512849" r:id="rId16"/>
        </w:object>
      </w:r>
    </w:p>
    <w:p w14:paraId="29BB5019" w14:textId="77777777" w:rsidR="00407400" w:rsidRDefault="00407400" w:rsidP="00407400"/>
    <w:p w14:paraId="11FC8D0D" w14:textId="77777777" w:rsidR="00407400" w:rsidRDefault="00407400" w:rsidP="00407400">
      <w:r>
        <w:t xml:space="preserve">The following two error will be fixed by updating the revision dates before the publication. </w:t>
      </w:r>
    </w:p>
    <w:p w14:paraId="20BBE785" w14:textId="77777777" w:rsidR="00407400" w:rsidRDefault="00407400" w:rsidP="00407400">
      <w:pPr>
        <w:pStyle w:val="ListParagraph"/>
        <w:numPr>
          <w:ilvl w:val="0"/>
          <w:numId w:val="42"/>
        </w:numPr>
        <w:contextualSpacing/>
      </w:pPr>
      <w:r>
        <w:t>mibs/IEEE802dot11-MIB:34: [3] {revision-after-update} revision date after last update</w:t>
      </w:r>
    </w:p>
    <w:p w14:paraId="63AD8AD8" w14:textId="77777777" w:rsidR="00407400" w:rsidRDefault="00407400" w:rsidP="00407400">
      <w:pPr>
        <w:pStyle w:val="ListParagraph"/>
        <w:numPr>
          <w:ilvl w:val="0"/>
          <w:numId w:val="42"/>
        </w:numPr>
        <w:contextualSpacing/>
      </w:pPr>
      <w:r>
        <w:t>mibs/IEEE802dot11-MIB:52: [3] {revision-missing} revision for last update is missing</w:t>
      </w:r>
    </w:p>
    <w:p w14:paraId="13B45CC9" w14:textId="77777777" w:rsidR="00407400" w:rsidRDefault="00407400" w:rsidP="00407400"/>
    <w:p w14:paraId="0958361B" w14:textId="77777777" w:rsidR="00407400" w:rsidRDefault="00407400" w:rsidP="00407400">
      <w:proofErr w:type="spellStart"/>
      <w:r w:rsidRPr="00165B23">
        <w:rPr>
          <w:highlight w:val="yellow"/>
        </w:rPr>
        <w:t>TGme</w:t>
      </w:r>
      <w:proofErr w:type="spellEnd"/>
      <w:r w:rsidRPr="00165B23">
        <w:rPr>
          <w:highlight w:val="yellow"/>
        </w:rPr>
        <w:t xml:space="preserve"> editor refers the following diff file to fix the MIB errors.</w:t>
      </w:r>
      <w:r>
        <w:t xml:space="preserve"> </w:t>
      </w:r>
    </w:p>
    <w:p w14:paraId="18206E4C" w14:textId="77777777" w:rsidR="00407400" w:rsidRDefault="00407400" w:rsidP="00407400">
      <w:r>
        <w:object w:dxaOrig="1508" w:dyaOrig="983" w14:anchorId="04835D28">
          <v:shape id="_x0000_i1027" type="#_x0000_t75" style="width:75.6pt;height:49.2pt" o:ole="">
            <v:imagedata r:id="rId17" o:title=""/>
          </v:shape>
          <o:OLEObject Type="Embed" ProgID="Package" ShapeID="_x0000_i1027" DrawAspect="Icon" ObjectID="_1750512850" r:id="rId18"/>
        </w:object>
      </w:r>
    </w:p>
    <w:p w14:paraId="2F340DD6" w14:textId="77777777" w:rsidR="00407400" w:rsidRDefault="00407400" w:rsidP="00407400"/>
    <w:p w14:paraId="7B03955E" w14:textId="77777777" w:rsidR="00407400" w:rsidRDefault="00407400" w:rsidP="00407400">
      <w:r w:rsidRPr="00165B23">
        <w:rPr>
          <w:highlight w:val="yellow"/>
        </w:rPr>
        <w:t>NOTE- I removed the followings.</w:t>
      </w:r>
      <w:r>
        <w:t xml:space="preserve"> </w:t>
      </w:r>
    </w:p>
    <w:p w14:paraId="5386340E" w14:textId="77777777" w:rsidR="00407400" w:rsidRDefault="00407400" w:rsidP="00407400">
      <w:r>
        <w:t xml:space="preserve">&lt; </w:t>
      </w:r>
      <w:r>
        <w:tab/>
      </w:r>
      <w:r>
        <w:tab/>
        <w:t>dot11CountersGroup6Subset1(12),</w:t>
      </w:r>
    </w:p>
    <w:p w14:paraId="5E87CF22" w14:textId="77777777" w:rsidR="00407400" w:rsidRDefault="00407400" w:rsidP="00407400">
      <w:r>
        <w:lastRenderedPageBreak/>
        <w:t xml:space="preserve">&lt; </w:t>
      </w:r>
      <w:r>
        <w:tab/>
      </w:r>
      <w:r>
        <w:tab/>
        <w:t>dot11CountersGroup6Subset1(13),</w:t>
      </w:r>
    </w:p>
    <w:p w14:paraId="1B222139" w14:textId="77777777" w:rsidR="00407400" w:rsidRDefault="00407400" w:rsidP="00407400">
      <w:r>
        <w:t xml:space="preserve">&lt; </w:t>
      </w:r>
      <w:r>
        <w:tab/>
      </w:r>
      <w:r>
        <w:tab/>
        <w:t>dot11CountersGroup6Subset1(14),</w:t>
      </w:r>
    </w:p>
    <w:p w14:paraId="07614155" w14:textId="77777777" w:rsidR="00407400" w:rsidRDefault="00407400" w:rsidP="00407400">
      <w:r>
        <w:t xml:space="preserve">&lt; </w:t>
      </w:r>
      <w:r>
        <w:tab/>
      </w:r>
      <w:r>
        <w:tab/>
        <w:t>dot11CountersGroup6Subset1(15),</w:t>
      </w:r>
    </w:p>
    <w:p w14:paraId="39140124" w14:textId="77777777" w:rsidR="00407400" w:rsidRDefault="00407400" w:rsidP="00407400"/>
    <w:p w14:paraId="4F7CA2CF" w14:textId="77777777" w:rsidR="00407400" w:rsidRDefault="00407400" w:rsidP="00407400">
      <w:r>
        <w:t xml:space="preserve">&lt; </w:t>
      </w:r>
      <w:r>
        <w:tab/>
      </w:r>
      <w:r>
        <w:tab/>
        <w:t>dot11CountersGroup6Subset1(12),</w:t>
      </w:r>
    </w:p>
    <w:p w14:paraId="7B7ECC24" w14:textId="77777777" w:rsidR="00407400" w:rsidRDefault="00407400" w:rsidP="00407400">
      <w:r>
        <w:t xml:space="preserve">&lt; </w:t>
      </w:r>
      <w:r>
        <w:tab/>
      </w:r>
      <w:r>
        <w:tab/>
        <w:t>dot11CountersGroup6Subset1(13),</w:t>
      </w:r>
    </w:p>
    <w:p w14:paraId="4A6A8554" w14:textId="77777777" w:rsidR="00407400" w:rsidRDefault="00407400" w:rsidP="00407400">
      <w:r>
        <w:t xml:space="preserve">&lt; </w:t>
      </w:r>
      <w:r>
        <w:tab/>
      </w:r>
      <w:r>
        <w:tab/>
        <w:t>dot11CountersGroup6Subset1(14),</w:t>
      </w:r>
    </w:p>
    <w:p w14:paraId="7389B1EB" w14:textId="77777777" w:rsidR="00407400" w:rsidRDefault="00407400" w:rsidP="00407400">
      <w:r>
        <w:t xml:space="preserve">&lt; </w:t>
      </w:r>
      <w:r>
        <w:tab/>
      </w:r>
      <w:r>
        <w:tab/>
        <w:t>dot11CountersGroup6Subset1(15),</w:t>
      </w:r>
    </w:p>
    <w:p w14:paraId="047B6C60" w14:textId="77777777" w:rsidR="00407400" w:rsidRDefault="00407400" w:rsidP="00407400"/>
    <w:p w14:paraId="0DF956DA" w14:textId="77777777" w:rsidR="00407400" w:rsidRDefault="00407400" w:rsidP="00407400">
      <w:r w:rsidRPr="00165B23">
        <w:rPr>
          <w:highlight w:val="yellow"/>
        </w:rPr>
        <w:t xml:space="preserve">Please refer the below error messages. Because I </w:t>
      </w:r>
      <w:r>
        <w:rPr>
          <w:highlight w:val="yellow"/>
        </w:rPr>
        <w:t xml:space="preserve">couldn’t </w:t>
      </w:r>
      <w:r w:rsidRPr="00165B23">
        <w:rPr>
          <w:highlight w:val="yellow"/>
        </w:rPr>
        <w:t xml:space="preserve">understand the intention of the </w:t>
      </w:r>
      <w:r>
        <w:rPr>
          <w:highlight w:val="yellow"/>
        </w:rPr>
        <w:t xml:space="preserve">above </w:t>
      </w:r>
      <w:r w:rsidRPr="00165B23">
        <w:rPr>
          <w:highlight w:val="yellow"/>
        </w:rPr>
        <w:t>definitions, I removed those redundant definitions for compiling.</w:t>
      </w:r>
      <w:r>
        <w:t xml:space="preserve"> </w:t>
      </w:r>
    </w:p>
    <w:p w14:paraId="3185909C" w14:textId="77777777" w:rsidR="00407400" w:rsidRDefault="00407400" w:rsidP="00407400"/>
    <w:p w14:paraId="6C0978FA"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272F38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EF53A50"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30CAF8B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75B43C4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1E7A3C2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635AE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A2E72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2C8A5C1F"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FCD76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E0182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580A8D0B"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7D1BDC8"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346A72E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72C5F7AE"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FBBB52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4F21D5E9"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0183AB0"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1C90531F"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7D1964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E7F8067" w14:textId="77777777" w:rsidR="00407400" w:rsidRDefault="00407400" w:rsidP="00407400"/>
    <w:p w14:paraId="02E810B4" w14:textId="130DFE3A" w:rsidR="00595408" w:rsidRDefault="006E5321" w:rsidP="006E5321">
      <w:r>
        <w:lastRenderedPageBreak/>
        <w:t xml:space="preserve">[Robert: The problem is that the name “dot11CountersGroup6Subset1” is being used for different values. The name needs to be unique. The CID tag in the draft references a comment that does not seem to pertain to the change. We </w:t>
      </w:r>
      <w:r w:rsidR="00751945">
        <w:t>might</w:t>
      </w:r>
      <w:r>
        <w:t xml:space="preserve"> have to track down the origin of this change to determine the intent.</w:t>
      </w:r>
      <w:r w:rsidR="00751945">
        <w:t xml:space="preserve"> The </w:t>
      </w:r>
      <w:proofErr w:type="spellStart"/>
      <w:r w:rsidR="00751945">
        <w:t>enum</w:t>
      </w:r>
      <w:proofErr w:type="spellEnd"/>
      <w:r w:rsidR="00751945">
        <w:t xml:space="preserve"> name does not seem to be referenced in the draft but the numbers (11, 12, …, 15) are referenced. The most appropriate change seems to be to </w:t>
      </w:r>
      <w:proofErr w:type="spellStart"/>
      <w:r w:rsidR="00751945">
        <w:t>to</w:t>
      </w:r>
      <w:proofErr w:type="spellEnd"/>
      <w:r w:rsidR="00751945">
        <w:t xml:space="preserve"> make the names unique. I would suggest: dot11CountersGroup6Subset1, dot11CountersGroup6Subset2, etc.</w:t>
      </w:r>
      <w:r>
        <w:t>]</w:t>
      </w: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lastRenderedPageBreak/>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 id="_x0000_i1028" type="#_x0000_t75" style="width:75.6pt;height:49.2pt" o:ole="">
                  <v:imagedata r:id="rId19" o:title=""/>
                </v:shape>
                <o:OLEObject Type="Embed" ProgID="FoxitReader.Document" ShapeID="_x0000_i1028" DrawAspect="Icon" ObjectID="_1750512851" r:id="rId20"/>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67180C" w:rsidRDefault="00563EFC" w:rsidP="00563EFC">
      <w:pPr>
        <w:rPr>
          <w:szCs w:val="22"/>
        </w:rPr>
      </w:pPr>
      <w:r w:rsidRPr="0067180C">
        <w:rPr>
          <w:szCs w:val="22"/>
          <w:highlight w:val="green"/>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67180C" w:rsidRDefault="00CA3C4B" w:rsidP="00563EFC">
      <w:pPr>
        <w:rPr>
          <w:szCs w:val="22"/>
        </w:rPr>
      </w:pPr>
    </w:p>
    <w:p w14:paraId="5A166825" w14:textId="77777777" w:rsidR="00CA3C4B" w:rsidRPr="0067180C" w:rsidRDefault="00CA3C4B" w:rsidP="00CA3C4B">
      <w:pPr>
        <w:rPr>
          <w:szCs w:val="22"/>
        </w:rPr>
      </w:pPr>
      <w:r w:rsidRPr="0067180C">
        <w:rPr>
          <w:szCs w:val="22"/>
          <w:highlight w:val="green"/>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11FF3506" w14:textId="77777777" w:rsidR="00A4106B" w:rsidRPr="0067180C" w:rsidRDefault="00A4106B" w:rsidP="00CA3C4B">
      <w:pPr>
        <w:rPr>
          <w:szCs w:val="22"/>
        </w:rPr>
      </w:pPr>
    </w:p>
    <w:p w14:paraId="06A1F14A" w14:textId="40850793" w:rsidR="00A4106B" w:rsidRPr="006A72AD" w:rsidRDefault="00A4106B" w:rsidP="00CA3C4B">
      <w:pPr>
        <w:rPr>
          <w:szCs w:val="22"/>
          <w:highlight w:val="green"/>
        </w:rPr>
      </w:pPr>
      <w:r w:rsidRPr="006A72AD">
        <w:rPr>
          <w:szCs w:val="22"/>
          <w:highlight w:val="green"/>
        </w:rPr>
        <w:t>[03] 175.38:  Replace “IEEE Std 802.1AS™” with “IEEE Std 802.1AS™-2020”.</w:t>
      </w:r>
    </w:p>
    <w:p w14:paraId="59C6CA90" w14:textId="77777777" w:rsidR="00116E83" w:rsidRPr="006A72AD" w:rsidRDefault="00116E83" w:rsidP="00CA3C4B">
      <w:pPr>
        <w:rPr>
          <w:szCs w:val="22"/>
          <w:highlight w:val="green"/>
        </w:rPr>
      </w:pPr>
    </w:p>
    <w:p w14:paraId="3A55DA0B" w14:textId="6092F56F" w:rsidR="00116E83" w:rsidRPr="006A72AD" w:rsidRDefault="00116E83" w:rsidP="00116E83">
      <w:pPr>
        <w:rPr>
          <w:szCs w:val="22"/>
          <w:highlight w:val="green"/>
        </w:rPr>
      </w:pPr>
      <w:r w:rsidRPr="006A72AD">
        <w:rPr>
          <w:szCs w:val="22"/>
          <w:highlight w:val="green"/>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6A72AD" w:rsidRDefault="00A4106B" w:rsidP="00CA3C4B">
      <w:pPr>
        <w:rPr>
          <w:szCs w:val="22"/>
          <w:highlight w:val="green"/>
        </w:rPr>
      </w:pPr>
    </w:p>
    <w:p w14:paraId="0FB1CDC9" w14:textId="3C01409B" w:rsidR="00C529CA" w:rsidRDefault="008414F1" w:rsidP="00C529CA">
      <w:pPr>
        <w:rPr>
          <w:rFonts w:ascii="TimesNewRomanPSMT" w:eastAsia="TimesNewRomanPSMT" w:hAnsi="TimesNewRomanPSMT"/>
          <w:color w:val="000000"/>
          <w:szCs w:val="22"/>
          <w:lang w:val="en-US"/>
        </w:rPr>
      </w:pPr>
      <w:r w:rsidRPr="006A72AD">
        <w:rPr>
          <w:szCs w:val="22"/>
          <w:highlight w:val="green"/>
        </w:rPr>
        <w:t>[0</w:t>
      </w:r>
      <w:r w:rsidR="00116E83" w:rsidRPr="006A72AD">
        <w:rPr>
          <w:szCs w:val="22"/>
          <w:highlight w:val="green"/>
        </w:rPr>
        <w:t>5</w:t>
      </w:r>
      <w:r w:rsidRPr="006A72AD">
        <w:rPr>
          <w:szCs w:val="22"/>
          <w:highlight w:val="green"/>
        </w:rPr>
        <w:t>]</w:t>
      </w:r>
      <w:r w:rsidR="00FD50E4" w:rsidRPr="006A72AD">
        <w:rPr>
          <w:szCs w:val="22"/>
          <w:highlight w:val="green"/>
        </w:rPr>
        <w:t xml:space="preserve"> </w:t>
      </w:r>
      <w:r w:rsidR="006B6E27" w:rsidRPr="006A72AD">
        <w:rPr>
          <w:szCs w:val="22"/>
          <w:highlight w:val="green"/>
        </w:rPr>
        <w:t xml:space="preserve">176.39: </w:t>
      </w:r>
      <w:r w:rsidR="00FD50E4" w:rsidRPr="006A72AD">
        <w:rPr>
          <w:szCs w:val="22"/>
          <w:highlight w:val="green"/>
        </w:rPr>
        <w:t xml:space="preserve"> </w:t>
      </w:r>
      <w:r w:rsidR="00D21381" w:rsidRPr="006A72AD">
        <w:rPr>
          <w:szCs w:val="22"/>
          <w:highlight w:val="green"/>
        </w:rPr>
        <w:t>re “</w:t>
      </w:r>
      <w:r w:rsidR="00D21381" w:rsidRPr="006A72AD">
        <w:rPr>
          <w:rFonts w:ascii="TimesNewRomanPSMT" w:eastAsia="TimesNewRomanPSMT" w:hAnsi="TimesNewRomanPSMT"/>
          <w:color w:val="000000"/>
          <w:szCs w:val="22"/>
          <w:highlight w:val="green"/>
          <w:lang w:val="en-US"/>
        </w:rPr>
        <w:t xml:space="preserve">References listed in Clause 2 shall be cited in normative text within the document”, </w:t>
      </w:r>
      <w:r w:rsidR="006B6E27" w:rsidRPr="006A72AD">
        <w:rPr>
          <w:rFonts w:ascii="TimesNewRomanPSMT" w:eastAsia="TimesNewRomanPSMT" w:hAnsi="TimesNewRomanPSMT"/>
          <w:color w:val="000000"/>
          <w:szCs w:val="22"/>
          <w:highlight w:val="green"/>
          <w:lang w:val="en-US"/>
        </w:rPr>
        <w:t>“IETF RFC 3490, Internationalizing Domain Names in Applications (IDNA), Mar. 2003” is not cited in normative te</w:t>
      </w:r>
      <w:r w:rsidR="00D8646A" w:rsidRPr="006A72AD">
        <w:rPr>
          <w:rFonts w:ascii="TimesNewRomanPSMT" w:eastAsia="TimesNewRomanPSMT" w:hAnsi="TimesNewRomanPSMT"/>
          <w:color w:val="000000"/>
          <w:szCs w:val="22"/>
          <w:highlight w:val="green"/>
          <w:lang w:val="en-US"/>
        </w:rPr>
        <w:t>xt.  It is cited in a NOTE only at 2763.8.</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C64937">
        <w:rPr>
          <w:rFonts w:ascii="TimesNewRomanPSMT" w:eastAsia="TimesNewRomanPSMT" w:hAnsi="TimesNewRomanPSMT"/>
          <w:color w:val="000000"/>
          <w:szCs w:val="22"/>
          <w:highlight w:val="green"/>
          <w:lang w:val="en-US"/>
        </w:rPr>
        <w:t>[06]</w:t>
      </w:r>
      <w:r w:rsidR="00F313A7" w:rsidRPr="00C64937">
        <w:rPr>
          <w:rFonts w:ascii="TimesNewRomanPSMT" w:eastAsia="TimesNewRomanPSMT" w:hAnsi="TimesNewRomanPSMT"/>
          <w:color w:val="000000"/>
          <w:szCs w:val="22"/>
          <w:highlight w:val="green"/>
          <w:lang w:val="en-US"/>
        </w:rPr>
        <w:t xml:space="preserve"> </w:t>
      </w:r>
      <w:r w:rsidR="00A97A70" w:rsidRPr="00C64937">
        <w:rPr>
          <w:rFonts w:ascii="TimesNewRomanPSMT" w:eastAsia="TimesNewRomanPSMT" w:hAnsi="TimesNewRomanPSMT"/>
          <w:color w:val="000000"/>
          <w:szCs w:val="22"/>
          <w:highlight w:val="green"/>
          <w:lang w:val="en-US"/>
        </w:rPr>
        <w:t>341.61:  Replace “described in ISO/IEC Technical Report 11802-5:1997” with “described in ISO/IEC 11802-5:1997”.</w:t>
      </w:r>
    </w:p>
    <w:p w14:paraId="34462808" w14:textId="77777777" w:rsidR="0067180C" w:rsidRPr="0067180C" w:rsidRDefault="0067180C" w:rsidP="00C529CA">
      <w:pPr>
        <w:rPr>
          <w:rFonts w:ascii="TimesNewRomanPSMT" w:eastAsia="TimesNewRomanPSMT" w:hAnsi="TimesNewRomanPSMT"/>
          <w:color w:val="000000"/>
          <w:szCs w:val="22"/>
          <w:lang w:val="en-US"/>
        </w:rPr>
      </w:pPr>
    </w:p>
    <w:p w14:paraId="027A8D55" w14:textId="77777777" w:rsidR="0067180C" w:rsidRDefault="0067180C" w:rsidP="00C529CA">
      <w:pPr>
        <w:rPr>
          <w:sz w:val="24"/>
          <w:szCs w:val="24"/>
        </w:rPr>
      </w:pPr>
    </w:p>
    <w:p w14:paraId="328CA1DD" w14:textId="77777777" w:rsidR="0067180C" w:rsidRPr="00D21381" w:rsidRDefault="0067180C" w:rsidP="00C529CA">
      <w:pPr>
        <w:rPr>
          <w:sz w:val="24"/>
          <w:szCs w:val="24"/>
        </w:rPr>
      </w:pPr>
    </w:p>
    <w:p w14:paraId="33305A68" w14:textId="77777777" w:rsidR="000A0AEC" w:rsidRDefault="000A0AEC" w:rsidP="00DE0D98"/>
    <w:sectPr w:rsidR="000A0AE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11D7" w14:textId="77777777" w:rsidR="007417DE" w:rsidRDefault="007417DE">
      <w:r>
        <w:separator/>
      </w:r>
    </w:p>
  </w:endnote>
  <w:endnote w:type="continuationSeparator" w:id="0">
    <w:p w14:paraId="351E1A39" w14:textId="77777777" w:rsidR="007417DE" w:rsidRDefault="0074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9D0B" w14:textId="77777777" w:rsidR="007417DE" w:rsidRDefault="007417DE">
      <w:r>
        <w:separator/>
      </w:r>
    </w:p>
  </w:footnote>
  <w:footnote w:type="continuationSeparator" w:id="0">
    <w:p w14:paraId="63D6CF09" w14:textId="77777777" w:rsidR="007417DE" w:rsidRDefault="0074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63F3786" w:rsidR="006950C9" w:rsidRDefault="00A95DB7">
    <w:pPr>
      <w:pStyle w:val="Header"/>
      <w:tabs>
        <w:tab w:val="clear" w:pos="6480"/>
        <w:tab w:val="center" w:pos="4680"/>
        <w:tab w:val="right" w:pos="9360"/>
      </w:tabs>
    </w:pPr>
    <w:r>
      <w:t>July</w:t>
    </w:r>
    <w:r w:rsidR="006950C9">
      <w:t xml:space="preserve"> 2023</w:t>
    </w:r>
    <w:r w:rsidR="006950C9">
      <w:tab/>
    </w:r>
    <w:r w:rsidR="006950C9">
      <w:tab/>
    </w:r>
    <w:fldSimple w:instr=" TITLE  \* MERGEFORMAT ">
      <w:r w:rsidR="006950C9">
        <w:t>doc.: IEEE 802.11-23/0717r</w:t>
      </w:r>
    </w:fldSimple>
    <w:r w:rsidR="008D3602">
      <w:t>1</w:t>
    </w:r>
    <w:r w:rsidR="006B623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B03C5A"/>
    <w:multiLevelType w:val="hybridMultilevel"/>
    <w:tmpl w:val="BC94FB10"/>
    <w:lvl w:ilvl="0" w:tplc="BC1E746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1"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5"/>
  </w:num>
  <w:num w:numId="3" w16cid:durableId="168176903">
    <w:abstractNumId w:val="22"/>
  </w:num>
  <w:num w:numId="4" w16cid:durableId="1595239062">
    <w:abstractNumId w:val="9"/>
  </w:num>
  <w:num w:numId="5" w16cid:durableId="1204361943">
    <w:abstractNumId w:val="21"/>
  </w:num>
  <w:num w:numId="6" w16cid:durableId="294412885">
    <w:abstractNumId w:val="23"/>
  </w:num>
  <w:num w:numId="7" w16cid:durableId="852913516">
    <w:abstractNumId w:val="30"/>
  </w:num>
  <w:num w:numId="8" w16cid:durableId="745759017">
    <w:abstractNumId w:val="16"/>
  </w:num>
  <w:num w:numId="9" w16cid:durableId="123279637">
    <w:abstractNumId w:val="26"/>
  </w:num>
  <w:num w:numId="10" w16cid:durableId="1622299181">
    <w:abstractNumId w:val="27"/>
  </w:num>
  <w:num w:numId="11" w16cid:durableId="273366485">
    <w:abstractNumId w:val="4"/>
  </w:num>
  <w:num w:numId="12" w16cid:durableId="1427774814">
    <w:abstractNumId w:val="32"/>
  </w:num>
  <w:num w:numId="13" w16cid:durableId="634456159">
    <w:abstractNumId w:val="29"/>
  </w:num>
  <w:num w:numId="14" w16cid:durableId="1520314760">
    <w:abstractNumId w:val="3"/>
  </w:num>
  <w:num w:numId="15" w16cid:durableId="1682855858">
    <w:abstractNumId w:val="34"/>
  </w:num>
  <w:num w:numId="16" w16cid:durableId="399520748">
    <w:abstractNumId w:val="33"/>
  </w:num>
  <w:num w:numId="17" w16cid:durableId="1869029458">
    <w:abstractNumId w:val="36"/>
  </w:num>
  <w:num w:numId="18" w16cid:durableId="1368948693">
    <w:abstractNumId w:val="37"/>
  </w:num>
  <w:num w:numId="19" w16cid:durableId="1803814486">
    <w:abstractNumId w:val="11"/>
  </w:num>
  <w:num w:numId="20" w16cid:durableId="987632432">
    <w:abstractNumId w:val="19"/>
  </w:num>
  <w:num w:numId="21" w16cid:durableId="1164399703">
    <w:abstractNumId w:val="31"/>
  </w:num>
  <w:num w:numId="22" w16cid:durableId="2048093508">
    <w:abstractNumId w:val="20"/>
  </w:num>
  <w:num w:numId="23" w16cid:durableId="194780515">
    <w:abstractNumId w:val="14"/>
  </w:num>
  <w:num w:numId="24" w16cid:durableId="207694196">
    <w:abstractNumId w:val="5"/>
  </w:num>
  <w:num w:numId="25" w16cid:durableId="1093666687">
    <w:abstractNumId w:val="24"/>
  </w:num>
  <w:num w:numId="26" w16cid:durableId="1747069538">
    <w:abstractNumId w:val="18"/>
  </w:num>
  <w:num w:numId="27" w16cid:durableId="1774981122">
    <w:abstractNumId w:val="28"/>
  </w:num>
  <w:num w:numId="28" w16cid:durableId="1480419675">
    <w:abstractNumId w:val="13"/>
  </w:num>
  <w:num w:numId="29" w16cid:durableId="1808163490">
    <w:abstractNumId w:val="10"/>
  </w:num>
  <w:num w:numId="30" w16cid:durableId="1057633224">
    <w:abstractNumId w:val="7"/>
  </w:num>
  <w:num w:numId="31" w16cid:durableId="1262643909">
    <w:abstractNumId w:val="8"/>
  </w:num>
  <w:num w:numId="32" w16cid:durableId="2090811899">
    <w:abstractNumId w:val="17"/>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5"/>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5"/>
  </w:num>
  <w:num w:numId="40" w16cid:durableId="2004160576">
    <w:abstractNumId w:val="6"/>
  </w:num>
  <w:num w:numId="41" w16cid:durableId="644436680">
    <w:abstractNumId w:val="15"/>
  </w:num>
  <w:num w:numId="42" w16cid:durableId="118883376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379D"/>
    <w:rsid w:val="000543A5"/>
    <w:rsid w:val="000543AC"/>
    <w:rsid w:val="00054CC4"/>
    <w:rsid w:val="0005568E"/>
    <w:rsid w:val="00055D71"/>
    <w:rsid w:val="00056285"/>
    <w:rsid w:val="00056611"/>
    <w:rsid w:val="00056953"/>
    <w:rsid w:val="00057F58"/>
    <w:rsid w:val="0006049F"/>
    <w:rsid w:val="00060A65"/>
    <w:rsid w:val="00061BC2"/>
    <w:rsid w:val="00061BF7"/>
    <w:rsid w:val="00062277"/>
    <w:rsid w:val="00062A4B"/>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2425"/>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05A"/>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0DF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5B2B"/>
    <w:rsid w:val="0015627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0D0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0FF7"/>
    <w:rsid w:val="001C1A6C"/>
    <w:rsid w:val="001C2462"/>
    <w:rsid w:val="001C261F"/>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9BF"/>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0CDA"/>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181D"/>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3C3"/>
    <w:rsid w:val="003315FB"/>
    <w:rsid w:val="00331742"/>
    <w:rsid w:val="0033178D"/>
    <w:rsid w:val="003319DA"/>
    <w:rsid w:val="00332C40"/>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4A6D"/>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7F9"/>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07400"/>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DF0"/>
    <w:rsid w:val="00447673"/>
    <w:rsid w:val="00450B2B"/>
    <w:rsid w:val="00451094"/>
    <w:rsid w:val="00451134"/>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075B"/>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9F"/>
    <w:rsid w:val="006117C7"/>
    <w:rsid w:val="006124F4"/>
    <w:rsid w:val="00613DC2"/>
    <w:rsid w:val="00614FD2"/>
    <w:rsid w:val="00615215"/>
    <w:rsid w:val="00615E78"/>
    <w:rsid w:val="00616EFB"/>
    <w:rsid w:val="00617607"/>
    <w:rsid w:val="00620B03"/>
    <w:rsid w:val="00620F76"/>
    <w:rsid w:val="00620F8D"/>
    <w:rsid w:val="006223B3"/>
    <w:rsid w:val="0062531F"/>
    <w:rsid w:val="006255DF"/>
    <w:rsid w:val="00625C7A"/>
    <w:rsid w:val="006270F5"/>
    <w:rsid w:val="006274CD"/>
    <w:rsid w:val="0062770C"/>
    <w:rsid w:val="0063019B"/>
    <w:rsid w:val="006301B0"/>
    <w:rsid w:val="00630468"/>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FE0"/>
    <w:rsid w:val="0069766A"/>
    <w:rsid w:val="006A016F"/>
    <w:rsid w:val="006A0F3A"/>
    <w:rsid w:val="006A2971"/>
    <w:rsid w:val="006A308A"/>
    <w:rsid w:val="006A4010"/>
    <w:rsid w:val="006A51D5"/>
    <w:rsid w:val="006A72AD"/>
    <w:rsid w:val="006B1AAE"/>
    <w:rsid w:val="006B1F7C"/>
    <w:rsid w:val="006B2230"/>
    <w:rsid w:val="006B28DB"/>
    <w:rsid w:val="006B3210"/>
    <w:rsid w:val="006B623D"/>
    <w:rsid w:val="006B6E27"/>
    <w:rsid w:val="006B798C"/>
    <w:rsid w:val="006C0A41"/>
    <w:rsid w:val="006C1AE1"/>
    <w:rsid w:val="006C342C"/>
    <w:rsid w:val="006C37A1"/>
    <w:rsid w:val="006C38E4"/>
    <w:rsid w:val="006C417C"/>
    <w:rsid w:val="006C540A"/>
    <w:rsid w:val="006C5E9B"/>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321"/>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2417"/>
    <w:rsid w:val="0073468D"/>
    <w:rsid w:val="0073532C"/>
    <w:rsid w:val="00737B55"/>
    <w:rsid w:val="007417DE"/>
    <w:rsid w:val="007430AE"/>
    <w:rsid w:val="00743B2F"/>
    <w:rsid w:val="00744D0B"/>
    <w:rsid w:val="0074619F"/>
    <w:rsid w:val="007462D8"/>
    <w:rsid w:val="00747342"/>
    <w:rsid w:val="00747A06"/>
    <w:rsid w:val="007504D7"/>
    <w:rsid w:val="0075127B"/>
    <w:rsid w:val="00751945"/>
    <w:rsid w:val="0075220D"/>
    <w:rsid w:val="0075249D"/>
    <w:rsid w:val="0075256C"/>
    <w:rsid w:val="00752FBB"/>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4F66"/>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6381"/>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A16"/>
    <w:rsid w:val="008D0F42"/>
    <w:rsid w:val="008D1A42"/>
    <w:rsid w:val="008D278D"/>
    <w:rsid w:val="008D3602"/>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5F71"/>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0F4D"/>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5B07"/>
    <w:rsid w:val="00A06B8E"/>
    <w:rsid w:val="00A07E4F"/>
    <w:rsid w:val="00A1044E"/>
    <w:rsid w:val="00A12AF6"/>
    <w:rsid w:val="00A132D4"/>
    <w:rsid w:val="00A13332"/>
    <w:rsid w:val="00A13356"/>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15FB"/>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84"/>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07DB"/>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AC1"/>
    <w:rsid w:val="00D555FF"/>
    <w:rsid w:val="00D56E91"/>
    <w:rsid w:val="00D57142"/>
    <w:rsid w:val="00D571B3"/>
    <w:rsid w:val="00D573AB"/>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4F23"/>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F9A"/>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6D4E"/>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32BD"/>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31D"/>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097E"/>
    <w:rsid w:val="00FA1455"/>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1549</TotalTime>
  <Pages>45</Pages>
  <Words>14017</Words>
  <Characters>79901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93731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4</cp:revision>
  <dcterms:created xsi:type="dcterms:W3CDTF">2023-07-06T16:27:00Z</dcterms:created>
  <dcterms:modified xsi:type="dcterms:W3CDTF">2023-07-10T14:47:00Z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