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3A2B2AE5"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971ED7">
              <w:rPr>
                <w:b w:val="0"/>
                <w:sz w:val="20"/>
              </w:rPr>
              <w:t>4</w:t>
            </w:r>
            <w:r w:rsidR="004B2FBE">
              <w:rPr>
                <w:b w:val="0"/>
                <w:sz w:val="20"/>
              </w:rPr>
              <w:t>-</w:t>
            </w:r>
            <w:r w:rsidR="00433515">
              <w:rPr>
                <w:b w:val="0"/>
                <w:sz w:val="20"/>
              </w:rPr>
              <w:t>2</w:t>
            </w:r>
            <w:r w:rsidR="00971ED7">
              <w:rPr>
                <w:b w:val="0"/>
                <w:sz w:val="20"/>
              </w:rPr>
              <w:t>7</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9F59AB">
        <w:trPr>
          <w:jc w:val="center"/>
        </w:trPr>
        <w:tc>
          <w:tcPr>
            <w:tcW w:w="1336"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2064"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9F59AB">
        <w:trPr>
          <w:jc w:val="center"/>
        </w:trPr>
        <w:tc>
          <w:tcPr>
            <w:tcW w:w="1336"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2064"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2064"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5608E6BD" w:rsidR="00A65863" w:rsidRDefault="00EF423E" w:rsidP="007F589E">
                            <w:r>
                              <w:t>R3: Unicast/multicast (Roy Want)</w:t>
                            </w:r>
                            <w:r w:rsidR="00A65863">
                              <w:t>. First batch of Edward’s findings</w:t>
                            </w:r>
                          </w:p>
                          <w:p w14:paraId="2E88C8D0" w14:textId="26D26F17" w:rsidR="004027A6" w:rsidRDefault="004027A6" w:rsidP="007F589E">
                            <w:r>
                              <w:t>R4: Added Carol’s findings.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5608E6BD" w:rsidR="00A65863" w:rsidRDefault="00EF423E" w:rsidP="007F589E">
                      <w:r>
                        <w:t>R3: Unicast/multicast (Roy Want)</w:t>
                      </w:r>
                      <w:r w:rsidR="00A65863">
                        <w:t>. First batch of Edward’s findings</w:t>
                      </w:r>
                    </w:p>
                    <w:p w14:paraId="2E88C8D0" w14:textId="26D26F17" w:rsidR="004027A6" w:rsidRDefault="004027A6" w:rsidP="007F589E">
                      <w:r>
                        <w:t>R4: Added Carol’s findings.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66DEFDDE" w:rsidR="00EC4997" w:rsidRDefault="00FF7F19" w:rsidP="00825E13">
      <w:pPr>
        <w:numPr>
          <w:ilvl w:val="0"/>
          <w:numId w:val="3"/>
        </w:numPr>
      </w:pPr>
      <w:r>
        <w:t>Claudio de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25B03829" w14:textId="19A5ED98" w:rsidR="00A95AAB" w:rsidRDefault="00A95AAB" w:rsidP="00971ED7">
      <w:r>
        <w:t xml:space="preserve">Claudio </w:t>
      </w:r>
    </w:p>
    <w:p w14:paraId="532BC437" w14:textId="7D9B5AA1" w:rsidR="00155172" w:rsidRDefault="00155172" w:rsidP="00155172"/>
    <w:p w14:paraId="124649EE" w14:textId="4D774CDC" w:rsidR="0040451E" w:rsidRDefault="0040451E" w:rsidP="00C12417">
      <w:pPr>
        <w:pStyle w:val="Heading3"/>
      </w:pPr>
      <w:r>
        <w:t xml:space="preserve">Style Guide 2.1.1 </w:t>
      </w:r>
      <w:r w:rsidR="00C12417">
        <w:t>– Frame Format Figures</w:t>
      </w:r>
    </w:p>
    <w:p w14:paraId="62A9D75A" w14:textId="77777777" w:rsidR="00A95AAB" w:rsidRDefault="00A95AAB" w:rsidP="00A95AAB">
      <w:r>
        <w:t xml:space="preserve">Claudio </w:t>
      </w:r>
    </w:p>
    <w:p w14:paraId="74CC74CD" w14:textId="77777777" w:rsidR="00A95AAB" w:rsidRPr="00A95AAB" w:rsidRDefault="00A95AAB" w:rsidP="00A95AAB"/>
    <w:p w14:paraId="2354887B" w14:textId="77777777" w:rsidR="00C12417" w:rsidRPr="00C12417" w:rsidRDefault="00C12417" w:rsidP="00C12417"/>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77777777" w:rsidR="00A95AAB" w:rsidRPr="00A95AAB" w:rsidRDefault="00A95AAB" w:rsidP="00A95AAB"/>
    <w:p w14:paraId="0F8D5340" w14:textId="6ACE8D19" w:rsidR="00A90C05" w:rsidRPr="009B7903" w:rsidRDefault="00A90C05" w:rsidP="00511570">
      <w:r>
        <w:t xml:space="preserve"> </w:t>
      </w:r>
    </w:p>
    <w:p w14:paraId="2660F056" w14:textId="15E853ED" w:rsidR="00490A6D" w:rsidRDefault="00490A6D" w:rsidP="00490A6D">
      <w:pPr>
        <w:pStyle w:val="Heading3"/>
      </w:pPr>
      <w:r>
        <w:t>Style Guide 2.2 – true/false</w:t>
      </w:r>
    </w:p>
    <w:p w14:paraId="5648A3A7" w14:textId="78491B60" w:rsidR="00971ED7" w:rsidRDefault="00A95AAB" w:rsidP="00971ED7">
      <w:r>
        <w:t>Carol</w:t>
      </w:r>
    </w:p>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78B38060" w14:textId="67B061DF" w:rsidR="00D26FCC" w:rsidRDefault="00A95AAB" w:rsidP="00E30287">
      <w:r>
        <w:t>Update list he has already generated.</w:t>
      </w:r>
    </w:p>
    <w:p w14:paraId="45443D9F" w14:textId="16EA1C6F" w:rsidR="00A95AAB" w:rsidRPr="00DD02C5" w:rsidRDefault="00A95AAB" w:rsidP="00E30287">
      <w:r>
        <w:t xml:space="preserve">Bring to </w:t>
      </w:r>
      <w:proofErr w:type="spellStart"/>
      <w:r>
        <w:t>TGme</w:t>
      </w:r>
      <w:proofErr w:type="spellEnd"/>
      <w:r>
        <w:t xml:space="preserve"> as soon as possible to see if they are willing to accept changes.</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0F768B9D" w14:textId="68E81DB3" w:rsidR="00095AC4" w:rsidRDefault="00FB3C4E" w:rsidP="00B400D4">
      <w:r>
        <w:t>Emily (Edward’s suggestion)</w:t>
      </w:r>
    </w:p>
    <w:p w14:paraId="76903CB7" w14:textId="77777777" w:rsidR="00FB3C4E" w:rsidRDefault="00FB3C4E"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4FF1A9CB" w14:textId="77777777" w:rsidR="00971ED7" w:rsidRDefault="00971ED7" w:rsidP="00971ED7"/>
    <w:p w14:paraId="1A99393B" w14:textId="5E37C8EE" w:rsidR="00894C66" w:rsidRDefault="00894C66" w:rsidP="00951676">
      <w:pPr>
        <w:pStyle w:val="Heading4"/>
      </w:pPr>
      <w:r>
        <w:t>Style Guide 2.4.3 – Element Inclusion Conventions</w:t>
      </w:r>
    </w:p>
    <w:p w14:paraId="08562228" w14:textId="579D7BF0" w:rsidR="00D26FCC" w:rsidRPr="00816BD4" w:rsidRDefault="00D26FCC" w:rsidP="00971ED7"/>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75D2E14A" w14:textId="3D206499" w:rsidR="00560584" w:rsidRDefault="00560584"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7777777" w:rsidR="00A65863" w:rsidRDefault="00A65863" w:rsidP="00C031D9"/>
    <w:p w14:paraId="16827F79" w14:textId="4360331F" w:rsidR="00490A6D" w:rsidRDefault="00951676" w:rsidP="00490A6D">
      <w:pPr>
        <w:pStyle w:val="Heading3"/>
      </w:pPr>
      <w:bookmarkStart w:id="1" w:name="_Hlk93313719"/>
      <w:r>
        <w:lastRenderedPageBreak/>
        <w:t>Style Guide 2.6</w:t>
      </w:r>
      <w:r w:rsidR="00490A6D">
        <w:t xml:space="preserve"> – Capitalization</w:t>
      </w:r>
    </w:p>
    <w:bookmarkEnd w:id="1"/>
    <w:p w14:paraId="6DD6DFA2" w14:textId="45EADA94" w:rsidR="00D02711" w:rsidRDefault="00FB3C4E" w:rsidP="00715486">
      <w:r>
        <w:t>Edward</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77777777" w:rsidR="00A65863" w:rsidRP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77777777" w:rsidR="00A65863" w:rsidRP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4EE1845D" w14:textId="77777777" w:rsidR="00A65863" w:rsidRP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77777777" w:rsidR="00A65863" w:rsidRPr="00A65863" w:rsidRDefault="00A65863" w:rsidP="00A65863">
      <w:pPr>
        <w:jc w:val="both"/>
      </w:pPr>
      <w:r w:rsidRPr="00A65863">
        <w:t>[23] 4904.22:  Replace “This attribute holds the most recently transmitted Status Code” with “This attribute holds the most recently transmitted Status Code field”.</w:t>
      </w: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lastRenderedPageBreak/>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756F8FD6" w14:textId="3214982F"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77777777" w:rsidR="002E1132" w:rsidRDefault="002E1132"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77777777" w:rsidR="002E1132" w:rsidRDefault="002E1132" w:rsidP="002E1132"/>
    <w:p w14:paraId="0ED229A4" w14:textId="77777777" w:rsidR="002E1132" w:rsidRPr="006A2A0A"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77777777" w:rsidR="002E1132" w:rsidRPr="00A57CE7" w:rsidRDefault="002E1132"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77777777" w:rsidR="002E1132" w:rsidRDefault="002E1132"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77777777" w:rsidR="002E1132" w:rsidRDefault="002E1132"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77777777" w:rsidR="002E1132" w:rsidRDefault="002E1132"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w:t>
      </w:r>
      <w:r>
        <w:lastRenderedPageBreak/>
        <w:t>reception of its WS by each associated STA, and it has not transmitted its WS through DMG Beacon or Announce frames over dot11MaxLostBeacons successive beacon intervals.”</w:t>
      </w:r>
    </w:p>
    <w:p w14:paraId="7D566F6F" w14:textId="77777777" w:rsidR="002E1132" w:rsidRDefault="002E1132"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7777777" w:rsidR="002E1132" w:rsidRDefault="002E1132"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77777777" w:rsidR="002E1132" w:rsidRDefault="002E1132"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77777777" w:rsidR="002E1132" w:rsidRDefault="002E1132"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77777777" w:rsidR="002E1132" w:rsidRDefault="002E1132"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77777777" w:rsidR="002E1132" w:rsidRDefault="002E1132" w:rsidP="002E1132"/>
    <w:p w14:paraId="25F2323B" w14:textId="77777777" w:rsidR="002E1132" w:rsidRDefault="002E1132" w:rsidP="002E1132">
      <w:r>
        <w:t xml:space="preserve">P609, L56, </w:t>
      </w:r>
    </w:p>
    <w:p w14:paraId="577DB7FB" w14:textId="77777777"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0D07FB04" w14:textId="77777777" w:rsidR="002E1132" w:rsidRDefault="002E1132" w:rsidP="002E1132"/>
    <w:p w14:paraId="06359256" w14:textId="77777777"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77777777" w:rsidR="002E1132" w:rsidRDefault="002E1132" w:rsidP="002E1132">
      <w:pPr>
        <w:rPr>
          <w:b/>
          <w:bCs/>
        </w:rPr>
      </w:pPr>
    </w:p>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77777777" w:rsidR="002E1132" w:rsidRDefault="002E1132"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77777777" w:rsidR="002E1132" w:rsidRDefault="002E1132"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77777777" w:rsidR="002E1132" w:rsidRDefault="002E1132"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77777777" w:rsidR="002E1132" w:rsidRDefault="002E1132" w:rsidP="002E1132">
      <w:pPr>
        <w:rPr>
          <w:b/>
          <w:bCs/>
        </w:rPr>
      </w:pPr>
    </w:p>
    <w:p w14:paraId="78F22B17" w14:textId="77777777" w:rsidR="002E1132" w:rsidRDefault="002E1132" w:rsidP="002E1132">
      <w:r w:rsidRPr="005A6979">
        <w:lastRenderedPageBreak/>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77777777" w:rsidR="002E1132" w:rsidRDefault="002E1132"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7777777" w:rsidR="002E1132" w:rsidRDefault="002E1132" w:rsidP="002E1132"/>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77777777" w:rsidR="002E1132" w:rsidRDefault="002E1132"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77777777" w:rsidR="002E1132" w:rsidRDefault="002E1132"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77777777" w:rsidR="002E1132" w:rsidRDefault="002E1132"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77777777" w:rsidR="002E1132" w:rsidRDefault="002E1132"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77777777" w:rsidR="002E1132" w:rsidRDefault="002E1132"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77777777" w:rsidR="002E1132" w:rsidRDefault="002E1132" w:rsidP="002E1132"/>
    <w:p w14:paraId="343B0A2E" w14:textId="77777777" w:rsidR="002E1132" w:rsidRDefault="002E1132" w:rsidP="002E1132">
      <w:r>
        <w:t xml:space="preserve">P1301, L57, </w:t>
      </w:r>
    </w:p>
    <w:p w14:paraId="580253F6" w14:textId="77777777" w:rsidR="002E1132" w:rsidRDefault="002E1132" w:rsidP="002E1132">
      <w:r>
        <w:t xml:space="preserve">“The Extended Supported S1G-MCS and NSS Set field not being present </w:t>
      </w:r>
      <w:r w:rsidRPr="00EC3305">
        <w:rPr>
          <w:strike/>
        </w:rPr>
        <w:t>will</w:t>
      </w:r>
      <w:r>
        <w:t xml:space="preserve"> convey that neither S1G-MCS 11 nor S1G-MCS 12 are supported.”</w:t>
      </w:r>
    </w:p>
    <w:p w14:paraId="6C5BE89E" w14:textId="77777777" w:rsidR="002E1132" w:rsidRDefault="002E1132"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77777777" w:rsidR="002E1132" w:rsidRDefault="002E1132"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77777777" w:rsidR="002E1132" w:rsidRDefault="002E1132" w:rsidP="002E1132"/>
    <w:p w14:paraId="387AA9CA" w14:textId="77777777" w:rsidR="002E1132" w:rsidRDefault="002E1132" w:rsidP="002E1132">
      <w:r>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77777777" w:rsidR="002E1132" w:rsidRDefault="002E1132"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77777777" w:rsidR="002E1132" w:rsidRDefault="002E1132"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77777777" w:rsidR="002E1132" w:rsidRDefault="002E1132" w:rsidP="002E1132"/>
    <w:p w14:paraId="6C71F3C4" w14:textId="77777777" w:rsidR="002E1132" w:rsidRDefault="002E1132" w:rsidP="002E1132">
      <w:r>
        <w:lastRenderedPageBreak/>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77777777" w:rsidR="002E1132" w:rsidRDefault="002E1132"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77777777" w:rsidR="002E1132" w:rsidRDefault="002E1132"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7777777" w:rsidR="002E1132" w:rsidRDefault="002E1132"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77777777" w:rsidR="002E1132" w:rsidRDefault="002E1132" w:rsidP="002E1132"/>
    <w:p w14:paraId="0FF96CDD" w14:textId="77777777" w:rsidR="002E1132" w:rsidRDefault="002E1132" w:rsidP="002E1132">
      <w:r>
        <w:t xml:space="preserve">P2266, L20, </w:t>
      </w:r>
    </w:p>
    <w:p w14:paraId="6ED21BD8" w14:textId="77777777"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77777777" w:rsidR="002E1132" w:rsidRDefault="002E1132"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77777777" w:rsidR="002E1132" w:rsidRDefault="002E1132"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77777777" w:rsidR="002E1132" w:rsidRDefault="002E1132"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77777777" w:rsidR="002E1132" w:rsidRDefault="002E1132"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77777777" w:rsidR="002E1132" w:rsidRDefault="002E1132"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7777777" w:rsidR="002E1132" w:rsidRDefault="002E1132"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77777777" w:rsidR="002E1132" w:rsidRDefault="002E1132"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77777777" w:rsidR="002E1132" w:rsidRDefault="002E1132" w:rsidP="002E1132"/>
    <w:p w14:paraId="2D4BB567" w14:textId="77777777" w:rsidR="002E1132" w:rsidRDefault="002E1132" w:rsidP="002E1132">
      <w:r>
        <w:lastRenderedPageBreak/>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77777777" w:rsidR="002E1132" w:rsidRDefault="002E1132"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77777777" w:rsidR="002E1132" w:rsidRDefault="002E1132"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77777777" w:rsidR="002E1132" w:rsidRDefault="002E1132"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77777777" w:rsidR="002E1132" w:rsidRDefault="002E1132"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77777777" w:rsidR="002E1132" w:rsidRDefault="002E1132"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77777777" w:rsidR="002E1132" w:rsidRDefault="002E1132"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77777777" w:rsidR="002E1132" w:rsidRDefault="002E1132"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7777777" w:rsidR="002E1132" w:rsidRDefault="002E1132"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77777777" w:rsidR="002E1132" w:rsidRDefault="002E1132"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77777777" w:rsidR="002E1132" w:rsidRDefault="002E1132"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77777777" w:rsidR="002E1132" w:rsidRDefault="002E1132"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77777777" w:rsidR="002E1132" w:rsidRDefault="002E1132" w:rsidP="002E1132">
      <w:pPr>
        <w:jc w:val="both"/>
      </w:pPr>
      <w:r>
        <w:t>**The ‘will’ should be removed, but the sentence doesn’t make sense even with ‘will’ in it, so I’m not sure how to fix it.</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77777777" w:rsidR="002E1132" w:rsidRDefault="002E1132"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lastRenderedPageBreak/>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77777777" w:rsidR="002E1132" w:rsidRDefault="002E1132"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77777777" w:rsidR="002E1132" w:rsidRDefault="002E1132" w:rsidP="002E1132"/>
    <w:p w14:paraId="0FCBBB29" w14:textId="77777777" w:rsidR="002E1132" w:rsidRDefault="002E1132" w:rsidP="002E1132">
      <w:r>
        <w:t xml:space="preserve">P2596, L45, </w:t>
      </w:r>
    </w:p>
    <w:p w14:paraId="15D7C799" w14:textId="77777777" w:rsidR="002E1132" w:rsidRDefault="002E1132" w:rsidP="002E1132">
      <w:r>
        <w:t xml:space="preserve">“The AP selects TXVECTOR parameters </w:t>
      </w:r>
      <w:r w:rsidRPr="00907E61">
        <w:rPr>
          <w:strike/>
        </w:rPr>
        <w:t>that will be</w:t>
      </w:r>
      <w:r>
        <w:t xml:space="preserve"> used for transmission to the currently associated STAs”</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77777777" w:rsidR="002E1132" w:rsidRDefault="002E1132"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77777777" w:rsidR="002E1132" w:rsidRDefault="002E1132"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77777777" w:rsidR="002E1132" w:rsidRDefault="002E1132"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77777777" w:rsidR="002E1132" w:rsidRPr="00142EEC" w:rsidRDefault="002E1132" w:rsidP="002E1132"/>
    <w:p w14:paraId="33AC5EBD" w14:textId="77777777" w:rsidR="002E1132" w:rsidRDefault="002E1132" w:rsidP="002E1132">
      <w:r w:rsidRPr="00142EEC">
        <w:t xml:space="preserve">P2652, L49, </w:t>
      </w:r>
    </w:p>
    <w:p w14:paraId="76BB51D2" w14:textId="77777777"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77777777" w:rsidR="002E1132" w:rsidRDefault="002E1132"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77777777" w:rsidR="002E1132" w:rsidRDefault="002E1132"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77777777" w:rsidR="002E1132" w:rsidRDefault="002E1132"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77777777" w:rsidR="002E1132" w:rsidRDefault="002E1132"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77777777" w:rsidR="002E1132" w:rsidRDefault="002E1132"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77777777" w:rsidR="002E1132" w:rsidRDefault="002E1132"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77777777" w:rsidR="002E1132" w:rsidRDefault="002E1132"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77777777" w:rsidR="002E1132" w:rsidRDefault="002E1132"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77777777" w:rsidR="002E1132" w:rsidRDefault="002E1132"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77777777" w:rsidR="002E1132" w:rsidRDefault="002E1132"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77777777" w:rsidR="002E1132" w:rsidRDefault="002E1132"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18391A3D" w14:textId="77777777" w:rsidR="002E1132" w:rsidRDefault="002E1132"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77777777" w:rsidR="002E1132" w:rsidRDefault="002E1132"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77777777" w:rsidR="002E1132" w:rsidRDefault="002E1132"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77777777" w:rsidR="002E1132" w:rsidRDefault="002E1132"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77777777" w:rsidR="002E1132" w:rsidRDefault="002E1132"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77777777" w:rsidR="002E1132" w:rsidRDefault="002E1132"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77777777" w:rsidR="002E1132" w:rsidRDefault="002E1132"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77777777" w:rsidR="002E1132" w:rsidRDefault="002E1132"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77777777" w:rsidR="002E1132" w:rsidRDefault="002E1132" w:rsidP="002E1132"/>
    <w:p w14:paraId="2573660D" w14:textId="77777777" w:rsidR="002E1132" w:rsidRDefault="002E1132" w:rsidP="002E1132">
      <w:r>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77777777" w:rsidR="002E1132" w:rsidRDefault="002E1132"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7777777" w:rsidR="002E1132" w:rsidRDefault="002E1132" w:rsidP="002E1132"/>
    <w:p w14:paraId="6B6F52D8" w14:textId="77777777" w:rsidR="002E1132" w:rsidRDefault="002E1132" w:rsidP="002E1132">
      <w:r>
        <w:t xml:space="preserve">P3832, L18, </w:t>
      </w:r>
    </w:p>
    <w:p w14:paraId="28CA1B1C" w14:textId="77777777" w:rsidR="002E1132" w:rsidRDefault="002E1132" w:rsidP="002E1132">
      <w:r>
        <w:lastRenderedPageBreak/>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77777777" w:rsidR="002E1132" w:rsidRDefault="002E1132"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77777777" w:rsidR="002E1132" w:rsidRDefault="002E1132"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77777777" w:rsidR="002E1132" w:rsidRDefault="002E1132"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77777777" w:rsidR="002E1132" w:rsidRDefault="002E1132"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77777777" w:rsidR="002E1132" w:rsidRDefault="002E1132"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77777777" w:rsidR="002E1132" w:rsidRDefault="002E1132"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77777777" w:rsidR="002E1132" w:rsidRDefault="002E1132"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77777777" w:rsidR="002E1132" w:rsidRDefault="002E1132"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77777777" w:rsidR="002E1132" w:rsidRDefault="002E1132"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7777777" w:rsidR="002E1132" w:rsidRDefault="002E1132" w:rsidP="002E1132"/>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77777777" w:rsidR="002E1132" w:rsidRDefault="002E1132"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77777777" w:rsidR="002E1132" w:rsidRDefault="002E1132"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77777777" w:rsidR="002E1132" w:rsidRDefault="002E1132"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77777777" w:rsidR="002E1132" w:rsidRDefault="002E1132"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7777777" w:rsidR="002E1132" w:rsidRDefault="002E1132" w:rsidP="002E1132"/>
    <w:p w14:paraId="2A299DC9" w14:textId="77777777" w:rsidR="002E1132" w:rsidRDefault="002E1132" w:rsidP="002E1132">
      <w:r>
        <w:t xml:space="preserve">P5185, L26, </w:t>
      </w:r>
    </w:p>
    <w:p w14:paraId="1996FB1E" w14:textId="77777777" w:rsidR="002E1132" w:rsidRDefault="002E1132" w:rsidP="002E1132">
      <w:r>
        <w:lastRenderedPageBreak/>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77777777" w:rsidR="002E1132" w:rsidRDefault="002E1132" w:rsidP="002E1132"/>
    <w:p w14:paraId="1F1AB82D" w14:textId="77777777" w:rsidR="002E1132" w:rsidRDefault="002E1132" w:rsidP="002E1132">
      <w:r>
        <w:t xml:space="preserve">P5402, L14, </w:t>
      </w:r>
    </w:p>
    <w:p w14:paraId="5F1848B3" w14:textId="77777777"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w:t>
      </w:r>
      <w:proofErr w:type="spellStart"/>
      <w:r>
        <w:t>interchang</w:t>
      </w:r>
      <w:r w:rsidRPr="00EC6038">
        <w:rPr>
          <w:strike/>
        </w:rPr>
        <w:t>ed</w:t>
      </w:r>
      <w:r w:rsidRPr="00EC6038">
        <w:rPr>
          <w:u w:val="single"/>
        </w:rPr>
        <w:t>able</w:t>
      </w:r>
      <w:proofErr w:type="spellEnd"/>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77777777" w:rsidR="002E1132" w:rsidRDefault="002E1132"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77777777" w:rsidR="002E1132" w:rsidRDefault="002E1132" w:rsidP="002E1132"/>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7777777" w:rsidR="002E1132" w:rsidRDefault="002E1132"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77777777" w:rsidR="002E1132" w:rsidRDefault="002E1132"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77777777" w:rsidR="002E1132" w:rsidRDefault="002E1132"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77777777" w:rsidR="002E1132" w:rsidRDefault="002E1132"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77777777" w:rsidR="002E1132" w:rsidRDefault="002E1132"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77777777" w:rsidR="002E1132" w:rsidRDefault="002E1132" w:rsidP="002E1132">
      <w:r>
        <w:t xml:space="preserve"> exchange unprotected frames”</w:t>
      </w:r>
    </w:p>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7777777" w:rsidR="00971ED7" w:rsidRDefault="00971ED7"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77777777" w:rsidR="002E1132" w:rsidRDefault="002E1132" w:rsidP="002E1132">
      <w:r>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77777777" w:rsidR="002E1132" w:rsidRDefault="002E1132"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77777777" w:rsidR="002E1132" w:rsidRDefault="002E1132" w:rsidP="002E1132"/>
    <w:p w14:paraId="40EEA794" w14:textId="77777777" w:rsidR="002E1132" w:rsidRDefault="002E1132" w:rsidP="002E1132">
      <w:r>
        <w:lastRenderedPageBreak/>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77777777" w:rsidR="002E1132" w:rsidRDefault="002E1132" w:rsidP="002E1132"/>
    <w:p w14:paraId="0143DCDA" w14:textId="77777777" w:rsidR="002E1132" w:rsidRDefault="002E1132" w:rsidP="002E1132">
      <w:r>
        <w:t xml:space="preserve">P2351, L13, </w:t>
      </w:r>
    </w:p>
    <w:p w14:paraId="237C50AB" w14:textId="77777777"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77777777" w:rsidR="002E1132" w:rsidRDefault="002E1132"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77777777" w:rsidR="002E1132" w:rsidRDefault="002E1132"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77777777" w:rsidR="002E1132" w:rsidRDefault="002E1132"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71A1FEEC" w14:textId="77777777" w:rsidR="002E1132" w:rsidRDefault="002E1132"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77777777" w:rsidR="002E1132" w:rsidRDefault="002E1132"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77777777" w:rsidR="002E1132" w:rsidRDefault="002E1132"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77777777" w:rsidR="002E1132" w:rsidRDefault="002E1132" w:rsidP="002E1132"/>
    <w:p w14:paraId="42E94E12" w14:textId="03EC7570" w:rsidR="00FA7A6E" w:rsidRDefault="00FA7A6E" w:rsidP="00FA7A6E">
      <w:r>
        <w:rPr>
          <w:b/>
          <w:bCs/>
        </w:rPr>
        <w:t>“</w:t>
      </w:r>
      <w:r w:rsidRPr="00085E78">
        <w:rPr>
          <w:b/>
          <w:bCs/>
        </w:rPr>
        <w:t>Only</w:t>
      </w:r>
      <w:r>
        <w:rPr>
          <w:b/>
          <w:bCs/>
        </w:rPr>
        <w:t xml:space="preserve">” </w:t>
      </w:r>
      <w:r>
        <w:t>used as a constraint</w:t>
      </w:r>
    </w:p>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Pr="00C031D9" w:rsidRDefault="00B616CA"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lastRenderedPageBreak/>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4CF8F01A" w:rsidR="002D2BC4" w:rsidRDefault="00FB3C4E" w:rsidP="001E6010">
      <w:r>
        <w:t>Check with Mark Rison</w:t>
      </w:r>
    </w:p>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Pr="0029745E" w:rsidRDefault="0029745E" w:rsidP="0029745E">
      <w:r w:rsidRPr="0029745E">
        <w:t>Unicast (11 occurrences: 7 changes proposed, 4 ok)</w:t>
      </w:r>
    </w:p>
    <w:p w14:paraId="745F1C08" w14:textId="77777777" w:rsidR="0029745E" w:rsidRPr="0029745E" w:rsidRDefault="0029745E" w:rsidP="0029745E"/>
    <w:p w14:paraId="7FC3470E" w14:textId="77777777" w:rsidR="0029745E" w:rsidRPr="0029745E" w:rsidRDefault="0029745E" w:rsidP="0029745E">
      <w:r w:rsidRPr="0029745E">
        <w:t>#1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unicast individually addressed transmissions to the target STA(s) only.</w:t>
      </w:r>
    </w:p>
    <w:p w14:paraId="0189D083" w14:textId="77777777" w:rsidR="0029745E" w:rsidRPr="0029745E" w:rsidRDefault="0029745E" w:rsidP="0029745E"/>
    <w:p w14:paraId="1F10DEC6" w14:textId="77777777" w:rsidR="0029745E" w:rsidRPr="0029745E" w:rsidRDefault="0029745E" w:rsidP="0029745E">
      <w:r w:rsidRPr="0029745E">
        <w:t>#2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a unicast an individually addressed frame to the intended STA.</w:t>
      </w:r>
    </w:p>
    <w:p w14:paraId="653F19B6" w14:textId="77777777" w:rsidR="0029745E" w:rsidRPr="0029745E" w:rsidRDefault="0029745E" w:rsidP="0029745E"/>
    <w:p w14:paraId="40CA40E8" w14:textId="77777777" w:rsidR="0029745E" w:rsidRPr="0029745E" w:rsidRDefault="0029745E" w:rsidP="0029745E">
      <w:r w:rsidRPr="0029745E">
        <w:t>#3 P2602 L17: Otherwise, forwarding as unicast is recommended, to avoid responding with misleading information. -&gt; Otherwise, forwarding as unicast an individually addressed frame is recommended, to avoid responding with misleading information.</w:t>
      </w:r>
    </w:p>
    <w:p w14:paraId="2A28E816" w14:textId="77777777" w:rsidR="0029745E" w:rsidRPr="0029745E" w:rsidRDefault="0029745E"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an individually addressed frame sent to that STA.</w:t>
      </w:r>
    </w:p>
    <w:p w14:paraId="2A05C2D3" w14:textId="77777777" w:rsidR="0029745E" w:rsidRPr="0029745E" w:rsidRDefault="0029745E"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unicast individually addressed frames for </w:t>
      </w:r>
      <w:proofErr w:type="spellStart"/>
      <w:r w:rsidRPr="0029745E">
        <w:t>neighbor</w:t>
      </w:r>
      <w:proofErr w:type="spellEnd"/>
      <w:r w:rsidRPr="0029745E">
        <w:t xml:space="preserve"> unreachability detection (NUD) (section 7 of IETF RFC 4861).</w:t>
      </w:r>
    </w:p>
    <w:p w14:paraId="1FFF86D9" w14:textId="77777777" w:rsidR="0029745E" w:rsidRPr="0029745E" w:rsidRDefault="0029745E"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The proxy ARP function shall not operate on IP layer unicast individually addressed NS messages.</w:t>
      </w:r>
    </w:p>
    <w:p w14:paraId="3A4E86AF" w14:textId="77777777" w:rsidR="0029745E" w:rsidRPr="0029745E" w:rsidRDefault="0029745E"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Preferably, though, the Proxy ARP service should transmit the IP layer multicast group addressed NS message as a unicast an individually addressed frame to the STA and let the STA respond, as recommended in IETF RFC 8929.</w:t>
      </w:r>
    </w:p>
    <w:p w14:paraId="52CE02D1" w14:textId="77777777" w:rsidR="0029745E" w:rsidRPr="0029745E" w:rsidRDefault="0029745E" w:rsidP="0029745E"/>
    <w:p w14:paraId="444EFD71" w14:textId="77777777" w:rsidR="0029745E" w:rsidRPr="0029745E" w:rsidRDefault="0029745E" w:rsidP="0029745E">
      <w:r w:rsidRPr="0029745E">
        <w:t>#8 &amp; #9 P5381 L23: (MIB Detail: OK – but duplicated?)</w:t>
      </w:r>
    </w:p>
    <w:p w14:paraId="255DB903" w14:textId="77777777" w:rsidR="0029745E" w:rsidRP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178F5D38" w14:textId="77777777" w:rsidR="0029745E" w:rsidRPr="0029745E" w:rsidRDefault="0029745E"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7777777" w:rsidR="0029745E" w:rsidRPr="0029745E" w:rsidRDefault="0029745E"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77777777" w:rsidR="0029745E" w:rsidRPr="0029745E" w:rsidRDefault="0029745E"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(#1208) The Proxy ARP service enables an AP to avoid forwarding to the BSS broadcast ARP frames for IPv4 (IETF RFC 826) and IP layer multicast group addressed packets IPv6 ND messages for IPv6 (IETF RFC 4861 and IETF RFC 4862) which target not match the address of an associated STA.</w:t>
      </w:r>
    </w:p>
    <w:p w14:paraId="20E89B64" w14:textId="77777777" w:rsidR="0029745E" w:rsidRPr="0029745E" w:rsidRDefault="0029745E"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multicast group addressed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77777777" w:rsidR="0029745E" w:rsidRPr="0029745E" w:rsidRDefault="0029745E"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21F72B8C" w:rsidR="0029745E" w:rsidRPr="00222061" w:rsidRDefault="0029745E" w:rsidP="0029745E">
      <w:pPr>
        <w:rPr>
          <w:b/>
          <w:bCs/>
        </w:rPr>
      </w:pPr>
      <w:r w:rsidRPr="0029745E">
        <w:t>(#</w:t>
      </w:r>
      <w:proofErr w:type="gramStart"/>
      <w:r w:rsidRPr="0029745E">
        <w:t>1208)When</w:t>
      </w:r>
      <w:proofErr w:type="gramEnd"/>
      <w:r w:rsidRPr="0029745E">
        <w:t xml:space="preserve"> the target IPv6 address of a IP layer multicast group addressed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43AB3A31" w14:textId="0074D647" w:rsidR="00B50461" w:rsidRPr="00EC4997" w:rsidRDefault="00222061" w:rsidP="008A3FF8">
      <w:r>
        <w:t>Edward will do the rest</w:t>
      </w:r>
    </w:p>
    <w:p w14:paraId="43156C40" w14:textId="5C058629" w:rsidR="00DF6915" w:rsidRPr="002D2BC4" w:rsidRDefault="00DF6915" w:rsidP="00DF6915">
      <w:pPr>
        <w:pStyle w:val="Heading3"/>
      </w:pPr>
      <w:r>
        <w:lastRenderedPageBreak/>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77777" w:rsidR="00A65863" w:rsidRP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6BA1FD4" w14:textId="0644E0A3" w:rsidR="00A65863" w:rsidRDefault="00A65863" w:rsidP="00A65863">
      <w:pPr>
        <w:jc w:val="both"/>
      </w:pPr>
      <w:r w:rsidRPr="00A65863">
        <w:t>[02] 967.34:  Please replace “up to and including” with an appropriate phrase.</w:t>
      </w: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13F55495" w:rsidR="00A65863" w:rsidRPr="00C031D9" w:rsidRDefault="00A65863" w:rsidP="00A65863">
      <w:r w:rsidRPr="00A65863">
        <w:lastRenderedPageBreak/>
        <w:t>[43] 360.5:  Replace “MIB-related” with “MIB related”.</w:t>
      </w:r>
    </w:p>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23DEF7AA" w14:textId="39520C15" w:rsidR="00D26FCC" w:rsidRDefault="00222061" w:rsidP="00091616">
      <w:r>
        <w:t>Discuss with Emily and see what to do about this.</w:t>
      </w:r>
    </w:p>
    <w:p w14:paraId="44C463E1" w14:textId="77777777" w:rsidR="00B50461" w:rsidRPr="00C031D9" w:rsidRDefault="00B50461"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B691CFE" w:rsidR="00133B26" w:rsidRPr="00091616" w:rsidRDefault="00222061" w:rsidP="00D26FCC">
      <w:r>
        <w:t>Emily (Edward’s suggestion)</w:t>
      </w:r>
    </w:p>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lastRenderedPageBreak/>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lastRenderedPageBreak/>
        <w:t>Frame formats (Clause 9)</w:t>
      </w:r>
      <w:r w:rsidR="00DD5B6E" w:rsidRPr="002D2BC4">
        <w:t xml:space="preserve"> – shall or may?</w:t>
      </w:r>
    </w:p>
    <w:p w14:paraId="398D0C4B" w14:textId="1CB1060E" w:rsidR="007230B3" w:rsidRDefault="000668E8" w:rsidP="00091616">
      <w:r>
        <w:t>Emily</w:t>
      </w:r>
      <w:r w:rsidR="00C924B7">
        <w:rPr>
          <w:rFonts w:eastAsia="Batang"/>
          <w:lang w:eastAsia="ko-KR"/>
        </w:rPr>
        <w:t xml:space="preserve"> </w:t>
      </w:r>
    </w:p>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3BCC64BF" w:rsidR="00256501" w:rsidRPr="008D4065" w:rsidRDefault="000668E8" w:rsidP="00256501">
      <w:pPr>
        <w:rPr>
          <w:lang w:val="en-US"/>
        </w:rPr>
      </w:pPr>
      <w:r>
        <w:t>Edward</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669EF242" w:rsidR="00290F9B" w:rsidRDefault="00E132B9" w:rsidP="00290F9B">
            <w:pPr>
              <w:rPr>
                <w:rFonts w:ascii="Arial" w:hAnsi="Arial" w:cs="Arial"/>
                <w:sz w:val="20"/>
              </w:rPr>
            </w:pPr>
            <w:r>
              <w:rPr>
                <w:rFonts w:ascii="Arial" w:hAnsi="Arial" w:cs="Arial"/>
                <w:sz w:val="20"/>
              </w:rPr>
              <w:t>Values 14 and 15 should be released. Draft is 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lastRenderedPageBreak/>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39EC" w14:textId="77777777" w:rsidR="009B23D9" w:rsidRDefault="009B23D9">
      <w:r>
        <w:separator/>
      </w:r>
    </w:p>
  </w:endnote>
  <w:endnote w:type="continuationSeparator" w:id="0">
    <w:p w14:paraId="17622617" w14:textId="77777777" w:rsidR="009B23D9" w:rsidRDefault="009B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DC36" w14:textId="77777777" w:rsidR="009B23D9" w:rsidRDefault="009B23D9">
      <w:r>
        <w:separator/>
      </w:r>
    </w:p>
  </w:footnote>
  <w:footnote w:type="continuationSeparator" w:id="0">
    <w:p w14:paraId="25091337" w14:textId="77777777" w:rsidR="009B23D9" w:rsidRDefault="009B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54F131D7" w:rsidR="000C2AD7" w:rsidRDefault="00FF7F19">
    <w:pPr>
      <w:pStyle w:val="Header"/>
      <w:tabs>
        <w:tab w:val="clear" w:pos="6480"/>
        <w:tab w:val="center" w:pos="4680"/>
        <w:tab w:val="right" w:pos="9360"/>
      </w:tabs>
    </w:pPr>
    <w:r>
      <w:t>May</w:t>
    </w:r>
    <w:r w:rsidR="00DA2157">
      <w:t xml:space="preserve"> </w:t>
    </w:r>
    <w:r w:rsidR="000C2AD7">
      <w:t>202</w:t>
    </w:r>
    <w:r w:rsidR="00971ED7">
      <w:t>3</w:t>
    </w:r>
    <w:r w:rsidR="000C2AD7">
      <w:tab/>
    </w:r>
    <w:r w:rsidR="000C2AD7">
      <w:tab/>
    </w:r>
    <w:fldSimple w:instr=" TITLE  \* MERGEFORMAT ">
      <w:r w:rsidR="00EE1468">
        <w:t>doc.: IEEE 802.11-2</w:t>
      </w:r>
      <w:r w:rsidR="00B70A72">
        <w:t>3</w:t>
      </w:r>
      <w:r w:rsidR="00EE1468">
        <w:t>/0</w:t>
      </w:r>
      <w:r w:rsidR="00571047">
        <w:t>717</w:t>
      </w:r>
      <w:r w:rsidR="00EE1468">
        <w:t>r</w:t>
      </w:r>
    </w:fldSimple>
    <w:r w:rsidR="0046681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2"/>
  </w:num>
  <w:num w:numId="3" w16cid:durableId="551236597">
    <w:abstractNumId w:val="19"/>
  </w:num>
  <w:num w:numId="4" w16cid:durableId="906039490">
    <w:abstractNumId w:val="8"/>
  </w:num>
  <w:num w:numId="5" w16cid:durableId="965695855">
    <w:abstractNumId w:val="18"/>
  </w:num>
  <w:num w:numId="6" w16cid:durableId="835460178">
    <w:abstractNumId w:val="20"/>
  </w:num>
  <w:num w:numId="7" w16cid:durableId="419832332">
    <w:abstractNumId w:val="27"/>
  </w:num>
  <w:num w:numId="8" w16cid:durableId="537470482">
    <w:abstractNumId w:val="13"/>
  </w:num>
  <w:num w:numId="9" w16cid:durableId="567112636">
    <w:abstractNumId w:val="23"/>
  </w:num>
  <w:num w:numId="10" w16cid:durableId="1455054600">
    <w:abstractNumId w:val="24"/>
  </w:num>
  <w:num w:numId="11" w16cid:durableId="2066441941">
    <w:abstractNumId w:val="4"/>
  </w:num>
  <w:num w:numId="12" w16cid:durableId="750471398">
    <w:abstractNumId w:val="29"/>
  </w:num>
  <w:num w:numId="13" w16cid:durableId="509682117">
    <w:abstractNumId w:val="26"/>
  </w:num>
  <w:num w:numId="14" w16cid:durableId="1195802209">
    <w:abstractNumId w:val="3"/>
  </w:num>
  <w:num w:numId="15" w16cid:durableId="232813718">
    <w:abstractNumId w:val="31"/>
  </w:num>
  <w:num w:numId="16" w16cid:durableId="354968205">
    <w:abstractNumId w:val="30"/>
  </w:num>
  <w:num w:numId="17" w16cid:durableId="329136981">
    <w:abstractNumId w:val="32"/>
  </w:num>
  <w:num w:numId="18" w16cid:durableId="1086390315">
    <w:abstractNumId w:val="33"/>
  </w:num>
  <w:num w:numId="19" w16cid:durableId="15813476">
    <w:abstractNumId w:val="10"/>
  </w:num>
  <w:num w:numId="20" w16cid:durableId="506752577">
    <w:abstractNumId w:val="16"/>
  </w:num>
  <w:num w:numId="21" w16cid:durableId="1048798994">
    <w:abstractNumId w:val="28"/>
  </w:num>
  <w:num w:numId="22" w16cid:durableId="1787657892">
    <w:abstractNumId w:val="17"/>
  </w:num>
  <w:num w:numId="23" w16cid:durableId="1305429109">
    <w:abstractNumId w:val="12"/>
  </w:num>
  <w:num w:numId="24" w16cid:durableId="167060994">
    <w:abstractNumId w:val="5"/>
  </w:num>
  <w:num w:numId="25" w16cid:durableId="1281497943">
    <w:abstractNumId w:val="21"/>
  </w:num>
  <w:num w:numId="26" w16cid:durableId="1333751492">
    <w:abstractNumId w:val="15"/>
  </w:num>
  <w:num w:numId="27" w16cid:durableId="1417169392">
    <w:abstractNumId w:val="25"/>
  </w:num>
  <w:num w:numId="28" w16cid:durableId="751439423">
    <w:abstractNumId w:val="11"/>
  </w:num>
  <w:num w:numId="29" w16cid:durableId="1089738492">
    <w:abstractNumId w:val="9"/>
  </w:num>
  <w:num w:numId="30" w16cid:durableId="514226235">
    <w:abstractNumId w:val="6"/>
  </w:num>
  <w:num w:numId="31" w16cid:durableId="491071733">
    <w:abstractNumId w:val="7"/>
  </w:num>
  <w:num w:numId="32" w16cid:durableId="2081320391">
    <w:abstractNumId w:val="14"/>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2"/>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048F"/>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2F20"/>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90F9B"/>
    <w:rsid w:val="00291432"/>
    <w:rsid w:val="00291A99"/>
    <w:rsid w:val="0029256A"/>
    <w:rsid w:val="00296742"/>
    <w:rsid w:val="0029745E"/>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546"/>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603"/>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7A6"/>
    <w:rsid w:val="00402F08"/>
    <w:rsid w:val="0040374E"/>
    <w:rsid w:val="0040418D"/>
    <w:rsid w:val="004041BE"/>
    <w:rsid w:val="0040451E"/>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817"/>
    <w:rsid w:val="00466EC6"/>
    <w:rsid w:val="00467D28"/>
    <w:rsid w:val="004700E1"/>
    <w:rsid w:val="004703F3"/>
    <w:rsid w:val="00473C40"/>
    <w:rsid w:val="00473CBA"/>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C7"/>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0A41"/>
    <w:rsid w:val="006C1AE1"/>
    <w:rsid w:val="006C342C"/>
    <w:rsid w:val="006C37A1"/>
    <w:rsid w:val="006C38E4"/>
    <w:rsid w:val="006C417C"/>
    <w:rsid w:val="006C540A"/>
    <w:rsid w:val="006C66FA"/>
    <w:rsid w:val="006C7A73"/>
    <w:rsid w:val="006D0391"/>
    <w:rsid w:val="006D0DA8"/>
    <w:rsid w:val="006D1DCE"/>
    <w:rsid w:val="006D2684"/>
    <w:rsid w:val="006D3DB3"/>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443"/>
    <w:rsid w:val="007A173E"/>
    <w:rsid w:val="007A1FF6"/>
    <w:rsid w:val="007A77A3"/>
    <w:rsid w:val="007B474A"/>
    <w:rsid w:val="007B576F"/>
    <w:rsid w:val="007B5880"/>
    <w:rsid w:val="007C06BC"/>
    <w:rsid w:val="007C13F0"/>
    <w:rsid w:val="007C1785"/>
    <w:rsid w:val="007C30AE"/>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2EE7"/>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4AEA"/>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339"/>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3D9"/>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24F"/>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627"/>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23E"/>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22</Pages>
  <Words>6529</Words>
  <Characters>37221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43663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3</cp:revision>
  <dcterms:created xsi:type="dcterms:W3CDTF">2023-06-26T19:53:00Z</dcterms:created>
  <dcterms:modified xsi:type="dcterms:W3CDTF">2023-06-26T19:53:00Z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