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97E0B89" w:rsidR="00750876" w:rsidRPr="00183F4C" w:rsidRDefault="00DB5A27" w:rsidP="009A6C7E">
            <w:pPr>
              <w:pStyle w:val="T2"/>
            </w:pPr>
            <w:r>
              <w:rPr>
                <w:lang w:eastAsia="ko-KR"/>
              </w:rPr>
              <w:t>CR fo</w:t>
            </w:r>
            <w:r w:rsidRPr="005B7479">
              <w:rPr>
                <w:lang w:eastAsia="ko-KR"/>
              </w:rPr>
              <w:t xml:space="preserve">r </w:t>
            </w:r>
            <w:r w:rsidR="005B7479" w:rsidRPr="005B7479">
              <w:rPr>
                <w:bCs/>
                <w:lang w:eastAsia="ko-KR"/>
              </w:rPr>
              <w:t>35.3.16.7 Error recovery on a NSTR link pair within PIFS</w:t>
            </w:r>
          </w:p>
        </w:tc>
      </w:tr>
      <w:tr w:rsidR="00750876" w:rsidRPr="00183F4C" w14:paraId="1AED9C6E" w14:textId="77777777" w:rsidTr="005D459C">
        <w:trPr>
          <w:trHeight w:val="359"/>
          <w:jc w:val="center"/>
        </w:trPr>
        <w:tc>
          <w:tcPr>
            <w:tcW w:w="9576" w:type="dxa"/>
            <w:gridSpan w:val="5"/>
            <w:vAlign w:val="center"/>
          </w:tcPr>
          <w:p w14:paraId="36133BE5" w14:textId="4AAD33ED" w:rsidR="00750876" w:rsidRPr="00183F4C" w:rsidRDefault="00750876" w:rsidP="00AC1788">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AC1788">
              <w:rPr>
                <w:b w:val="0"/>
                <w:sz w:val="20"/>
                <w:lang w:eastAsia="ko-KR"/>
              </w:rPr>
              <w:t>4</w:t>
            </w:r>
            <w:r>
              <w:rPr>
                <w:rFonts w:hint="eastAsia"/>
                <w:b w:val="0"/>
                <w:sz w:val="20"/>
                <w:lang w:eastAsia="ko-KR"/>
              </w:rPr>
              <w:t>-</w:t>
            </w:r>
            <w:r w:rsidR="00AC1788">
              <w:rPr>
                <w:b w:val="0"/>
                <w:sz w:val="20"/>
                <w:lang w:eastAsia="ko-KR"/>
              </w:rPr>
              <w:t>25</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2A28938A"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5B7479">
        <w:rPr>
          <w:sz w:val="20"/>
          <w:szCs w:val="22"/>
          <w:u w:val="single"/>
          <w:lang w:eastAsia="zh-CN"/>
        </w:rPr>
        <w:t>1</w:t>
      </w:r>
      <w:r w:rsidR="001230BD">
        <w:rPr>
          <w:sz w:val="20"/>
          <w:szCs w:val="22"/>
          <w:u w:val="single"/>
          <w:lang w:eastAsia="zh-CN"/>
        </w:rPr>
        <w:t>0</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5B7479">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20667741" w:rsidR="008D245A" w:rsidRDefault="005B7479" w:rsidP="008D245A">
      <w:r>
        <w:t xml:space="preserve">15226, 15644, 15813, 16316, 16318, 16336, 16893, </w:t>
      </w:r>
      <w:r w:rsidRPr="001702DF">
        <w:rPr>
          <w:highlight w:val="yellow"/>
        </w:rPr>
        <w:t>16894, 16895, 17835</w:t>
      </w:r>
    </w:p>
    <w:p w14:paraId="744835B7" w14:textId="77777777" w:rsidR="005B7479" w:rsidRDefault="005B7479" w:rsidP="008D245A"/>
    <w:p w14:paraId="1141A67E" w14:textId="77777777" w:rsidR="005B7479" w:rsidRPr="00B81640" w:rsidRDefault="005B7479"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0D2B" w:rsidRPr="008F0D26" w14:paraId="60AA2A16" w14:textId="77777777" w:rsidTr="005A0363">
        <w:trPr>
          <w:trHeight w:val="980"/>
        </w:trPr>
        <w:tc>
          <w:tcPr>
            <w:tcW w:w="877" w:type="dxa"/>
          </w:tcPr>
          <w:p w14:paraId="0FF9766C" w14:textId="5CC015D7" w:rsidR="00800D2B" w:rsidRDefault="00800D2B" w:rsidP="00800D2B">
            <w:pPr>
              <w:rPr>
                <w:rFonts w:ascii="Arial" w:hAnsi="Arial" w:cs="Arial"/>
                <w:sz w:val="20"/>
              </w:rPr>
            </w:pPr>
            <w:r>
              <w:rPr>
                <w:rFonts w:ascii="Arial" w:hAnsi="Arial" w:cs="Arial"/>
                <w:sz w:val="20"/>
                <w:szCs w:val="20"/>
              </w:rPr>
              <w:t>15057</w:t>
            </w:r>
          </w:p>
        </w:tc>
        <w:tc>
          <w:tcPr>
            <w:tcW w:w="744" w:type="dxa"/>
          </w:tcPr>
          <w:p w14:paraId="7040C4D4" w14:textId="5012C959" w:rsidR="00800D2B" w:rsidRDefault="00800D2B" w:rsidP="00800D2B">
            <w:pPr>
              <w:rPr>
                <w:rFonts w:ascii="Arial" w:hAnsi="Arial" w:cs="Arial"/>
                <w:sz w:val="20"/>
              </w:rPr>
            </w:pPr>
            <w:proofErr w:type="spellStart"/>
            <w:r>
              <w:rPr>
                <w:rFonts w:ascii="Arial" w:hAnsi="Arial" w:cs="Arial"/>
                <w:sz w:val="20"/>
                <w:szCs w:val="20"/>
              </w:rPr>
              <w:t>Yongjiang</w:t>
            </w:r>
            <w:proofErr w:type="spellEnd"/>
            <w:r>
              <w:rPr>
                <w:rFonts w:ascii="Arial" w:hAnsi="Arial" w:cs="Arial"/>
                <w:sz w:val="20"/>
                <w:szCs w:val="20"/>
              </w:rPr>
              <w:t xml:space="preserve"> Yi</w:t>
            </w:r>
          </w:p>
        </w:tc>
        <w:tc>
          <w:tcPr>
            <w:tcW w:w="531" w:type="dxa"/>
          </w:tcPr>
          <w:p w14:paraId="7FCBF0AC" w14:textId="52EEBC7B" w:rsidR="00800D2B" w:rsidRDefault="00800D2B" w:rsidP="00800D2B">
            <w:pPr>
              <w:rPr>
                <w:rFonts w:ascii="Arial" w:hAnsi="Arial" w:cs="Arial"/>
                <w:sz w:val="20"/>
              </w:rPr>
            </w:pPr>
            <w:r>
              <w:rPr>
                <w:rFonts w:ascii="Arial" w:hAnsi="Arial" w:cs="Arial"/>
                <w:sz w:val="20"/>
                <w:szCs w:val="20"/>
              </w:rPr>
              <w:t>35.3.16.7</w:t>
            </w:r>
          </w:p>
        </w:tc>
        <w:tc>
          <w:tcPr>
            <w:tcW w:w="567" w:type="dxa"/>
          </w:tcPr>
          <w:p w14:paraId="4DDCF9D5" w14:textId="2BC1A0F6" w:rsidR="00800D2B" w:rsidRDefault="00800D2B" w:rsidP="00800D2B">
            <w:pPr>
              <w:rPr>
                <w:rFonts w:ascii="Arial" w:hAnsi="Arial" w:cs="Arial"/>
                <w:sz w:val="20"/>
              </w:rPr>
            </w:pPr>
            <w:r>
              <w:rPr>
                <w:rFonts w:ascii="Arial" w:hAnsi="Arial" w:cs="Arial"/>
                <w:sz w:val="20"/>
                <w:szCs w:val="20"/>
              </w:rPr>
              <w:t>559.21</w:t>
            </w:r>
          </w:p>
        </w:tc>
        <w:tc>
          <w:tcPr>
            <w:tcW w:w="2127" w:type="dxa"/>
          </w:tcPr>
          <w:p w14:paraId="31694A41" w14:textId="3E48D4E2" w:rsidR="00800D2B" w:rsidRDefault="00800D2B" w:rsidP="00800D2B">
            <w:pPr>
              <w:rPr>
                <w:rFonts w:ascii="Arial" w:hAnsi="Arial" w:cs="Arial"/>
                <w:sz w:val="20"/>
              </w:rPr>
            </w:pPr>
            <w:r>
              <w:rPr>
                <w:rFonts w:ascii="Arial" w:hAnsi="Arial" w:cs="Arial"/>
                <w:sz w:val="20"/>
                <w:szCs w:val="20"/>
              </w:rPr>
              <w:t>response frames is less</w:t>
            </w:r>
          </w:p>
        </w:tc>
        <w:tc>
          <w:tcPr>
            <w:tcW w:w="1842" w:type="dxa"/>
          </w:tcPr>
          <w:p w14:paraId="2F526C57" w14:textId="0B1BC1F0" w:rsidR="00800D2B" w:rsidRDefault="00800D2B" w:rsidP="00800D2B">
            <w:pPr>
              <w:rPr>
                <w:rFonts w:ascii="Arial" w:hAnsi="Arial" w:cs="Arial"/>
                <w:sz w:val="20"/>
              </w:rPr>
            </w:pPr>
            <w:r>
              <w:rPr>
                <w:rFonts w:ascii="Arial" w:hAnsi="Arial" w:cs="Arial"/>
                <w:sz w:val="20"/>
                <w:szCs w:val="20"/>
              </w:rPr>
              <w:t>response frames are less</w:t>
            </w:r>
          </w:p>
        </w:tc>
        <w:tc>
          <w:tcPr>
            <w:tcW w:w="4260" w:type="dxa"/>
          </w:tcPr>
          <w:p w14:paraId="3B96820F" w14:textId="016E07BB" w:rsidR="00B9565B" w:rsidRDefault="00B9565B" w:rsidP="00B9565B">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752B3B57" w14:textId="77777777" w:rsidR="00B9565B" w:rsidRDefault="00B9565B" w:rsidP="00B9565B">
            <w:pPr>
              <w:jc w:val="left"/>
              <w:rPr>
                <w:rFonts w:eastAsia="宋体"/>
                <w:color w:val="000000"/>
                <w:sz w:val="20"/>
                <w:szCs w:val="14"/>
                <w:lang w:val="en-US" w:eastAsia="zh-CN"/>
              </w:rPr>
            </w:pPr>
          </w:p>
          <w:p w14:paraId="15A6BB38" w14:textId="01B2F393" w:rsidR="00800D2B" w:rsidRDefault="00B9565B" w:rsidP="00B9565B">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he subject of the commenting sentence is “the difference” which is a singular, so “is less than” is used.</w:t>
            </w:r>
          </w:p>
          <w:p w14:paraId="08131F73" w14:textId="638F907B" w:rsidR="00B9565B" w:rsidRPr="00B9565B" w:rsidRDefault="00B9565B" w:rsidP="00B9565B">
            <w:pPr>
              <w:jc w:val="left"/>
              <w:rPr>
                <w:rFonts w:eastAsia="宋体"/>
                <w:color w:val="000000"/>
                <w:sz w:val="20"/>
                <w:szCs w:val="14"/>
                <w:lang w:val="en-US" w:eastAsia="zh-CN"/>
              </w:rPr>
            </w:pPr>
          </w:p>
        </w:tc>
      </w:tr>
      <w:tr w:rsidR="00800D2B" w:rsidRPr="008F0D26" w14:paraId="09878E60" w14:textId="77777777" w:rsidTr="005A0363">
        <w:trPr>
          <w:trHeight w:val="980"/>
        </w:trPr>
        <w:tc>
          <w:tcPr>
            <w:tcW w:w="877" w:type="dxa"/>
          </w:tcPr>
          <w:p w14:paraId="11CC4BE8" w14:textId="31EF76F4" w:rsidR="00800D2B" w:rsidRDefault="00800D2B" w:rsidP="00800D2B">
            <w:pPr>
              <w:rPr>
                <w:rFonts w:ascii="Arial" w:hAnsi="Arial" w:cs="Arial"/>
                <w:sz w:val="20"/>
              </w:rPr>
            </w:pPr>
            <w:r>
              <w:rPr>
                <w:rFonts w:ascii="Arial" w:hAnsi="Arial" w:cs="Arial"/>
                <w:sz w:val="20"/>
                <w:szCs w:val="20"/>
              </w:rPr>
              <w:t>15644</w:t>
            </w:r>
          </w:p>
        </w:tc>
        <w:tc>
          <w:tcPr>
            <w:tcW w:w="744" w:type="dxa"/>
          </w:tcPr>
          <w:p w14:paraId="6588BD46" w14:textId="4AB34F99" w:rsidR="00800D2B" w:rsidRDefault="00800D2B" w:rsidP="00800D2B">
            <w:pPr>
              <w:rPr>
                <w:rFonts w:ascii="Arial" w:hAnsi="Arial" w:cs="Arial"/>
                <w:sz w:val="20"/>
              </w:rPr>
            </w:pPr>
            <w:proofErr w:type="spellStart"/>
            <w:r>
              <w:rPr>
                <w:rFonts w:ascii="Arial" w:hAnsi="Arial" w:cs="Arial"/>
                <w:sz w:val="20"/>
                <w:szCs w:val="20"/>
              </w:rPr>
              <w:t>Xiangxin</w:t>
            </w:r>
            <w:proofErr w:type="spellEnd"/>
            <w:r>
              <w:rPr>
                <w:rFonts w:ascii="Arial" w:hAnsi="Arial" w:cs="Arial"/>
                <w:sz w:val="20"/>
                <w:szCs w:val="20"/>
              </w:rPr>
              <w:t xml:space="preserve"> Gu</w:t>
            </w:r>
          </w:p>
        </w:tc>
        <w:tc>
          <w:tcPr>
            <w:tcW w:w="531" w:type="dxa"/>
          </w:tcPr>
          <w:p w14:paraId="49D216E6" w14:textId="12D0D7B6" w:rsidR="00800D2B" w:rsidRDefault="00800D2B" w:rsidP="00800D2B">
            <w:pPr>
              <w:rPr>
                <w:rFonts w:ascii="Arial" w:hAnsi="Arial" w:cs="Arial"/>
                <w:sz w:val="20"/>
              </w:rPr>
            </w:pPr>
            <w:r>
              <w:rPr>
                <w:rFonts w:ascii="Arial" w:hAnsi="Arial" w:cs="Arial"/>
                <w:sz w:val="20"/>
                <w:szCs w:val="20"/>
              </w:rPr>
              <w:t>35.3.16.7</w:t>
            </w:r>
          </w:p>
        </w:tc>
        <w:tc>
          <w:tcPr>
            <w:tcW w:w="567" w:type="dxa"/>
          </w:tcPr>
          <w:p w14:paraId="1BC541AF" w14:textId="70F01F15" w:rsidR="00800D2B" w:rsidRDefault="00800D2B" w:rsidP="00800D2B">
            <w:pPr>
              <w:rPr>
                <w:rFonts w:ascii="Arial" w:hAnsi="Arial" w:cs="Arial"/>
                <w:sz w:val="20"/>
              </w:rPr>
            </w:pPr>
            <w:r>
              <w:rPr>
                <w:rFonts w:ascii="Arial" w:hAnsi="Arial" w:cs="Arial"/>
                <w:sz w:val="20"/>
                <w:szCs w:val="20"/>
              </w:rPr>
              <w:t>559.48</w:t>
            </w:r>
          </w:p>
        </w:tc>
        <w:tc>
          <w:tcPr>
            <w:tcW w:w="2127" w:type="dxa"/>
          </w:tcPr>
          <w:p w14:paraId="79759F07" w14:textId="46E54AC9" w:rsidR="00800D2B" w:rsidRDefault="00800D2B" w:rsidP="00800D2B">
            <w:pPr>
              <w:rPr>
                <w:rFonts w:ascii="Arial" w:hAnsi="Arial" w:cs="Arial"/>
                <w:sz w:val="20"/>
              </w:rPr>
            </w:pPr>
            <w:r>
              <w:rPr>
                <w:rFonts w:ascii="Arial" w:hAnsi="Arial" w:cs="Arial"/>
                <w:sz w:val="20"/>
                <w:szCs w:val="20"/>
              </w:rPr>
              <w:t>It is helpful to have a figure to illustrate the relationship between these time boundaries.</w:t>
            </w:r>
          </w:p>
        </w:tc>
        <w:tc>
          <w:tcPr>
            <w:tcW w:w="1842" w:type="dxa"/>
          </w:tcPr>
          <w:p w14:paraId="3062C22F" w14:textId="6572D90F" w:rsidR="00800D2B" w:rsidRDefault="00800D2B" w:rsidP="00800D2B">
            <w:pPr>
              <w:rPr>
                <w:rFonts w:ascii="Arial" w:hAnsi="Arial" w:cs="Arial"/>
                <w:sz w:val="20"/>
              </w:rPr>
            </w:pPr>
            <w:r>
              <w:rPr>
                <w:rFonts w:ascii="Arial" w:hAnsi="Arial" w:cs="Arial"/>
                <w:sz w:val="20"/>
                <w:szCs w:val="20"/>
              </w:rPr>
              <w:t>To add a figure</w:t>
            </w:r>
          </w:p>
        </w:tc>
        <w:tc>
          <w:tcPr>
            <w:tcW w:w="4260" w:type="dxa"/>
          </w:tcPr>
          <w:p w14:paraId="7EB4A4D0" w14:textId="77777777" w:rsidR="00800D2B" w:rsidRDefault="00C371DF" w:rsidP="00800D2B">
            <w:pPr>
              <w:jc w:val="left"/>
              <w:rPr>
                <w:rFonts w:eastAsia="宋体"/>
                <w:color w:val="000000"/>
                <w:sz w:val="20"/>
                <w:szCs w:val="14"/>
                <w:lang w:val="en-US" w:eastAsia="zh-CN"/>
              </w:rPr>
            </w:pPr>
            <w:r>
              <w:rPr>
                <w:rFonts w:eastAsia="宋体"/>
                <w:color w:val="000000"/>
                <w:sz w:val="20"/>
                <w:szCs w:val="14"/>
                <w:lang w:val="en-US" w:eastAsia="zh-CN"/>
              </w:rPr>
              <w:t>Rejected</w:t>
            </w:r>
          </w:p>
          <w:p w14:paraId="7323BAD1" w14:textId="77777777" w:rsidR="00C371DF" w:rsidRDefault="00C371DF" w:rsidP="00800D2B">
            <w:pPr>
              <w:jc w:val="left"/>
              <w:rPr>
                <w:rFonts w:eastAsia="宋体"/>
                <w:color w:val="000000"/>
                <w:sz w:val="20"/>
                <w:szCs w:val="14"/>
                <w:lang w:val="en-US" w:eastAsia="zh-CN"/>
              </w:rPr>
            </w:pPr>
          </w:p>
          <w:p w14:paraId="64F7888F" w14:textId="44C87E64" w:rsidR="00C371DF" w:rsidRDefault="00C371DF" w:rsidP="00C371DF">
            <w:pPr>
              <w:jc w:val="left"/>
              <w:rPr>
                <w:rFonts w:eastAsia="宋体"/>
                <w:color w:val="000000"/>
                <w:sz w:val="20"/>
                <w:szCs w:val="14"/>
                <w:lang w:val="en-US" w:eastAsia="zh-CN"/>
              </w:rPr>
            </w:pPr>
            <w:r>
              <w:rPr>
                <w:rFonts w:eastAsia="宋体" w:hint="eastAsia"/>
                <w:color w:val="000000"/>
                <w:sz w:val="20"/>
                <w:szCs w:val="14"/>
                <w:lang w:val="en-US" w:eastAsia="zh-CN"/>
              </w:rPr>
              <w:t>I</w:t>
            </w:r>
            <w:r>
              <w:rPr>
                <w:rFonts w:eastAsia="宋体"/>
                <w:color w:val="000000"/>
                <w:sz w:val="20"/>
                <w:szCs w:val="14"/>
                <w:lang w:val="en-US" w:eastAsia="zh-CN"/>
              </w:rPr>
              <w:t xml:space="preserve">t is hard to show all possible cases in single figure. </w:t>
            </w:r>
            <w:r w:rsidR="00455F14">
              <w:rPr>
                <w:rFonts w:eastAsia="宋体"/>
                <w:color w:val="000000"/>
                <w:sz w:val="20"/>
                <w:szCs w:val="14"/>
                <w:lang w:val="en-US" w:eastAsia="zh-CN"/>
              </w:rPr>
              <w:t>M</w:t>
            </w:r>
            <w:r>
              <w:rPr>
                <w:rFonts w:eastAsia="宋体"/>
                <w:color w:val="000000"/>
                <w:sz w:val="20"/>
                <w:szCs w:val="14"/>
                <w:lang w:val="en-US" w:eastAsia="zh-CN"/>
              </w:rPr>
              <w:t>ultiple figures will significant increase the length of this subclause.</w:t>
            </w:r>
          </w:p>
          <w:p w14:paraId="073EB2F0" w14:textId="77777777" w:rsidR="00C371DF" w:rsidRDefault="00C371DF" w:rsidP="00C371DF">
            <w:pPr>
              <w:jc w:val="left"/>
              <w:rPr>
                <w:rFonts w:eastAsia="宋体"/>
                <w:color w:val="000000"/>
                <w:sz w:val="20"/>
                <w:szCs w:val="14"/>
                <w:lang w:val="en-US" w:eastAsia="zh-CN"/>
              </w:rPr>
            </w:pPr>
          </w:p>
          <w:p w14:paraId="7AC8D728" w14:textId="5AA5A070" w:rsidR="00C371DF" w:rsidRDefault="00455F14" w:rsidP="00C371DF">
            <w:pPr>
              <w:jc w:val="left"/>
              <w:rPr>
                <w:rFonts w:eastAsia="宋体"/>
                <w:color w:val="000000"/>
                <w:sz w:val="20"/>
                <w:szCs w:val="14"/>
                <w:lang w:val="en-US" w:eastAsia="zh-CN"/>
              </w:rPr>
            </w:pPr>
            <w:r>
              <w:rPr>
                <w:rFonts w:eastAsia="宋体"/>
                <w:color w:val="000000"/>
                <w:sz w:val="20"/>
                <w:szCs w:val="14"/>
                <w:lang w:val="en-US" w:eastAsia="zh-CN"/>
              </w:rPr>
              <w:t xml:space="preserve">The </w:t>
            </w:r>
            <w:r w:rsidR="00C371DF">
              <w:rPr>
                <w:rFonts w:eastAsia="宋体"/>
                <w:color w:val="000000"/>
                <w:sz w:val="20"/>
                <w:szCs w:val="14"/>
                <w:lang w:val="en-US" w:eastAsia="zh-CN"/>
              </w:rPr>
              <w:t xml:space="preserve">logic of the text is </w:t>
            </w:r>
            <w:r>
              <w:rPr>
                <w:rFonts w:eastAsia="宋体"/>
                <w:color w:val="000000"/>
                <w:sz w:val="20"/>
                <w:szCs w:val="14"/>
                <w:lang w:val="en-US" w:eastAsia="zh-CN"/>
              </w:rPr>
              <w:t>that</w:t>
            </w:r>
            <w:ins w:id="0" w:author="Kwok Shum Au (Edward)" w:date="2023-04-24T12:18:00Z">
              <w:r>
                <w:rPr>
                  <w:rFonts w:eastAsia="宋体"/>
                  <w:color w:val="000000"/>
                  <w:sz w:val="20"/>
                  <w:szCs w:val="14"/>
                  <w:lang w:val="en-US" w:eastAsia="zh-CN"/>
                </w:rPr>
                <w:t xml:space="preserve"> </w:t>
              </w:r>
            </w:ins>
            <w:r w:rsidR="00C371DF">
              <w:rPr>
                <w:rFonts w:eastAsia="宋体"/>
                <w:color w:val="000000"/>
                <w:sz w:val="20"/>
                <w:szCs w:val="14"/>
                <w:lang w:val="en-US" w:eastAsia="zh-CN"/>
              </w:rPr>
              <w:t>the first bullet covers the IFS on the link that response frame “ends last while successful”; the second bullet covers the IFS on the link that response frame “ends last while failed”; the last bullet covers the IFS on the link that response frame “ends first (no matter successful or failed)”.</w:t>
            </w:r>
          </w:p>
          <w:p w14:paraId="3FFF4510" w14:textId="5012961C" w:rsidR="00C371DF" w:rsidRDefault="00C371DF" w:rsidP="00C371DF">
            <w:pPr>
              <w:jc w:val="left"/>
              <w:rPr>
                <w:rFonts w:eastAsia="宋体"/>
                <w:color w:val="000000"/>
                <w:sz w:val="20"/>
                <w:szCs w:val="14"/>
                <w:lang w:val="en-US" w:eastAsia="zh-CN"/>
              </w:rPr>
            </w:pPr>
            <w:r>
              <w:rPr>
                <w:rFonts w:eastAsia="宋体"/>
                <w:color w:val="000000"/>
                <w:sz w:val="20"/>
                <w:szCs w:val="14"/>
                <w:lang w:val="en-US" w:eastAsia="zh-CN"/>
              </w:rPr>
              <w:t xml:space="preserve"> </w:t>
            </w:r>
          </w:p>
          <w:p w14:paraId="7AF1B486" w14:textId="027C93CA" w:rsidR="00C371DF" w:rsidRPr="00C371DF" w:rsidRDefault="00C371DF" w:rsidP="00C371DF">
            <w:pPr>
              <w:jc w:val="left"/>
              <w:rPr>
                <w:rFonts w:eastAsia="宋体"/>
                <w:color w:val="000000"/>
                <w:sz w:val="20"/>
                <w:szCs w:val="14"/>
                <w:lang w:val="en-US" w:eastAsia="zh-CN"/>
              </w:rPr>
            </w:pPr>
            <w:r>
              <w:rPr>
                <w:rFonts w:eastAsia="宋体"/>
                <w:color w:val="000000"/>
                <w:sz w:val="20"/>
                <w:szCs w:val="14"/>
                <w:lang w:val="en-US" w:eastAsia="zh-CN"/>
              </w:rPr>
              <w:t xml:space="preserve">More analysis can be found in doc </w:t>
            </w:r>
            <w:r w:rsidRPr="00C371DF">
              <w:rPr>
                <w:rFonts w:eastAsia="宋体"/>
                <w:color w:val="000000"/>
                <w:sz w:val="20"/>
                <w:szCs w:val="14"/>
                <w:lang w:val="en-US" w:eastAsia="zh-CN"/>
              </w:rPr>
              <w:t>11/21-0062r1</w:t>
            </w:r>
          </w:p>
          <w:p w14:paraId="57C05B9E" w14:textId="4BE32B0E" w:rsidR="00C371DF" w:rsidRPr="00E67E65" w:rsidRDefault="00C371DF" w:rsidP="00C371DF">
            <w:pPr>
              <w:jc w:val="left"/>
              <w:rPr>
                <w:rFonts w:eastAsia="宋体"/>
                <w:color w:val="000000"/>
                <w:sz w:val="20"/>
                <w:szCs w:val="14"/>
                <w:lang w:val="en-US" w:eastAsia="zh-CN"/>
              </w:rPr>
            </w:pPr>
          </w:p>
        </w:tc>
      </w:tr>
      <w:tr w:rsidR="00800D2B" w14:paraId="16EC81CA" w14:textId="77777777" w:rsidTr="005A0363">
        <w:trPr>
          <w:trHeight w:val="980"/>
        </w:trPr>
        <w:tc>
          <w:tcPr>
            <w:tcW w:w="877" w:type="dxa"/>
          </w:tcPr>
          <w:p w14:paraId="05F26952" w14:textId="17008145" w:rsidR="00800D2B" w:rsidRDefault="00800D2B" w:rsidP="00800D2B">
            <w:pPr>
              <w:rPr>
                <w:rFonts w:ascii="Arial" w:hAnsi="Arial" w:cs="Arial"/>
                <w:sz w:val="20"/>
              </w:rPr>
            </w:pPr>
            <w:r>
              <w:rPr>
                <w:rFonts w:ascii="Arial" w:hAnsi="Arial" w:cs="Arial"/>
                <w:sz w:val="20"/>
                <w:szCs w:val="20"/>
              </w:rPr>
              <w:t>15813</w:t>
            </w:r>
          </w:p>
        </w:tc>
        <w:tc>
          <w:tcPr>
            <w:tcW w:w="744" w:type="dxa"/>
          </w:tcPr>
          <w:p w14:paraId="3FBF323A" w14:textId="096BE42D" w:rsidR="00800D2B" w:rsidRDefault="00800D2B" w:rsidP="00800D2B">
            <w:pPr>
              <w:rPr>
                <w:rFonts w:ascii="Arial" w:hAnsi="Arial" w:cs="Arial"/>
                <w:sz w:val="20"/>
              </w:rPr>
            </w:pPr>
            <w:r>
              <w:rPr>
                <w:rFonts w:ascii="Arial" w:hAnsi="Arial" w:cs="Arial"/>
                <w:sz w:val="20"/>
                <w:szCs w:val="20"/>
              </w:rPr>
              <w:t>Muhammad Kumail Haider</w:t>
            </w:r>
          </w:p>
        </w:tc>
        <w:tc>
          <w:tcPr>
            <w:tcW w:w="531" w:type="dxa"/>
          </w:tcPr>
          <w:p w14:paraId="24F6A0D5" w14:textId="78CDF95B" w:rsidR="00800D2B" w:rsidRDefault="00800D2B" w:rsidP="00800D2B">
            <w:pPr>
              <w:rPr>
                <w:rFonts w:ascii="Arial" w:hAnsi="Arial" w:cs="Arial"/>
                <w:sz w:val="20"/>
              </w:rPr>
            </w:pPr>
            <w:r>
              <w:rPr>
                <w:rFonts w:ascii="Arial" w:hAnsi="Arial" w:cs="Arial"/>
                <w:sz w:val="20"/>
                <w:szCs w:val="20"/>
              </w:rPr>
              <w:t>35.3.16.7</w:t>
            </w:r>
          </w:p>
        </w:tc>
        <w:tc>
          <w:tcPr>
            <w:tcW w:w="567" w:type="dxa"/>
          </w:tcPr>
          <w:p w14:paraId="2484C2FA" w14:textId="10E3FF17" w:rsidR="00800D2B" w:rsidRDefault="00800D2B" w:rsidP="00800D2B">
            <w:pPr>
              <w:rPr>
                <w:rFonts w:ascii="Arial" w:hAnsi="Arial" w:cs="Arial"/>
                <w:sz w:val="20"/>
              </w:rPr>
            </w:pPr>
            <w:r>
              <w:rPr>
                <w:rFonts w:ascii="Arial" w:hAnsi="Arial" w:cs="Arial"/>
                <w:sz w:val="20"/>
                <w:szCs w:val="20"/>
              </w:rPr>
              <w:t>0.00</w:t>
            </w:r>
          </w:p>
        </w:tc>
        <w:tc>
          <w:tcPr>
            <w:tcW w:w="2127" w:type="dxa"/>
          </w:tcPr>
          <w:p w14:paraId="1438C21F" w14:textId="15BDBF8B" w:rsidR="00800D2B" w:rsidRDefault="00800D2B" w:rsidP="00800D2B">
            <w:pPr>
              <w:rPr>
                <w:rFonts w:ascii="Arial" w:hAnsi="Arial" w:cs="Arial"/>
                <w:sz w:val="20"/>
              </w:rPr>
            </w:pPr>
            <w:r>
              <w:rPr>
                <w:rFonts w:ascii="Arial" w:hAnsi="Arial" w:cs="Arial"/>
                <w:sz w:val="20"/>
                <w:szCs w:val="20"/>
              </w:rPr>
              <w:t>There are multiple instances of both "a NSTR" and "an NSTR" in this subclause and throughout the spec. The correct usage is "an NSTR"</w:t>
            </w:r>
          </w:p>
        </w:tc>
        <w:tc>
          <w:tcPr>
            <w:tcW w:w="1842" w:type="dxa"/>
          </w:tcPr>
          <w:p w14:paraId="607BD5CF" w14:textId="2B69F517" w:rsidR="00800D2B" w:rsidRDefault="00800D2B" w:rsidP="00800D2B">
            <w:pPr>
              <w:rPr>
                <w:rFonts w:ascii="Arial" w:hAnsi="Arial" w:cs="Arial"/>
                <w:sz w:val="20"/>
              </w:rPr>
            </w:pPr>
            <w:r>
              <w:rPr>
                <w:rFonts w:ascii="Arial" w:hAnsi="Arial" w:cs="Arial"/>
                <w:sz w:val="20"/>
                <w:szCs w:val="20"/>
              </w:rPr>
              <w:t>Replace "a NSTR" to "an NSTR" throughout the spec to be consistent and grammatically correct</w:t>
            </w:r>
          </w:p>
        </w:tc>
        <w:tc>
          <w:tcPr>
            <w:tcW w:w="4260" w:type="dxa"/>
          </w:tcPr>
          <w:p w14:paraId="4E9CE067" w14:textId="1F08C7EC" w:rsidR="00800D2B" w:rsidRDefault="00455F14"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2592C51F" w14:textId="77777777" w:rsidR="00E67E65" w:rsidRDefault="00E67E65" w:rsidP="00800D2B">
            <w:pPr>
              <w:autoSpaceDE w:val="0"/>
              <w:autoSpaceDN w:val="0"/>
              <w:adjustRightInd w:val="0"/>
              <w:rPr>
                <w:rFonts w:ascii="Calibri" w:eastAsia="宋体" w:hAnsi="Calibri" w:cs="Calibri"/>
                <w:szCs w:val="18"/>
                <w:lang w:val="en-US" w:eastAsia="zh-CN"/>
              </w:rPr>
            </w:pPr>
          </w:p>
          <w:p w14:paraId="0AA10072" w14:textId="1C791407" w:rsidR="00E67E65" w:rsidRDefault="00455F14"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to the commenter:  </w:t>
            </w:r>
            <w:r w:rsidR="00E67E65">
              <w:rPr>
                <w:rFonts w:ascii="Calibri" w:eastAsia="宋体" w:hAnsi="Calibri" w:cs="Calibri"/>
                <w:szCs w:val="18"/>
                <w:lang w:val="en-US" w:eastAsia="zh-CN"/>
              </w:rPr>
              <w:t>All the instances of “a NSTR” have been replaced with “an NSTR” in the resolution of CID 16247</w:t>
            </w:r>
          </w:p>
          <w:p w14:paraId="0967DC4F" w14:textId="77777777" w:rsidR="00E67E65" w:rsidRDefault="00E67E65" w:rsidP="00800D2B">
            <w:pPr>
              <w:autoSpaceDE w:val="0"/>
              <w:autoSpaceDN w:val="0"/>
              <w:adjustRightInd w:val="0"/>
              <w:rPr>
                <w:rFonts w:ascii="Calibri" w:eastAsia="宋体" w:hAnsi="Calibri" w:cs="Calibri"/>
                <w:szCs w:val="18"/>
                <w:lang w:val="en-US" w:eastAsia="zh-CN"/>
              </w:rPr>
            </w:pPr>
          </w:p>
          <w:p w14:paraId="707B786C" w14:textId="2EEA7D68" w:rsidR="00E67E65" w:rsidRPr="000E0BFA" w:rsidRDefault="00455F14" w:rsidP="00800D2B">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E67E65" w:rsidRPr="000E0BFA">
              <w:rPr>
                <w:rFonts w:ascii="Calibri" w:eastAsia="宋体" w:hAnsi="Calibri" w:cs="Calibri"/>
                <w:b/>
                <w:szCs w:val="18"/>
                <w:lang w:val="en-US" w:eastAsia="zh-CN"/>
              </w:rPr>
              <w:t>TGbe</w:t>
            </w:r>
            <w:proofErr w:type="spellEnd"/>
            <w:r w:rsidR="00E67E65"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E67E65" w:rsidRPr="000E0BFA">
              <w:rPr>
                <w:rFonts w:ascii="Calibri" w:eastAsia="宋体" w:hAnsi="Calibri" w:cs="Calibri"/>
                <w:b/>
                <w:szCs w:val="18"/>
                <w:lang w:val="en-US" w:eastAsia="zh-CN"/>
              </w:rPr>
              <w:t>no</w:t>
            </w:r>
            <w:r w:rsidR="000E0BFA" w:rsidRPr="000E0BFA">
              <w:rPr>
                <w:rFonts w:ascii="Calibri" w:eastAsia="宋体" w:hAnsi="Calibri" w:cs="Calibri"/>
                <w:b/>
                <w:szCs w:val="18"/>
                <w:lang w:val="en-US" w:eastAsia="zh-CN"/>
              </w:rPr>
              <w:t xml:space="preserve">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7359B265" w14:textId="77777777" w:rsidR="00E67E65" w:rsidRDefault="00E67E65" w:rsidP="00800D2B">
            <w:pPr>
              <w:autoSpaceDE w:val="0"/>
              <w:autoSpaceDN w:val="0"/>
              <w:adjustRightInd w:val="0"/>
              <w:rPr>
                <w:rFonts w:ascii="Calibri" w:eastAsia="宋体" w:hAnsi="Calibri" w:cs="Calibri"/>
                <w:szCs w:val="18"/>
                <w:lang w:val="en-US" w:eastAsia="zh-CN"/>
              </w:rPr>
            </w:pPr>
          </w:p>
          <w:p w14:paraId="09C64909" w14:textId="5DE8FF74" w:rsidR="00E67E65" w:rsidRPr="00E67E65" w:rsidRDefault="00E67E65" w:rsidP="00800D2B">
            <w:pPr>
              <w:autoSpaceDE w:val="0"/>
              <w:autoSpaceDN w:val="0"/>
              <w:adjustRightInd w:val="0"/>
              <w:rPr>
                <w:rFonts w:ascii="Calibri" w:eastAsia="宋体" w:hAnsi="Calibri" w:cs="Calibri"/>
                <w:szCs w:val="18"/>
                <w:lang w:val="en-US" w:eastAsia="zh-CN"/>
              </w:rPr>
            </w:pPr>
          </w:p>
        </w:tc>
      </w:tr>
      <w:tr w:rsidR="00800D2B" w14:paraId="68133DEC" w14:textId="77777777" w:rsidTr="005A0363">
        <w:trPr>
          <w:trHeight w:val="980"/>
        </w:trPr>
        <w:tc>
          <w:tcPr>
            <w:tcW w:w="877" w:type="dxa"/>
          </w:tcPr>
          <w:p w14:paraId="035CAA32" w14:textId="0B1D36FE" w:rsidR="00800D2B" w:rsidRDefault="00800D2B" w:rsidP="00800D2B">
            <w:pPr>
              <w:rPr>
                <w:rFonts w:ascii="Arial" w:hAnsi="Arial" w:cs="Arial"/>
                <w:sz w:val="20"/>
              </w:rPr>
            </w:pPr>
            <w:r>
              <w:rPr>
                <w:rFonts w:ascii="Arial" w:hAnsi="Arial" w:cs="Arial"/>
                <w:sz w:val="20"/>
                <w:szCs w:val="20"/>
              </w:rPr>
              <w:t>16316</w:t>
            </w:r>
          </w:p>
        </w:tc>
        <w:tc>
          <w:tcPr>
            <w:tcW w:w="744" w:type="dxa"/>
          </w:tcPr>
          <w:p w14:paraId="14F9F404" w14:textId="7AD35AED" w:rsidR="00800D2B" w:rsidRDefault="00800D2B" w:rsidP="00800D2B">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54130B9A" w14:textId="1AEC32AC" w:rsidR="00800D2B" w:rsidRDefault="00800D2B" w:rsidP="00800D2B">
            <w:pPr>
              <w:rPr>
                <w:rFonts w:ascii="Arial" w:hAnsi="Arial" w:cs="Arial"/>
                <w:sz w:val="20"/>
              </w:rPr>
            </w:pPr>
            <w:r>
              <w:rPr>
                <w:rFonts w:ascii="Arial" w:hAnsi="Arial" w:cs="Arial"/>
                <w:sz w:val="20"/>
                <w:szCs w:val="20"/>
              </w:rPr>
              <w:t>35.3.16.7</w:t>
            </w:r>
          </w:p>
        </w:tc>
        <w:tc>
          <w:tcPr>
            <w:tcW w:w="567" w:type="dxa"/>
          </w:tcPr>
          <w:p w14:paraId="79B0FE17" w14:textId="7260B69D" w:rsidR="00800D2B" w:rsidRDefault="00800D2B" w:rsidP="00800D2B">
            <w:pPr>
              <w:rPr>
                <w:rFonts w:ascii="Arial" w:hAnsi="Arial" w:cs="Arial"/>
                <w:sz w:val="20"/>
              </w:rPr>
            </w:pPr>
            <w:r>
              <w:rPr>
                <w:rFonts w:ascii="Arial" w:hAnsi="Arial" w:cs="Arial"/>
                <w:sz w:val="20"/>
                <w:szCs w:val="20"/>
              </w:rPr>
              <w:t>559.12</w:t>
            </w:r>
          </w:p>
        </w:tc>
        <w:tc>
          <w:tcPr>
            <w:tcW w:w="2127" w:type="dxa"/>
          </w:tcPr>
          <w:p w14:paraId="1610AED2" w14:textId="034AA5D7" w:rsidR="00800D2B" w:rsidRDefault="00800D2B" w:rsidP="00800D2B">
            <w:pPr>
              <w:rPr>
                <w:rFonts w:ascii="Arial" w:hAnsi="Arial" w:cs="Arial"/>
                <w:sz w:val="20"/>
              </w:rPr>
            </w:pPr>
            <w:r>
              <w:rPr>
                <w:rFonts w:ascii="Arial" w:hAnsi="Arial" w:cs="Arial"/>
                <w:sz w:val="20"/>
                <w:szCs w:val="20"/>
              </w:rPr>
              <w:t>"Belong(s) to a NSTR link pair" is not correct.</w:t>
            </w:r>
          </w:p>
        </w:tc>
        <w:tc>
          <w:tcPr>
            <w:tcW w:w="1842" w:type="dxa"/>
          </w:tcPr>
          <w:p w14:paraId="190F6883" w14:textId="61C8E5DF" w:rsidR="00800D2B" w:rsidRDefault="00800D2B" w:rsidP="00800D2B">
            <w:pPr>
              <w:rPr>
                <w:rFonts w:ascii="Arial" w:hAnsi="Arial" w:cs="Arial"/>
                <w:sz w:val="20"/>
              </w:rPr>
            </w:pPr>
            <w:r>
              <w:rPr>
                <w:rFonts w:ascii="Arial" w:hAnsi="Arial" w:cs="Arial"/>
                <w:sz w:val="20"/>
                <w:szCs w:val="20"/>
              </w:rPr>
              <w:t>Please change "Belong(s) to a NSTR link pair" to ''Belong(s) to an NSTR link pair' in this subclause.</w:t>
            </w:r>
          </w:p>
        </w:tc>
        <w:tc>
          <w:tcPr>
            <w:tcW w:w="4260" w:type="dxa"/>
          </w:tcPr>
          <w:p w14:paraId="702DD092" w14:textId="74D9BBFF"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28A770F2" w14:textId="77777777" w:rsidR="000E0BFA" w:rsidRDefault="000E0BFA" w:rsidP="000E0BFA">
            <w:pPr>
              <w:autoSpaceDE w:val="0"/>
              <w:autoSpaceDN w:val="0"/>
              <w:adjustRightInd w:val="0"/>
              <w:rPr>
                <w:rFonts w:ascii="Calibri" w:eastAsia="宋体" w:hAnsi="Calibri" w:cs="Calibri"/>
                <w:szCs w:val="18"/>
                <w:lang w:val="en-US" w:eastAsia="zh-CN"/>
              </w:rPr>
            </w:pPr>
          </w:p>
          <w:p w14:paraId="3AA4A9CA" w14:textId="03981864"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to the commenter: </w:t>
            </w:r>
            <w:r w:rsidR="000E0BFA">
              <w:rPr>
                <w:rFonts w:ascii="Calibri" w:eastAsia="宋体" w:hAnsi="Calibri" w:cs="Calibri"/>
                <w:szCs w:val="18"/>
                <w:lang w:val="en-US" w:eastAsia="zh-CN"/>
              </w:rPr>
              <w:t>All the instances of “a NSTR” have been replaced with “an NSTR” in the resolution of CID 16247</w:t>
            </w:r>
          </w:p>
          <w:p w14:paraId="5A1274DC" w14:textId="77777777" w:rsidR="000E0BFA" w:rsidRDefault="000E0BFA" w:rsidP="000E0BFA">
            <w:pPr>
              <w:autoSpaceDE w:val="0"/>
              <w:autoSpaceDN w:val="0"/>
              <w:adjustRightInd w:val="0"/>
              <w:rPr>
                <w:rFonts w:ascii="Calibri" w:eastAsia="宋体" w:hAnsi="Calibri" w:cs="Calibri"/>
                <w:szCs w:val="18"/>
                <w:lang w:val="en-US" w:eastAsia="zh-CN"/>
              </w:rPr>
            </w:pPr>
          </w:p>
          <w:p w14:paraId="111A0AE5" w14:textId="600E0ED6" w:rsidR="000E0BFA" w:rsidRPr="000E0BFA" w:rsidRDefault="00455F14" w:rsidP="000E0BFA">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0E0BFA" w:rsidRPr="000E0BFA">
              <w:rPr>
                <w:rFonts w:ascii="Calibri" w:eastAsia="宋体" w:hAnsi="Calibri" w:cs="Calibri"/>
                <w:b/>
                <w:szCs w:val="18"/>
                <w:lang w:val="en-US" w:eastAsia="zh-CN"/>
              </w:rPr>
              <w:t>TGbe</w:t>
            </w:r>
            <w:proofErr w:type="spellEnd"/>
            <w:r w:rsidR="000E0BFA"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0E0BFA" w:rsidRPr="000E0BFA">
              <w:rPr>
                <w:rFonts w:ascii="Calibri" w:eastAsia="宋体" w:hAnsi="Calibri" w:cs="Calibri"/>
                <w:b/>
                <w:szCs w:val="18"/>
                <w:lang w:val="en-US" w:eastAsia="zh-CN"/>
              </w:rPr>
              <w:t xml:space="preserve">no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7F29223B" w14:textId="77777777" w:rsidR="00800D2B" w:rsidRPr="000E0BFA" w:rsidRDefault="00800D2B" w:rsidP="00800D2B">
            <w:pPr>
              <w:autoSpaceDE w:val="0"/>
              <w:autoSpaceDN w:val="0"/>
              <w:adjustRightInd w:val="0"/>
              <w:rPr>
                <w:rFonts w:ascii="Calibri" w:hAnsi="Calibri" w:cs="Calibri"/>
                <w:szCs w:val="18"/>
                <w:lang w:val="en-US" w:eastAsia="zh-CN"/>
              </w:rPr>
            </w:pPr>
          </w:p>
        </w:tc>
      </w:tr>
      <w:tr w:rsidR="00800D2B" w14:paraId="32669CE2" w14:textId="77777777" w:rsidTr="005A0363">
        <w:trPr>
          <w:trHeight w:val="980"/>
        </w:trPr>
        <w:tc>
          <w:tcPr>
            <w:tcW w:w="877" w:type="dxa"/>
          </w:tcPr>
          <w:p w14:paraId="1D633D09" w14:textId="19544031" w:rsidR="00800D2B" w:rsidRDefault="00800D2B" w:rsidP="00800D2B">
            <w:pPr>
              <w:rPr>
                <w:rFonts w:ascii="Arial" w:hAnsi="Arial" w:cs="Arial"/>
                <w:sz w:val="20"/>
              </w:rPr>
            </w:pPr>
            <w:r>
              <w:rPr>
                <w:rFonts w:ascii="Arial" w:hAnsi="Arial" w:cs="Arial"/>
                <w:sz w:val="20"/>
                <w:szCs w:val="20"/>
              </w:rPr>
              <w:t>16318</w:t>
            </w:r>
          </w:p>
        </w:tc>
        <w:tc>
          <w:tcPr>
            <w:tcW w:w="744" w:type="dxa"/>
          </w:tcPr>
          <w:p w14:paraId="03293141" w14:textId="502F68A6" w:rsidR="00800D2B" w:rsidRDefault="00800D2B" w:rsidP="00800D2B">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5E5339D1" w14:textId="732781C4" w:rsidR="00800D2B" w:rsidRDefault="00800D2B" w:rsidP="00800D2B">
            <w:pPr>
              <w:rPr>
                <w:rFonts w:ascii="Arial" w:hAnsi="Arial" w:cs="Arial"/>
                <w:sz w:val="20"/>
              </w:rPr>
            </w:pPr>
            <w:r>
              <w:rPr>
                <w:rFonts w:ascii="Arial" w:hAnsi="Arial" w:cs="Arial"/>
                <w:sz w:val="20"/>
                <w:szCs w:val="20"/>
              </w:rPr>
              <w:t>35.3.16.7</w:t>
            </w:r>
          </w:p>
        </w:tc>
        <w:tc>
          <w:tcPr>
            <w:tcW w:w="567" w:type="dxa"/>
          </w:tcPr>
          <w:p w14:paraId="39DDF167" w14:textId="4DAA204F" w:rsidR="00800D2B" w:rsidRDefault="00800D2B" w:rsidP="00800D2B">
            <w:pPr>
              <w:rPr>
                <w:rFonts w:ascii="Arial" w:hAnsi="Arial" w:cs="Arial"/>
                <w:sz w:val="20"/>
              </w:rPr>
            </w:pPr>
            <w:r>
              <w:rPr>
                <w:rFonts w:ascii="Arial" w:hAnsi="Arial" w:cs="Arial"/>
                <w:sz w:val="20"/>
                <w:szCs w:val="20"/>
              </w:rPr>
              <w:t>559.11</w:t>
            </w:r>
          </w:p>
        </w:tc>
        <w:tc>
          <w:tcPr>
            <w:tcW w:w="2127" w:type="dxa"/>
          </w:tcPr>
          <w:p w14:paraId="1282CB2C" w14:textId="12A643F4" w:rsidR="00800D2B" w:rsidRDefault="00800D2B" w:rsidP="00800D2B">
            <w:pPr>
              <w:rPr>
                <w:rFonts w:ascii="Arial" w:hAnsi="Arial" w:cs="Arial"/>
                <w:sz w:val="20"/>
              </w:rPr>
            </w:pPr>
            <w:r>
              <w:rPr>
                <w:rFonts w:ascii="Arial" w:hAnsi="Arial" w:cs="Arial"/>
                <w:sz w:val="20"/>
                <w:szCs w:val="20"/>
              </w:rPr>
              <w:t>Name of the subclause 35.3.16.7, "Error recovery on a NSTR link pair within PIFS" is not correct.</w:t>
            </w:r>
          </w:p>
        </w:tc>
        <w:tc>
          <w:tcPr>
            <w:tcW w:w="1842" w:type="dxa"/>
          </w:tcPr>
          <w:p w14:paraId="3EB906CA" w14:textId="0F89A589" w:rsidR="00800D2B" w:rsidRDefault="00800D2B" w:rsidP="00800D2B">
            <w:pPr>
              <w:rPr>
                <w:rFonts w:ascii="Arial" w:hAnsi="Arial" w:cs="Arial"/>
                <w:sz w:val="20"/>
              </w:rPr>
            </w:pPr>
            <w:r>
              <w:rPr>
                <w:rFonts w:ascii="Arial" w:hAnsi="Arial" w:cs="Arial"/>
                <w:sz w:val="20"/>
                <w:szCs w:val="20"/>
              </w:rPr>
              <w:t xml:space="preserve">Please change the subclause name as: "Error recovery on an </w:t>
            </w:r>
            <w:r>
              <w:rPr>
                <w:rFonts w:ascii="Arial" w:hAnsi="Arial" w:cs="Arial"/>
                <w:sz w:val="20"/>
                <w:szCs w:val="20"/>
              </w:rPr>
              <w:lastRenderedPageBreak/>
              <w:t>NSTR link pair within PIFS".</w:t>
            </w:r>
          </w:p>
        </w:tc>
        <w:tc>
          <w:tcPr>
            <w:tcW w:w="4260" w:type="dxa"/>
          </w:tcPr>
          <w:p w14:paraId="163523D9" w14:textId="165C027C"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Accepted</w:t>
            </w:r>
          </w:p>
          <w:p w14:paraId="0FACFFB8" w14:textId="77777777" w:rsidR="000E0BFA" w:rsidRDefault="000E0BFA" w:rsidP="000E0BFA">
            <w:pPr>
              <w:autoSpaceDE w:val="0"/>
              <w:autoSpaceDN w:val="0"/>
              <w:adjustRightInd w:val="0"/>
              <w:rPr>
                <w:rFonts w:ascii="Calibri" w:eastAsia="宋体" w:hAnsi="Calibri" w:cs="Calibri"/>
                <w:szCs w:val="18"/>
                <w:lang w:val="en-US" w:eastAsia="zh-CN"/>
              </w:rPr>
            </w:pPr>
          </w:p>
          <w:p w14:paraId="7ADAFF0C" w14:textId="2E343D9E"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 xml:space="preserve">Note to the commenter: </w:t>
            </w:r>
            <w:r w:rsidR="000E0BFA">
              <w:rPr>
                <w:rFonts w:ascii="Calibri" w:eastAsia="宋体" w:hAnsi="Calibri" w:cs="Calibri"/>
                <w:szCs w:val="18"/>
                <w:lang w:val="en-US" w:eastAsia="zh-CN"/>
              </w:rPr>
              <w:t>All the instances of “a NSTR” have been replaced with “an NSTR” in the resolution of CID 16247</w:t>
            </w:r>
          </w:p>
          <w:p w14:paraId="3E775AF5" w14:textId="77777777" w:rsidR="000E0BFA" w:rsidRDefault="000E0BFA" w:rsidP="000E0BFA">
            <w:pPr>
              <w:autoSpaceDE w:val="0"/>
              <w:autoSpaceDN w:val="0"/>
              <w:adjustRightInd w:val="0"/>
              <w:rPr>
                <w:rFonts w:ascii="Calibri" w:eastAsia="宋体" w:hAnsi="Calibri" w:cs="Calibri"/>
                <w:szCs w:val="18"/>
                <w:lang w:val="en-US" w:eastAsia="zh-CN"/>
              </w:rPr>
            </w:pPr>
          </w:p>
          <w:p w14:paraId="03E93C8E" w14:textId="62D8013F" w:rsidR="000E0BFA" w:rsidRPr="000E0BFA" w:rsidRDefault="00455F14" w:rsidP="000E0BFA">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0E0BFA" w:rsidRPr="000E0BFA">
              <w:rPr>
                <w:rFonts w:ascii="Calibri" w:eastAsia="宋体" w:hAnsi="Calibri" w:cs="Calibri"/>
                <w:b/>
                <w:szCs w:val="18"/>
                <w:lang w:val="en-US" w:eastAsia="zh-CN"/>
              </w:rPr>
              <w:t>TGbe</w:t>
            </w:r>
            <w:proofErr w:type="spellEnd"/>
            <w:r w:rsidR="000E0BFA"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0E0BFA" w:rsidRPr="000E0BFA">
              <w:rPr>
                <w:rFonts w:ascii="Calibri" w:eastAsia="宋体" w:hAnsi="Calibri" w:cs="Calibri"/>
                <w:b/>
                <w:szCs w:val="18"/>
                <w:lang w:val="en-US" w:eastAsia="zh-CN"/>
              </w:rPr>
              <w:t xml:space="preserve">no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5B4648E0" w14:textId="25698613" w:rsidR="00800D2B" w:rsidRPr="000E0BFA" w:rsidRDefault="00800D2B" w:rsidP="00800D2B">
            <w:pPr>
              <w:autoSpaceDE w:val="0"/>
              <w:autoSpaceDN w:val="0"/>
              <w:adjustRightInd w:val="0"/>
              <w:rPr>
                <w:rFonts w:ascii="Calibri" w:eastAsia="宋体" w:hAnsi="Calibri" w:cs="Calibri"/>
                <w:szCs w:val="18"/>
                <w:lang w:val="en-US" w:eastAsia="zh-CN"/>
              </w:rPr>
            </w:pPr>
          </w:p>
        </w:tc>
      </w:tr>
      <w:tr w:rsidR="00800D2B" w:rsidRPr="00111759" w14:paraId="3E5CA39E" w14:textId="77777777" w:rsidTr="005A0363">
        <w:trPr>
          <w:trHeight w:val="980"/>
        </w:trPr>
        <w:tc>
          <w:tcPr>
            <w:tcW w:w="877" w:type="dxa"/>
          </w:tcPr>
          <w:p w14:paraId="4D325A6E" w14:textId="45CE81C5" w:rsidR="00800D2B" w:rsidRDefault="00800D2B" w:rsidP="00800D2B">
            <w:pPr>
              <w:rPr>
                <w:rFonts w:ascii="Arial" w:hAnsi="Arial" w:cs="Arial"/>
                <w:sz w:val="20"/>
              </w:rPr>
            </w:pPr>
            <w:r>
              <w:rPr>
                <w:rFonts w:ascii="Arial" w:hAnsi="Arial" w:cs="Arial"/>
                <w:sz w:val="20"/>
                <w:szCs w:val="20"/>
              </w:rPr>
              <w:lastRenderedPageBreak/>
              <w:t>16336</w:t>
            </w:r>
          </w:p>
        </w:tc>
        <w:tc>
          <w:tcPr>
            <w:tcW w:w="744" w:type="dxa"/>
          </w:tcPr>
          <w:p w14:paraId="1FC40242" w14:textId="1E5537C3" w:rsidR="00800D2B" w:rsidRDefault="00800D2B" w:rsidP="00800D2B">
            <w:pPr>
              <w:rPr>
                <w:rFonts w:ascii="Arial" w:hAnsi="Arial" w:cs="Arial"/>
                <w:sz w:val="20"/>
              </w:rPr>
            </w:pPr>
            <w:r>
              <w:rPr>
                <w:rFonts w:ascii="Arial" w:hAnsi="Arial" w:cs="Arial"/>
                <w:sz w:val="20"/>
                <w:szCs w:val="20"/>
              </w:rPr>
              <w:t>Yongho Kim</w:t>
            </w:r>
          </w:p>
        </w:tc>
        <w:tc>
          <w:tcPr>
            <w:tcW w:w="531" w:type="dxa"/>
          </w:tcPr>
          <w:p w14:paraId="3D975EB7" w14:textId="2EA02D98" w:rsidR="00800D2B" w:rsidRDefault="00800D2B" w:rsidP="00800D2B">
            <w:pPr>
              <w:rPr>
                <w:rFonts w:ascii="Arial" w:hAnsi="Arial" w:cs="Arial"/>
                <w:sz w:val="20"/>
              </w:rPr>
            </w:pPr>
            <w:r>
              <w:rPr>
                <w:rFonts w:ascii="Arial" w:hAnsi="Arial" w:cs="Arial"/>
                <w:sz w:val="20"/>
                <w:szCs w:val="20"/>
              </w:rPr>
              <w:t>35.3.16.7</w:t>
            </w:r>
          </w:p>
        </w:tc>
        <w:tc>
          <w:tcPr>
            <w:tcW w:w="567" w:type="dxa"/>
          </w:tcPr>
          <w:p w14:paraId="731969EB" w14:textId="5201FC3B" w:rsidR="00800D2B" w:rsidRDefault="00800D2B" w:rsidP="00800D2B">
            <w:pPr>
              <w:rPr>
                <w:rFonts w:ascii="Arial" w:hAnsi="Arial" w:cs="Arial"/>
                <w:sz w:val="20"/>
              </w:rPr>
            </w:pPr>
            <w:r>
              <w:rPr>
                <w:rFonts w:ascii="Arial" w:hAnsi="Arial" w:cs="Arial"/>
                <w:sz w:val="20"/>
                <w:szCs w:val="20"/>
              </w:rPr>
              <w:t>559.40</w:t>
            </w:r>
          </w:p>
        </w:tc>
        <w:tc>
          <w:tcPr>
            <w:tcW w:w="2127" w:type="dxa"/>
          </w:tcPr>
          <w:p w14:paraId="31015B9A" w14:textId="31363F5F" w:rsidR="00800D2B" w:rsidRDefault="00800D2B" w:rsidP="00800D2B">
            <w:pPr>
              <w:rPr>
                <w:rFonts w:ascii="Arial" w:hAnsi="Arial" w:cs="Arial"/>
                <w:sz w:val="20"/>
              </w:rPr>
            </w:pPr>
            <w:r>
              <w:rPr>
                <w:rFonts w:ascii="Arial" w:hAnsi="Arial" w:cs="Arial"/>
                <w:sz w:val="20"/>
                <w:szCs w:val="20"/>
              </w:rPr>
              <w:t xml:space="preserve">In UL/DL synchronized PPDU transmission in multi-link, after successful TXOP setup, PIFS recovery can be performed for the consecutive frame in one of the NSTR links, when BA frame is not transmitted in one or more link. Since 8us margin is allowed in end time alignment, retransmitted data with PIFS recovery may </w:t>
            </w:r>
            <w:proofErr w:type="spellStart"/>
            <w:r>
              <w:rPr>
                <w:rFonts w:ascii="Arial" w:hAnsi="Arial" w:cs="Arial"/>
                <w:sz w:val="20"/>
                <w:szCs w:val="20"/>
              </w:rPr>
              <w:t>colide</w:t>
            </w:r>
            <w:proofErr w:type="spellEnd"/>
            <w:r>
              <w:rPr>
                <w:rFonts w:ascii="Arial" w:hAnsi="Arial" w:cs="Arial"/>
                <w:sz w:val="20"/>
                <w:szCs w:val="20"/>
              </w:rPr>
              <w:t xml:space="preserve"> with BA on the other link due to the NSTR Interference.</w:t>
            </w:r>
            <w:r>
              <w:rPr>
                <w:rFonts w:ascii="Arial" w:hAnsi="Arial" w:cs="Arial"/>
                <w:sz w:val="20"/>
                <w:szCs w:val="20"/>
              </w:rPr>
              <w:br/>
              <w:t xml:space="preserve">Subclause 35.3.16.7 could be expanded to address this issue. For example, if a response frame is not transmitted for a data frame, PIFS recovery could be performed in the link in which the </w:t>
            </w:r>
            <w:proofErr w:type="gramStart"/>
            <w:r>
              <w:rPr>
                <w:rFonts w:ascii="Arial" w:hAnsi="Arial" w:cs="Arial"/>
                <w:sz w:val="20"/>
                <w:szCs w:val="20"/>
              </w:rPr>
              <w:t>transmission  of</w:t>
            </w:r>
            <w:proofErr w:type="gramEnd"/>
            <w:r>
              <w:rPr>
                <w:rFonts w:ascii="Arial" w:hAnsi="Arial" w:cs="Arial"/>
                <w:sz w:val="20"/>
                <w:szCs w:val="20"/>
              </w:rPr>
              <w:t xml:space="preserve"> the data frame ended first to account for the missing response frame. </w:t>
            </w:r>
            <w:r w:rsidRPr="00AC0AC9">
              <w:rPr>
                <w:rFonts w:ascii="Arial" w:hAnsi="Arial" w:cs="Arial"/>
                <w:sz w:val="20"/>
                <w:szCs w:val="20"/>
                <w:highlight w:val="yellow"/>
              </w:rPr>
              <w:t>In the other link, the transmission should be ended without transmitting a response frame</w:t>
            </w:r>
            <w:r>
              <w:rPr>
                <w:rFonts w:ascii="Arial" w:hAnsi="Arial" w:cs="Arial"/>
                <w:sz w:val="20"/>
                <w:szCs w:val="20"/>
              </w:rPr>
              <w:t xml:space="preserve">, </w:t>
            </w:r>
            <w:r w:rsidRPr="00AC0AC9">
              <w:rPr>
                <w:rFonts w:ascii="Arial" w:hAnsi="Arial" w:cs="Arial"/>
                <w:sz w:val="20"/>
                <w:szCs w:val="20"/>
                <w:highlight w:val="cyan"/>
              </w:rPr>
              <w:t xml:space="preserve">and the reception information of the other link can be transmitted in the link in which the transmission of the </w:t>
            </w:r>
            <w:r w:rsidRPr="00AC0AC9">
              <w:rPr>
                <w:rFonts w:ascii="Arial" w:hAnsi="Arial" w:cs="Arial"/>
                <w:sz w:val="20"/>
                <w:szCs w:val="20"/>
                <w:highlight w:val="cyan"/>
              </w:rPr>
              <w:lastRenderedPageBreak/>
              <w:t>data frame ended firs</w:t>
            </w:r>
            <w:r>
              <w:rPr>
                <w:rFonts w:ascii="Arial" w:hAnsi="Arial" w:cs="Arial"/>
                <w:sz w:val="20"/>
                <w:szCs w:val="20"/>
              </w:rPr>
              <w:t>t.</w:t>
            </w:r>
            <w:r>
              <w:rPr>
                <w:rFonts w:ascii="Arial" w:hAnsi="Arial" w:cs="Arial"/>
                <w:sz w:val="20"/>
                <w:szCs w:val="20"/>
              </w:rPr>
              <w:br/>
              <w:t xml:space="preserve">When the STA choose not to perform PIFS recovery in case of a response frame failure, the STA shall invoke </w:t>
            </w:r>
            <w:proofErr w:type="spellStart"/>
            <w:r>
              <w:rPr>
                <w:rFonts w:ascii="Arial" w:hAnsi="Arial" w:cs="Arial"/>
                <w:sz w:val="20"/>
                <w:szCs w:val="20"/>
              </w:rPr>
              <w:t>backoff</w:t>
            </w:r>
            <w:proofErr w:type="spellEnd"/>
            <w:r>
              <w:rPr>
                <w:rFonts w:ascii="Arial" w:hAnsi="Arial" w:cs="Arial"/>
                <w:sz w:val="20"/>
                <w:szCs w:val="20"/>
              </w:rPr>
              <w:t>.</w:t>
            </w:r>
          </w:p>
        </w:tc>
        <w:tc>
          <w:tcPr>
            <w:tcW w:w="1842" w:type="dxa"/>
          </w:tcPr>
          <w:p w14:paraId="1C23E6E8" w14:textId="0929F47C" w:rsidR="00800D2B" w:rsidRDefault="00800D2B" w:rsidP="00800D2B">
            <w:pPr>
              <w:rPr>
                <w:rFonts w:ascii="Arial" w:hAnsi="Arial" w:cs="Arial"/>
                <w:sz w:val="20"/>
              </w:rPr>
            </w:pPr>
            <w:r>
              <w:rPr>
                <w:rFonts w:ascii="Arial" w:hAnsi="Arial" w:cs="Arial"/>
                <w:sz w:val="20"/>
                <w:szCs w:val="20"/>
              </w:rPr>
              <w:lastRenderedPageBreak/>
              <w:t>As in comment, please clarify PIFS recovery operation when response frame is not transmitted in one link of an NSTR link pair.</w:t>
            </w:r>
          </w:p>
        </w:tc>
        <w:tc>
          <w:tcPr>
            <w:tcW w:w="4260" w:type="dxa"/>
          </w:tcPr>
          <w:p w14:paraId="1AE62C40" w14:textId="77777777" w:rsidR="00800D2B" w:rsidRDefault="00AC0AC9"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695E70C1" w14:textId="77777777" w:rsidR="00AC0AC9" w:rsidRDefault="00AC0AC9" w:rsidP="00800D2B">
            <w:pPr>
              <w:autoSpaceDE w:val="0"/>
              <w:autoSpaceDN w:val="0"/>
              <w:adjustRightInd w:val="0"/>
              <w:rPr>
                <w:rFonts w:ascii="Calibri" w:eastAsia="宋体" w:hAnsi="Calibri" w:cs="Calibri"/>
                <w:szCs w:val="18"/>
                <w:lang w:val="en-US" w:eastAsia="zh-CN"/>
              </w:rPr>
            </w:pPr>
          </w:p>
          <w:p w14:paraId="542D2010" w14:textId="2ABEA4C6" w:rsidR="00AC0AC9" w:rsidRDefault="00AC0AC9"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It is not a simple extension for current PIFS recovery</w:t>
            </w:r>
            <w:r w:rsidR="00111759">
              <w:rPr>
                <w:rFonts w:ascii="Calibri" w:eastAsia="宋体" w:hAnsi="Calibri" w:cs="Calibri"/>
                <w:szCs w:val="18"/>
                <w:lang w:val="en-US" w:eastAsia="zh-CN"/>
              </w:rPr>
              <w:t xml:space="preserve">. Several </w:t>
            </w:r>
            <w:r>
              <w:rPr>
                <w:rFonts w:ascii="Calibri" w:eastAsia="宋体" w:hAnsi="Calibri" w:cs="Calibri"/>
                <w:szCs w:val="18"/>
                <w:lang w:val="en-US" w:eastAsia="zh-CN"/>
              </w:rPr>
              <w:t>significant changes are needed which are very cha</w:t>
            </w:r>
            <w:del w:id="1" w:author="Kwok Shum Au (Edward)" w:date="2023-04-26T12:15:00Z">
              <w:r w:rsidDel="00111759">
                <w:rPr>
                  <w:rFonts w:ascii="Calibri" w:eastAsia="宋体" w:hAnsi="Calibri" w:cs="Calibri"/>
                  <w:szCs w:val="18"/>
                  <w:lang w:val="en-US" w:eastAsia="zh-CN"/>
                </w:rPr>
                <w:delText>r</w:delText>
              </w:r>
            </w:del>
            <w:r>
              <w:rPr>
                <w:rFonts w:ascii="Calibri" w:eastAsia="宋体" w:hAnsi="Calibri" w:cs="Calibri"/>
                <w:szCs w:val="18"/>
                <w:lang w:val="en-US" w:eastAsia="zh-CN"/>
              </w:rPr>
              <w:t>llenge for the recipient MLD</w:t>
            </w:r>
            <w:r w:rsidR="00111759">
              <w:rPr>
                <w:rFonts w:ascii="Calibri" w:eastAsia="宋体" w:hAnsi="Calibri" w:cs="Calibri"/>
                <w:szCs w:val="18"/>
                <w:lang w:val="en-US" w:eastAsia="zh-CN"/>
              </w:rPr>
              <w:t>:</w:t>
            </w:r>
            <w:ins w:id="2" w:author="Kwok Shum Au (Edward)" w:date="2023-04-26T12:15:00Z">
              <w:r w:rsidR="00111759">
                <w:rPr>
                  <w:rFonts w:ascii="Calibri" w:eastAsia="宋体" w:hAnsi="Calibri" w:cs="Calibri"/>
                  <w:szCs w:val="18"/>
                  <w:lang w:val="en-US" w:eastAsia="zh-CN"/>
                </w:rPr>
                <w:t xml:space="preserve"> </w:t>
              </w:r>
            </w:ins>
          </w:p>
          <w:p w14:paraId="52A70553" w14:textId="5B6820A6" w:rsidR="00AC0AC9" w:rsidRPr="00AC0AC9" w:rsidRDefault="00AC0AC9" w:rsidP="00AC0AC9">
            <w:pPr>
              <w:pStyle w:val="ad"/>
              <w:numPr>
                <w:ilvl w:val="0"/>
                <w:numId w:val="9"/>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Response control frame is usually implemented in low MAC</w:t>
            </w:r>
            <w:r w:rsidR="00111759">
              <w:rPr>
                <w:rFonts w:ascii="Calibri" w:eastAsia="宋体" w:hAnsi="Calibri" w:cs="Calibri"/>
                <w:szCs w:val="18"/>
                <w:lang w:val="en-US" w:eastAsia="zh-CN"/>
              </w:rPr>
              <w:t xml:space="preserve">. Suspending </w:t>
            </w:r>
            <w:r>
              <w:rPr>
                <w:rFonts w:ascii="Calibri" w:eastAsia="宋体" w:hAnsi="Calibri" w:cs="Calibri"/>
                <w:szCs w:val="18"/>
                <w:lang w:val="en-US" w:eastAsia="zh-CN"/>
              </w:rPr>
              <w:t xml:space="preserve">a response frame </w:t>
            </w:r>
            <w:r w:rsidR="00111759">
              <w:rPr>
                <w:rFonts w:ascii="Calibri" w:eastAsia="宋体" w:hAnsi="Calibri" w:cs="Calibri"/>
                <w:szCs w:val="18"/>
                <w:lang w:val="en-US" w:eastAsia="zh-CN"/>
              </w:rPr>
              <w:t xml:space="preserve">is a </w:t>
            </w:r>
            <w:r>
              <w:rPr>
                <w:rFonts w:ascii="Calibri" w:eastAsia="宋体" w:hAnsi="Calibri" w:cs="Calibri"/>
                <w:szCs w:val="18"/>
                <w:lang w:val="en-US" w:eastAsia="zh-CN"/>
              </w:rPr>
              <w:t xml:space="preserve"> challenge in low MAC</w:t>
            </w:r>
          </w:p>
          <w:p w14:paraId="285E2275" w14:textId="533679E0" w:rsidR="00AC0AC9" w:rsidRPr="00AC0AC9" w:rsidRDefault="00111759" w:rsidP="00111759">
            <w:pPr>
              <w:pStyle w:val="ad"/>
              <w:numPr>
                <w:ilvl w:val="0"/>
                <w:numId w:val="9"/>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Implementation-wise, it is a challenge to move </w:t>
            </w:r>
            <w:r w:rsidR="00AC0AC9">
              <w:rPr>
                <w:rFonts w:ascii="Calibri" w:eastAsia="宋体" w:hAnsi="Calibri" w:cs="Calibri"/>
                <w:szCs w:val="18"/>
                <w:lang w:val="en-US" w:eastAsia="zh-CN"/>
              </w:rPr>
              <w:t>the response frame to another link</w:t>
            </w:r>
            <w:del w:id="3" w:author="Kwok Shum Au (Edward)" w:date="2023-04-26T12:16:00Z">
              <w:r w:rsidR="00AC0AC9" w:rsidDel="00111759">
                <w:rPr>
                  <w:rFonts w:ascii="Calibri" w:eastAsia="宋体" w:hAnsi="Calibri" w:cs="Calibri"/>
                  <w:szCs w:val="18"/>
                  <w:lang w:val="en-US" w:eastAsia="zh-CN"/>
                </w:rPr>
                <w:delText xml:space="preserve"> </w:delText>
              </w:r>
            </w:del>
            <w:r>
              <w:rPr>
                <w:rFonts w:ascii="Calibri" w:eastAsia="宋体" w:hAnsi="Calibri" w:cs="Calibri"/>
                <w:szCs w:val="18"/>
                <w:lang w:val="en-US" w:eastAsia="zh-CN"/>
              </w:rPr>
              <w:t xml:space="preserve">. It requires to </w:t>
            </w:r>
            <w:r w:rsidR="00AC0AC9">
              <w:rPr>
                <w:rFonts w:ascii="Calibri" w:eastAsia="宋体" w:hAnsi="Calibri" w:cs="Calibri"/>
                <w:szCs w:val="18"/>
                <w:lang w:val="en-US" w:eastAsia="zh-CN"/>
              </w:rPr>
              <w:t>divide a frame exchange (initial frame/response frame) into two pieces and perform in two links.</w:t>
            </w:r>
          </w:p>
        </w:tc>
      </w:tr>
      <w:tr w:rsidR="00800D2B" w14:paraId="4AB28DEF" w14:textId="77777777" w:rsidTr="005A0363">
        <w:trPr>
          <w:trHeight w:val="980"/>
        </w:trPr>
        <w:tc>
          <w:tcPr>
            <w:tcW w:w="877" w:type="dxa"/>
          </w:tcPr>
          <w:p w14:paraId="259D45F9" w14:textId="4648FB79" w:rsidR="00800D2B" w:rsidRDefault="00800D2B" w:rsidP="00800D2B">
            <w:pPr>
              <w:rPr>
                <w:rFonts w:ascii="Arial" w:hAnsi="Arial" w:cs="Arial"/>
                <w:sz w:val="20"/>
              </w:rPr>
            </w:pPr>
            <w:r>
              <w:rPr>
                <w:rFonts w:ascii="Arial" w:hAnsi="Arial" w:cs="Arial"/>
                <w:sz w:val="20"/>
                <w:szCs w:val="20"/>
              </w:rPr>
              <w:t>16893</w:t>
            </w:r>
          </w:p>
        </w:tc>
        <w:tc>
          <w:tcPr>
            <w:tcW w:w="744" w:type="dxa"/>
          </w:tcPr>
          <w:p w14:paraId="1D9219F5" w14:textId="78E41D4E" w:rsidR="00800D2B" w:rsidRDefault="00800D2B" w:rsidP="00800D2B">
            <w:pPr>
              <w:rPr>
                <w:rFonts w:ascii="Arial" w:hAnsi="Arial" w:cs="Arial"/>
                <w:sz w:val="20"/>
              </w:rPr>
            </w:pPr>
            <w:r>
              <w:rPr>
                <w:rFonts w:ascii="Arial" w:hAnsi="Arial" w:cs="Arial"/>
                <w:sz w:val="20"/>
                <w:szCs w:val="20"/>
              </w:rPr>
              <w:t>Mark RISON</w:t>
            </w:r>
          </w:p>
        </w:tc>
        <w:tc>
          <w:tcPr>
            <w:tcW w:w="531" w:type="dxa"/>
          </w:tcPr>
          <w:p w14:paraId="08FA7DD6" w14:textId="2994EBC6" w:rsidR="00800D2B" w:rsidRDefault="00800D2B" w:rsidP="00800D2B">
            <w:pPr>
              <w:rPr>
                <w:rFonts w:ascii="Arial" w:hAnsi="Arial" w:cs="Arial"/>
                <w:sz w:val="20"/>
              </w:rPr>
            </w:pPr>
            <w:r>
              <w:rPr>
                <w:rFonts w:ascii="Arial" w:hAnsi="Arial" w:cs="Arial"/>
                <w:sz w:val="20"/>
                <w:szCs w:val="20"/>
              </w:rPr>
              <w:t>35.3.16.7</w:t>
            </w:r>
          </w:p>
        </w:tc>
        <w:tc>
          <w:tcPr>
            <w:tcW w:w="567" w:type="dxa"/>
          </w:tcPr>
          <w:p w14:paraId="0CBA2634" w14:textId="5125E3A5" w:rsidR="00800D2B" w:rsidRDefault="00800D2B" w:rsidP="00800D2B">
            <w:pPr>
              <w:rPr>
                <w:rFonts w:ascii="Arial" w:hAnsi="Arial" w:cs="Arial"/>
                <w:sz w:val="20"/>
              </w:rPr>
            </w:pPr>
            <w:r>
              <w:rPr>
                <w:rFonts w:ascii="Arial" w:hAnsi="Arial" w:cs="Arial"/>
                <w:sz w:val="20"/>
                <w:szCs w:val="20"/>
              </w:rPr>
              <w:t>559.13</w:t>
            </w:r>
          </w:p>
        </w:tc>
        <w:tc>
          <w:tcPr>
            <w:tcW w:w="2127" w:type="dxa"/>
          </w:tcPr>
          <w:p w14:paraId="5C5859DA" w14:textId="359B0D2E" w:rsidR="00800D2B" w:rsidRDefault="00800D2B" w:rsidP="00800D2B">
            <w:pPr>
              <w:rPr>
                <w:rFonts w:ascii="Arial" w:hAnsi="Arial" w:cs="Arial"/>
                <w:sz w:val="20"/>
              </w:rPr>
            </w:pPr>
            <w:r>
              <w:rPr>
                <w:rFonts w:ascii="Arial" w:hAnsi="Arial" w:cs="Arial"/>
                <w:sz w:val="20"/>
                <w:szCs w:val="20"/>
              </w:rPr>
              <w:t>"After two PPDUs with end time alignment (and the PPDUs carrying the expected response frames also have</w:t>
            </w:r>
            <w:r>
              <w:rPr>
                <w:rFonts w:ascii="Arial" w:hAnsi="Arial" w:cs="Arial"/>
                <w:sz w:val="20"/>
                <w:szCs w:val="20"/>
              </w:rPr>
              <w:br/>
              <w:t>end time alignment) are transmitted by each STA affiliated with an MLD on two links that belong to a NSTR</w:t>
            </w:r>
            <w:r>
              <w:rPr>
                <w:rFonts w:ascii="Arial" w:hAnsi="Arial" w:cs="Arial"/>
                <w:sz w:val="20"/>
                <w:szCs w:val="20"/>
              </w:rPr>
              <w:br/>
              <w:t>link pair of the MLD" is not clear as to the total number of PPDUs involved</w:t>
            </w:r>
          </w:p>
        </w:tc>
        <w:tc>
          <w:tcPr>
            <w:tcW w:w="1842" w:type="dxa"/>
          </w:tcPr>
          <w:p w14:paraId="447BEC8B" w14:textId="18556831" w:rsidR="00800D2B" w:rsidRDefault="00800D2B" w:rsidP="00800D2B">
            <w:pPr>
              <w:rPr>
                <w:rFonts w:ascii="Arial" w:hAnsi="Arial" w:cs="Arial"/>
                <w:sz w:val="20"/>
              </w:rPr>
            </w:pPr>
            <w:r>
              <w:rPr>
                <w:rFonts w:ascii="Arial" w:hAnsi="Arial" w:cs="Arial"/>
                <w:sz w:val="20"/>
                <w:szCs w:val="20"/>
              </w:rPr>
              <w:t>"After two PPDUs with end time alignment (and the PPDUs carrying the expected response frames also have</w:t>
            </w:r>
            <w:r>
              <w:rPr>
                <w:rFonts w:ascii="Arial" w:hAnsi="Arial" w:cs="Arial"/>
                <w:sz w:val="20"/>
                <w:szCs w:val="20"/>
              </w:rPr>
              <w:br/>
              <w:t>end time alignment) are transmitted by each STA affiliated with an MLD on two links that belong to a NSTR</w:t>
            </w:r>
            <w:r>
              <w:rPr>
                <w:rFonts w:ascii="Arial" w:hAnsi="Arial" w:cs="Arial"/>
                <w:sz w:val="20"/>
                <w:szCs w:val="20"/>
              </w:rPr>
              <w:br/>
              <w:t>link pair of the MLD (i.e. a total of 4 PPDUs are transmitted by the non-AP MLD on those two links)"</w:t>
            </w:r>
          </w:p>
        </w:tc>
        <w:tc>
          <w:tcPr>
            <w:tcW w:w="4260" w:type="dxa"/>
          </w:tcPr>
          <w:p w14:paraId="498E4D73" w14:textId="5D44D551" w:rsidR="003423D3" w:rsidRDefault="003423D3" w:rsidP="00800D2B">
            <w:pPr>
              <w:autoSpaceDE w:val="0"/>
              <w:autoSpaceDN w:val="0"/>
              <w:adjustRightInd w:val="0"/>
              <w:rPr>
                <w:ins w:id="4" w:author="Liyunbo" w:date="2023-04-24T16:31:00Z"/>
                <w:rFonts w:ascii="Calibri" w:eastAsia="宋体" w:hAnsi="Calibri" w:cs="Calibri"/>
                <w:szCs w:val="18"/>
                <w:lang w:val="en-US" w:eastAsia="zh-CN"/>
              </w:rPr>
            </w:pPr>
            <w:r>
              <w:rPr>
                <w:rFonts w:ascii="Calibri" w:eastAsia="宋体" w:hAnsi="Calibri" w:cs="Calibri"/>
                <w:szCs w:val="18"/>
                <w:lang w:val="en-US" w:eastAsia="zh-CN"/>
              </w:rPr>
              <w:t>Revised</w:t>
            </w:r>
          </w:p>
          <w:p w14:paraId="26CC1AD9" w14:textId="77777777" w:rsidR="00F55E89" w:rsidRDefault="00F55E89" w:rsidP="00800D2B">
            <w:pPr>
              <w:autoSpaceDE w:val="0"/>
              <w:autoSpaceDN w:val="0"/>
              <w:adjustRightInd w:val="0"/>
              <w:rPr>
                <w:ins w:id="5" w:author="Liyunbo" w:date="2023-04-24T16:31:00Z"/>
                <w:rFonts w:ascii="Calibri" w:eastAsia="宋体" w:hAnsi="Calibri" w:cs="Calibri"/>
                <w:szCs w:val="18"/>
                <w:lang w:val="en-US" w:eastAsia="zh-CN"/>
              </w:rPr>
            </w:pPr>
          </w:p>
          <w:p w14:paraId="1D6E7650" w14:textId="6BEE6E99" w:rsidR="003423D3" w:rsidRDefault="00F55E89" w:rsidP="00F55E8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T</w:t>
            </w:r>
            <w:r>
              <w:rPr>
                <w:rFonts w:ascii="Calibri" w:eastAsia="宋体" w:hAnsi="Calibri" w:cs="Calibri"/>
                <w:szCs w:val="18"/>
                <w:lang w:val="en-US" w:eastAsia="zh-CN"/>
              </w:rPr>
              <w:t>here are only two PPDUs</w:t>
            </w:r>
            <w:r w:rsidR="00EA16C9">
              <w:rPr>
                <w:rFonts w:ascii="Calibri" w:eastAsia="宋体" w:hAnsi="Calibri" w:cs="Calibri"/>
                <w:szCs w:val="18"/>
                <w:lang w:val="en-US" w:eastAsia="zh-CN"/>
              </w:rPr>
              <w:t xml:space="preserve"> that</w:t>
            </w:r>
            <w:r>
              <w:rPr>
                <w:rFonts w:ascii="Calibri" w:eastAsia="宋体" w:hAnsi="Calibri" w:cs="Calibri"/>
                <w:szCs w:val="18"/>
                <w:lang w:val="en-US" w:eastAsia="zh-CN"/>
              </w:rPr>
              <w:t xml:space="preserve"> are transmitted by the non-AP MLD on those two links. The PPDUs carrying the expected response frame (transmitted by the responder MLD) are received by the non-AP MLD.</w:t>
            </w:r>
          </w:p>
          <w:p w14:paraId="31BD90DD" w14:textId="77777777" w:rsidR="00F55E89" w:rsidRDefault="00F55E89" w:rsidP="00F55E89">
            <w:pPr>
              <w:autoSpaceDE w:val="0"/>
              <w:autoSpaceDN w:val="0"/>
              <w:adjustRightInd w:val="0"/>
              <w:rPr>
                <w:rFonts w:ascii="Calibri" w:eastAsia="宋体" w:hAnsi="Calibri" w:cs="Calibri"/>
                <w:szCs w:val="18"/>
                <w:lang w:val="en-US" w:eastAsia="zh-CN"/>
              </w:rPr>
            </w:pPr>
          </w:p>
          <w:p w14:paraId="11440F01" w14:textId="3515D6D3" w:rsidR="00F55E89" w:rsidRDefault="00F55E89" w:rsidP="006B090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is updated to </w:t>
            </w:r>
            <w:r w:rsidR="00AC1E6D">
              <w:rPr>
                <w:rFonts w:ascii="Calibri" w:eastAsia="宋体" w:hAnsi="Calibri" w:cs="Calibri"/>
                <w:szCs w:val="18"/>
                <w:lang w:val="en-US" w:eastAsia="zh-CN"/>
              </w:rPr>
              <w:t xml:space="preserve">clarify </w:t>
            </w:r>
            <w:r>
              <w:rPr>
                <w:rFonts w:ascii="Calibri" w:eastAsia="宋体" w:hAnsi="Calibri" w:cs="Calibri"/>
                <w:szCs w:val="18"/>
                <w:lang w:val="en-US" w:eastAsia="zh-CN"/>
              </w:rPr>
              <w:t xml:space="preserve">the relationship between the two PPDUs and </w:t>
            </w:r>
            <w:r w:rsidR="006B0905">
              <w:rPr>
                <w:rFonts w:ascii="Calibri" w:eastAsia="宋体" w:hAnsi="Calibri" w:cs="Calibri"/>
                <w:szCs w:val="18"/>
                <w:lang w:val="en-US" w:eastAsia="zh-CN"/>
              </w:rPr>
              <w:t>the two responding PPDUs.</w:t>
            </w:r>
            <w:r>
              <w:rPr>
                <w:rFonts w:ascii="Calibri" w:eastAsia="宋体" w:hAnsi="Calibri" w:cs="Calibri"/>
                <w:szCs w:val="18"/>
                <w:lang w:val="en-US" w:eastAsia="zh-CN"/>
              </w:rPr>
              <w:t xml:space="preserve"> </w:t>
            </w:r>
          </w:p>
          <w:p w14:paraId="7B004C50" w14:textId="77777777" w:rsidR="006B0905" w:rsidRDefault="006B0905" w:rsidP="006B0905">
            <w:pPr>
              <w:autoSpaceDE w:val="0"/>
              <w:autoSpaceDN w:val="0"/>
              <w:adjustRightInd w:val="0"/>
              <w:rPr>
                <w:rFonts w:ascii="Calibri" w:eastAsia="宋体" w:hAnsi="Calibri" w:cs="Calibri"/>
                <w:szCs w:val="18"/>
                <w:lang w:val="en-US" w:eastAsia="zh-CN"/>
              </w:rPr>
            </w:pPr>
          </w:p>
          <w:p w14:paraId="612E5CFF" w14:textId="25770E9E" w:rsidR="006B0905" w:rsidRPr="00CE56A4" w:rsidRDefault="006B0905" w:rsidP="006B0905">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993921">
              <w:rPr>
                <w:rFonts w:ascii="Times New Roman" w:hAnsi="Times New Roman" w:cs="Times New Roman"/>
                <w:b/>
                <w:color w:val="000000" w:themeColor="text1"/>
                <w:sz w:val="20"/>
                <w:szCs w:val="20"/>
              </w:rPr>
              <w:t>in 11-23/</w:t>
            </w:r>
            <w:r w:rsidR="00FA5461">
              <w:rPr>
                <w:rFonts w:ascii="Times New Roman" w:hAnsi="Times New Roman" w:cs="Times New Roman"/>
                <w:b/>
                <w:color w:val="000000" w:themeColor="text1"/>
                <w:sz w:val="20"/>
                <w:szCs w:val="20"/>
              </w:rPr>
              <w:t>0694r1</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16893</w:t>
            </w:r>
          </w:p>
        </w:tc>
      </w:tr>
      <w:tr w:rsidR="00800D2B" w14:paraId="3572F2BD" w14:textId="77777777" w:rsidTr="005A0363">
        <w:trPr>
          <w:trHeight w:val="980"/>
        </w:trPr>
        <w:tc>
          <w:tcPr>
            <w:tcW w:w="877" w:type="dxa"/>
          </w:tcPr>
          <w:p w14:paraId="7E5B8A5E" w14:textId="62453D0F" w:rsidR="00800D2B" w:rsidRDefault="00800D2B" w:rsidP="00800D2B">
            <w:pPr>
              <w:rPr>
                <w:rFonts w:ascii="Arial" w:hAnsi="Arial" w:cs="Arial"/>
                <w:sz w:val="20"/>
              </w:rPr>
            </w:pPr>
            <w:r w:rsidRPr="001702DF">
              <w:rPr>
                <w:rFonts w:ascii="Arial" w:hAnsi="Arial" w:cs="Arial"/>
                <w:sz w:val="20"/>
                <w:szCs w:val="20"/>
                <w:highlight w:val="yellow"/>
              </w:rPr>
              <w:t>16894</w:t>
            </w:r>
          </w:p>
        </w:tc>
        <w:tc>
          <w:tcPr>
            <w:tcW w:w="744" w:type="dxa"/>
          </w:tcPr>
          <w:p w14:paraId="18D83BA6" w14:textId="15444EE1" w:rsidR="00800D2B" w:rsidRDefault="00800D2B" w:rsidP="00800D2B">
            <w:pPr>
              <w:rPr>
                <w:rFonts w:ascii="Arial" w:hAnsi="Arial" w:cs="Arial"/>
                <w:sz w:val="20"/>
              </w:rPr>
            </w:pPr>
            <w:r>
              <w:rPr>
                <w:rFonts w:ascii="Arial" w:hAnsi="Arial" w:cs="Arial"/>
                <w:sz w:val="20"/>
                <w:szCs w:val="20"/>
              </w:rPr>
              <w:t>Mark RISON</w:t>
            </w:r>
          </w:p>
        </w:tc>
        <w:tc>
          <w:tcPr>
            <w:tcW w:w="531" w:type="dxa"/>
          </w:tcPr>
          <w:p w14:paraId="3A7520C1" w14:textId="1F8AE869" w:rsidR="00800D2B" w:rsidRDefault="00800D2B" w:rsidP="00800D2B">
            <w:pPr>
              <w:rPr>
                <w:rFonts w:ascii="Arial" w:hAnsi="Arial" w:cs="Arial"/>
                <w:sz w:val="20"/>
              </w:rPr>
            </w:pPr>
            <w:r>
              <w:rPr>
                <w:rFonts w:ascii="Arial" w:hAnsi="Arial" w:cs="Arial"/>
                <w:sz w:val="20"/>
                <w:szCs w:val="20"/>
              </w:rPr>
              <w:t>35.3.16.7</w:t>
            </w:r>
          </w:p>
        </w:tc>
        <w:tc>
          <w:tcPr>
            <w:tcW w:w="567" w:type="dxa"/>
          </w:tcPr>
          <w:p w14:paraId="3A765099" w14:textId="2F02B7FF" w:rsidR="00800D2B" w:rsidRDefault="00800D2B" w:rsidP="00800D2B">
            <w:pPr>
              <w:rPr>
                <w:rFonts w:ascii="Arial" w:hAnsi="Arial" w:cs="Arial"/>
                <w:sz w:val="20"/>
              </w:rPr>
            </w:pPr>
            <w:r>
              <w:rPr>
                <w:rFonts w:ascii="Arial" w:hAnsi="Arial" w:cs="Arial"/>
                <w:sz w:val="20"/>
                <w:szCs w:val="20"/>
              </w:rPr>
              <w:t>559.47</w:t>
            </w:r>
          </w:p>
        </w:tc>
        <w:tc>
          <w:tcPr>
            <w:tcW w:w="2127" w:type="dxa"/>
          </w:tcPr>
          <w:p w14:paraId="67FED82B" w14:textId="16597FCA" w:rsidR="00800D2B" w:rsidRDefault="00800D2B" w:rsidP="00800D2B">
            <w:pPr>
              <w:rPr>
                <w:rFonts w:ascii="Arial" w:hAnsi="Arial" w:cs="Arial"/>
                <w:sz w:val="20"/>
              </w:rPr>
            </w:pPr>
            <w:r>
              <w:rPr>
                <w:rFonts w:ascii="Arial" w:hAnsi="Arial" w:cs="Arial"/>
                <w:sz w:val="20"/>
                <w:szCs w:val="20"/>
              </w:rPr>
              <w:t>All the requirements are expressed in terms of "should", i.e. they are not requirements at all</w:t>
            </w:r>
          </w:p>
        </w:tc>
        <w:tc>
          <w:tcPr>
            <w:tcW w:w="1842" w:type="dxa"/>
          </w:tcPr>
          <w:p w14:paraId="36B7DA9D" w14:textId="02882D2C" w:rsidR="00800D2B" w:rsidRDefault="00800D2B" w:rsidP="00800D2B">
            <w:pPr>
              <w:rPr>
                <w:rFonts w:ascii="Arial" w:hAnsi="Arial" w:cs="Arial"/>
                <w:sz w:val="20"/>
              </w:rPr>
            </w:pPr>
            <w:r>
              <w:rPr>
                <w:rFonts w:ascii="Arial" w:hAnsi="Arial" w:cs="Arial"/>
                <w:sz w:val="20"/>
                <w:szCs w:val="20"/>
              </w:rPr>
              <w:t>Consider changing them to "</w:t>
            </w:r>
            <w:proofErr w:type="spellStart"/>
            <w:r>
              <w:rPr>
                <w:rFonts w:ascii="Arial" w:hAnsi="Arial" w:cs="Arial"/>
                <w:sz w:val="20"/>
                <w:szCs w:val="20"/>
              </w:rPr>
              <w:t>shall"s</w:t>
            </w:r>
            <w:proofErr w:type="spellEnd"/>
          </w:p>
        </w:tc>
        <w:tc>
          <w:tcPr>
            <w:tcW w:w="4260" w:type="dxa"/>
          </w:tcPr>
          <w:p w14:paraId="211DCB06" w14:textId="7A1632F0" w:rsidR="00AB328C" w:rsidRDefault="005B6CD4" w:rsidP="00AB32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0F026ADE" w14:textId="77777777" w:rsidR="00AB328C" w:rsidRDefault="00AB328C" w:rsidP="00AB328C">
            <w:pPr>
              <w:autoSpaceDE w:val="0"/>
              <w:autoSpaceDN w:val="0"/>
              <w:adjustRightInd w:val="0"/>
              <w:rPr>
                <w:rFonts w:ascii="Calibri" w:eastAsia="宋体" w:hAnsi="Calibri" w:cs="Calibri"/>
                <w:szCs w:val="18"/>
                <w:lang w:val="en-US" w:eastAsia="zh-CN"/>
              </w:rPr>
            </w:pPr>
          </w:p>
          <w:p w14:paraId="1BA17849" w14:textId="77777777" w:rsidR="00800D2B" w:rsidRDefault="005B6CD4" w:rsidP="00166817">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group failed to reach consensus to change “should” to “shall”.</w:t>
            </w:r>
          </w:p>
          <w:p w14:paraId="67B310C4" w14:textId="77777777" w:rsidR="005B6CD4" w:rsidRDefault="005B6CD4" w:rsidP="00166817">
            <w:pPr>
              <w:autoSpaceDE w:val="0"/>
              <w:autoSpaceDN w:val="0"/>
              <w:adjustRightInd w:val="0"/>
              <w:rPr>
                <w:rFonts w:ascii="Calibri" w:eastAsia="宋体" w:hAnsi="Calibri" w:cs="Calibri"/>
                <w:szCs w:val="18"/>
                <w:lang w:val="en-US" w:eastAsia="zh-CN"/>
              </w:rPr>
            </w:pPr>
          </w:p>
          <w:p w14:paraId="464A8F94" w14:textId="1C905254" w:rsidR="005B6CD4" w:rsidRPr="00F105E2" w:rsidRDefault="005B6CD4" w:rsidP="00166817">
            <w:pPr>
              <w:autoSpaceDE w:val="0"/>
              <w:autoSpaceDN w:val="0"/>
              <w:adjustRightInd w:val="0"/>
              <w:rPr>
                <w:rFonts w:ascii="Calibri" w:eastAsia="宋体" w:hAnsi="Calibri" w:cs="Calibri" w:hint="eastAsia"/>
                <w:szCs w:val="18"/>
                <w:lang w:val="en-US" w:eastAsia="zh-CN"/>
              </w:rPr>
            </w:pPr>
          </w:p>
        </w:tc>
      </w:tr>
      <w:tr w:rsidR="00800D2B" w14:paraId="18503458" w14:textId="77777777" w:rsidTr="005A0363">
        <w:trPr>
          <w:trHeight w:val="980"/>
        </w:trPr>
        <w:tc>
          <w:tcPr>
            <w:tcW w:w="877" w:type="dxa"/>
          </w:tcPr>
          <w:p w14:paraId="58C3926F" w14:textId="7892CCD3" w:rsidR="00800D2B" w:rsidRDefault="00800D2B" w:rsidP="00800D2B">
            <w:pPr>
              <w:rPr>
                <w:rFonts w:ascii="Arial" w:hAnsi="Arial" w:cs="Arial"/>
                <w:sz w:val="20"/>
              </w:rPr>
            </w:pPr>
            <w:r w:rsidRPr="001702DF">
              <w:rPr>
                <w:rFonts w:ascii="Arial" w:hAnsi="Arial" w:cs="Arial"/>
                <w:sz w:val="20"/>
                <w:szCs w:val="20"/>
                <w:highlight w:val="yellow"/>
              </w:rPr>
              <w:t>16895</w:t>
            </w:r>
          </w:p>
        </w:tc>
        <w:tc>
          <w:tcPr>
            <w:tcW w:w="744" w:type="dxa"/>
          </w:tcPr>
          <w:p w14:paraId="61D57F7E" w14:textId="32C8B89C" w:rsidR="00800D2B" w:rsidRDefault="00800D2B" w:rsidP="00800D2B">
            <w:pPr>
              <w:rPr>
                <w:rFonts w:ascii="Arial" w:hAnsi="Arial" w:cs="Arial"/>
                <w:sz w:val="20"/>
              </w:rPr>
            </w:pPr>
            <w:r>
              <w:rPr>
                <w:rFonts w:ascii="Arial" w:hAnsi="Arial" w:cs="Arial"/>
                <w:sz w:val="20"/>
                <w:szCs w:val="20"/>
              </w:rPr>
              <w:t>Mark RISON</w:t>
            </w:r>
          </w:p>
        </w:tc>
        <w:tc>
          <w:tcPr>
            <w:tcW w:w="531" w:type="dxa"/>
          </w:tcPr>
          <w:p w14:paraId="5688F670" w14:textId="3D399AB8" w:rsidR="00800D2B" w:rsidRDefault="00800D2B" w:rsidP="00800D2B">
            <w:pPr>
              <w:rPr>
                <w:rFonts w:ascii="Arial" w:hAnsi="Arial" w:cs="Arial"/>
                <w:sz w:val="20"/>
              </w:rPr>
            </w:pPr>
            <w:r>
              <w:rPr>
                <w:rFonts w:ascii="Arial" w:hAnsi="Arial" w:cs="Arial"/>
                <w:sz w:val="20"/>
                <w:szCs w:val="20"/>
              </w:rPr>
              <w:t>35.3.16.7</w:t>
            </w:r>
          </w:p>
        </w:tc>
        <w:tc>
          <w:tcPr>
            <w:tcW w:w="567" w:type="dxa"/>
          </w:tcPr>
          <w:p w14:paraId="5F631594" w14:textId="65F1655A" w:rsidR="00800D2B" w:rsidRDefault="00800D2B" w:rsidP="00800D2B">
            <w:pPr>
              <w:rPr>
                <w:rFonts w:ascii="Arial" w:hAnsi="Arial" w:cs="Arial"/>
                <w:sz w:val="20"/>
              </w:rPr>
            </w:pPr>
            <w:r>
              <w:rPr>
                <w:rFonts w:ascii="Arial" w:hAnsi="Arial" w:cs="Arial"/>
                <w:sz w:val="20"/>
                <w:szCs w:val="20"/>
              </w:rPr>
              <w:t>559.63</w:t>
            </w:r>
          </w:p>
        </w:tc>
        <w:tc>
          <w:tcPr>
            <w:tcW w:w="2127" w:type="dxa"/>
          </w:tcPr>
          <w:p w14:paraId="773FC85F" w14:textId="78CA1CBC" w:rsidR="00800D2B" w:rsidRDefault="00800D2B" w:rsidP="00800D2B">
            <w:pPr>
              <w:rPr>
                <w:rFonts w:ascii="Arial" w:hAnsi="Arial" w:cs="Arial"/>
                <w:sz w:val="20"/>
              </w:rPr>
            </w:pPr>
            <w:r>
              <w:rPr>
                <w:rFonts w:ascii="Arial" w:hAnsi="Arial" w:cs="Arial"/>
                <w:sz w:val="20"/>
                <w:szCs w:val="20"/>
              </w:rPr>
              <w:t>"an ED-based CCA" is rather vague and might allow implementations to just do part of ED-based CCA and claim to meet the shall</w:t>
            </w:r>
          </w:p>
        </w:tc>
        <w:tc>
          <w:tcPr>
            <w:tcW w:w="1842" w:type="dxa"/>
          </w:tcPr>
          <w:p w14:paraId="64F6DD25" w14:textId="7CBD5FD7" w:rsidR="00800D2B" w:rsidRDefault="00800D2B" w:rsidP="00800D2B">
            <w:pPr>
              <w:rPr>
                <w:rFonts w:ascii="Arial" w:hAnsi="Arial" w:cs="Arial"/>
                <w:sz w:val="20"/>
              </w:rPr>
            </w:pPr>
            <w:r>
              <w:rPr>
                <w:rFonts w:ascii="Arial" w:hAnsi="Arial" w:cs="Arial"/>
                <w:sz w:val="20"/>
                <w:szCs w:val="20"/>
              </w:rPr>
              <w:t>Change to "ED-based CCA as described in ..."</w:t>
            </w:r>
          </w:p>
        </w:tc>
        <w:tc>
          <w:tcPr>
            <w:tcW w:w="4260" w:type="dxa"/>
          </w:tcPr>
          <w:p w14:paraId="6FB4AAF7" w14:textId="77777777" w:rsidR="00800D2B" w:rsidRDefault="00C9338B" w:rsidP="00800D2B">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10FCB1B" w14:textId="77777777" w:rsidR="00C9338B" w:rsidRDefault="00C9338B" w:rsidP="00800D2B">
            <w:pPr>
              <w:autoSpaceDE w:val="0"/>
              <w:autoSpaceDN w:val="0"/>
              <w:adjustRightInd w:val="0"/>
              <w:rPr>
                <w:rFonts w:ascii="Calibri" w:eastAsia="宋体" w:hAnsi="Calibri" w:cs="Calibri"/>
                <w:szCs w:val="18"/>
                <w:lang w:val="en-US" w:eastAsia="zh-CN"/>
              </w:rPr>
            </w:pPr>
          </w:p>
          <w:p w14:paraId="28468E2B" w14:textId="5722BB3B" w:rsidR="00C9338B" w:rsidRDefault="00C9338B"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r w:rsidR="003F7A02">
              <w:rPr>
                <w:rFonts w:ascii="Calibri" w:eastAsia="宋体" w:hAnsi="Calibri" w:cs="Calibri"/>
                <w:szCs w:val="18"/>
                <w:lang w:val="en-US" w:eastAsia="zh-CN"/>
              </w:rPr>
              <w:t xml:space="preserve"> Subclause </w:t>
            </w:r>
            <w:r w:rsidR="003F7A02">
              <w:rPr>
                <w:sz w:val="20"/>
              </w:rPr>
              <w:t>36.3.21.6.3 (CCA sensitivity for the primary 20 MHz channel) is added as a reference.</w:t>
            </w:r>
          </w:p>
          <w:p w14:paraId="35C8D8D8" w14:textId="77777777" w:rsidR="00C9338B" w:rsidRDefault="00C9338B" w:rsidP="00800D2B">
            <w:pPr>
              <w:autoSpaceDE w:val="0"/>
              <w:autoSpaceDN w:val="0"/>
              <w:adjustRightInd w:val="0"/>
              <w:rPr>
                <w:rFonts w:ascii="Calibri" w:eastAsia="宋体" w:hAnsi="Calibri" w:cs="Calibri"/>
                <w:szCs w:val="18"/>
                <w:lang w:val="en-US" w:eastAsia="zh-CN"/>
              </w:rPr>
            </w:pPr>
          </w:p>
          <w:p w14:paraId="6D8EBF5D" w14:textId="763821C4" w:rsidR="00C9338B" w:rsidRPr="00C9338B" w:rsidRDefault="00C9338B" w:rsidP="00C9338B">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w:t>
            </w:r>
            <w:bookmarkStart w:id="6" w:name="_GoBack"/>
            <w:r w:rsidR="00FA5461">
              <w:rPr>
                <w:rFonts w:ascii="Times New Roman" w:hAnsi="Times New Roman" w:cs="Times New Roman"/>
                <w:b/>
                <w:color w:val="000000" w:themeColor="text1"/>
                <w:sz w:val="20"/>
                <w:szCs w:val="20"/>
              </w:rPr>
              <w:t>0694r1</w:t>
            </w:r>
            <w:bookmarkEnd w:id="6"/>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16895</w:t>
            </w:r>
          </w:p>
        </w:tc>
      </w:tr>
      <w:tr w:rsidR="00800D2B" w14:paraId="33BBCD9C" w14:textId="77777777" w:rsidTr="005A0363">
        <w:trPr>
          <w:trHeight w:val="980"/>
        </w:trPr>
        <w:tc>
          <w:tcPr>
            <w:tcW w:w="877" w:type="dxa"/>
          </w:tcPr>
          <w:p w14:paraId="253DA426" w14:textId="595EF92F" w:rsidR="00800D2B" w:rsidRDefault="00800D2B" w:rsidP="00800D2B">
            <w:pPr>
              <w:rPr>
                <w:rFonts w:ascii="Arial" w:hAnsi="Arial" w:cs="Arial"/>
                <w:sz w:val="20"/>
              </w:rPr>
            </w:pPr>
            <w:r w:rsidRPr="001702DF">
              <w:rPr>
                <w:rFonts w:ascii="Arial" w:hAnsi="Arial" w:cs="Arial"/>
                <w:sz w:val="20"/>
                <w:szCs w:val="20"/>
                <w:highlight w:val="yellow"/>
              </w:rPr>
              <w:t>17835</w:t>
            </w:r>
          </w:p>
        </w:tc>
        <w:tc>
          <w:tcPr>
            <w:tcW w:w="744" w:type="dxa"/>
          </w:tcPr>
          <w:p w14:paraId="48CF0F3C" w14:textId="2B8A68FA" w:rsidR="00800D2B" w:rsidRDefault="00800D2B" w:rsidP="00800D2B">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4A884AEF" w14:textId="0812AB94" w:rsidR="00800D2B" w:rsidRDefault="00800D2B" w:rsidP="00800D2B">
            <w:pPr>
              <w:rPr>
                <w:rFonts w:ascii="Arial" w:hAnsi="Arial" w:cs="Arial"/>
                <w:sz w:val="20"/>
              </w:rPr>
            </w:pPr>
            <w:r>
              <w:rPr>
                <w:rFonts w:ascii="Arial" w:hAnsi="Arial" w:cs="Arial"/>
                <w:sz w:val="20"/>
                <w:szCs w:val="20"/>
              </w:rPr>
              <w:t>35.3.16.7</w:t>
            </w:r>
          </w:p>
        </w:tc>
        <w:tc>
          <w:tcPr>
            <w:tcW w:w="567" w:type="dxa"/>
          </w:tcPr>
          <w:p w14:paraId="69AFA05E" w14:textId="4F4CF29B" w:rsidR="00800D2B" w:rsidRDefault="00800D2B" w:rsidP="00800D2B">
            <w:pPr>
              <w:rPr>
                <w:rFonts w:ascii="Arial" w:hAnsi="Arial" w:cs="Arial"/>
                <w:sz w:val="20"/>
              </w:rPr>
            </w:pPr>
            <w:r>
              <w:rPr>
                <w:rFonts w:ascii="Arial" w:hAnsi="Arial" w:cs="Arial"/>
                <w:sz w:val="20"/>
                <w:szCs w:val="20"/>
              </w:rPr>
              <w:t>559.62</w:t>
            </w:r>
          </w:p>
        </w:tc>
        <w:tc>
          <w:tcPr>
            <w:tcW w:w="2127" w:type="dxa"/>
          </w:tcPr>
          <w:p w14:paraId="11A8256C" w14:textId="5603F3BB" w:rsidR="00800D2B" w:rsidRDefault="00800D2B" w:rsidP="00800D2B">
            <w:pPr>
              <w:rPr>
                <w:rFonts w:ascii="Arial" w:hAnsi="Arial" w:cs="Arial"/>
                <w:sz w:val="20"/>
              </w:rPr>
            </w:pPr>
            <w:r>
              <w:rPr>
                <w:rFonts w:ascii="Arial" w:hAnsi="Arial" w:cs="Arial"/>
                <w:sz w:val="20"/>
                <w:szCs w:val="20"/>
              </w:rPr>
              <w:t>equal to PIFS also need to be covered in this sentence.</w:t>
            </w:r>
          </w:p>
        </w:tc>
        <w:tc>
          <w:tcPr>
            <w:tcW w:w="1842" w:type="dxa"/>
          </w:tcPr>
          <w:p w14:paraId="7AB04997" w14:textId="70AA3B73" w:rsidR="00800D2B" w:rsidRDefault="00800D2B" w:rsidP="00800D2B">
            <w:pPr>
              <w:rPr>
                <w:rFonts w:ascii="Arial" w:hAnsi="Arial" w:cs="Arial"/>
                <w:sz w:val="20"/>
              </w:rPr>
            </w:pPr>
            <w:r>
              <w:rPr>
                <w:rFonts w:ascii="Arial" w:hAnsi="Arial" w:cs="Arial"/>
                <w:sz w:val="20"/>
                <w:szCs w:val="20"/>
              </w:rPr>
              <w:t>change "larger than SIFS and less than PIFS" to "larger than SIFS and less than or equal to PIFS"</w:t>
            </w:r>
          </w:p>
        </w:tc>
        <w:tc>
          <w:tcPr>
            <w:tcW w:w="4260" w:type="dxa"/>
          </w:tcPr>
          <w:p w14:paraId="5804303F" w14:textId="25BD32AB" w:rsidR="00800D2B" w:rsidRPr="003F7A02" w:rsidRDefault="003F7A02" w:rsidP="00800D2B">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lastRenderedPageBreak/>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39FB9CBE"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800D2B" w:rsidRPr="00800D2B">
        <w:rPr>
          <w:b/>
          <w:bCs/>
          <w:i/>
          <w:iCs/>
          <w:highlight w:val="yellow"/>
        </w:rPr>
        <w:t>35.3.16.7 (Error recovery on an NSTR link pair within PIFS)</w:t>
      </w:r>
      <w:r w:rsidRPr="008052E7">
        <w:rPr>
          <w:b/>
          <w:bCs/>
          <w:i/>
          <w:iCs/>
          <w:highlight w:val="yellow"/>
        </w:rPr>
        <w:t>:</w:t>
      </w:r>
    </w:p>
    <w:p w14:paraId="0E928A88" w14:textId="77777777" w:rsidR="009A6C7E" w:rsidRDefault="009A6C7E" w:rsidP="00E505F2">
      <w:pPr>
        <w:pStyle w:val="BodyText"/>
        <w:rPr>
          <w:b/>
          <w:bCs/>
          <w:i/>
          <w:iCs/>
        </w:rPr>
      </w:pPr>
    </w:p>
    <w:p w14:paraId="308F6A3D" w14:textId="77777777" w:rsidR="00800D2B" w:rsidRDefault="00800D2B" w:rsidP="00E505F2">
      <w:pPr>
        <w:pStyle w:val="BodyText"/>
        <w:rPr>
          <w:b/>
          <w:bCs/>
          <w:sz w:val="20"/>
        </w:rPr>
      </w:pPr>
      <w:r>
        <w:rPr>
          <w:b/>
          <w:bCs/>
          <w:sz w:val="20"/>
        </w:rPr>
        <w:t xml:space="preserve">35.3.16.7 Error recovery on an NSTR link pair within </w:t>
      </w:r>
      <w:proofErr w:type="gramStart"/>
      <w:r>
        <w:rPr>
          <w:b/>
          <w:bCs/>
          <w:sz w:val="20"/>
        </w:rPr>
        <w:t>PIFS(</w:t>
      </w:r>
      <w:proofErr w:type="gramEnd"/>
      <w:r>
        <w:rPr>
          <w:b/>
          <w:bCs/>
          <w:sz w:val="20"/>
        </w:rPr>
        <w:t>#16247)</w:t>
      </w:r>
    </w:p>
    <w:p w14:paraId="4C52A06A" w14:textId="40B3245F" w:rsidR="00800D2B" w:rsidRDefault="00800D2B" w:rsidP="00E505F2">
      <w:pPr>
        <w:pStyle w:val="BodyText"/>
        <w:rPr>
          <w:sz w:val="20"/>
        </w:rPr>
      </w:pPr>
      <w:r>
        <w:rPr>
          <w:sz w:val="20"/>
        </w:rPr>
        <w:t>After two PPDUs with end time alignment (and the PPDUs carrying the expected response frames</w:t>
      </w:r>
      <w:ins w:id="7" w:author="Liyunbo" w:date="2023-04-24T16:25:00Z">
        <w:r w:rsidR="00F55E89">
          <w:rPr>
            <w:sz w:val="20"/>
          </w:rPr>
          <w:t xml:space="preserve"> </w:t>
        </w:r>
      </w:ins>
      <w:ins w:id="8" w:author="Liyunbo" w:date="2023-04-24T16:29:00Z">
        <w:r w:rsidR="00F55E89">
          <w:rPr>
            <w:sz w:val="20"/>
          </w:rPr>
          <w:t>for the frames carried in</w:t>
        </w:r>
      </w:ins>
      <w:ins w:id="9" w:author="Liyunbo" w:date="2023-04-24T16:25:00Z">
        <w:r w:rsidR="00F55E89">
          <w:rPr>
            <w:sz w:val="20"/>
          </w:rPr>
          <w:t xml:space="preserve"> the two PPDUs</w:t>
        </w:r>
      </w:ins>
      <w:ins w:id="10" w:author="Liyunbo" w:date="2023-04-24T16:37:00Z">
        <w:r w:rsidR="006B0905">
          <w:rPr>
            <w:sz w:val="20"/>
          </w:rPr>
          <w:t xml:space="preserve"> (#16893)</w:t>
        </w:r>
      </w:ins>
      <w:r>
        <w:rPr>
          <w:sz w:val="20"/>
        </w:rPr>
        <w:t xml:space="preserve"> also have end time alignment) are transmitted by each STA affiliated with an MLD on two links that belong to (#16247)an NSTR link pair of the MLD, if the two STAs intend to transmit more PPDUs on both links in their respective TXOPs, when a failure happens on at least one of the two links, the MLD conducts the procedures described in this subclause.</w:t>
      </w:r>
    </w:p>
    <w:p w14:paraId="06CB047D" w14:textId="77777777" w:rsidR="00800D2B" w:rsidRDefault="00800D2B" w:rsidP="00E505F2">
      <w:pPr>
        <w:pStyle w:val="BodyText"/>
        <w:rPr>
          <w:sz w:val="20"/>
        </w:rPr>
      </w:pPr>
      <w:r>
        <w:rPr>
          <w:sz w:val="20"/>
        </w:rPr>
        <w:t xml:space="preserve">If the MLD ensures that the difference between the end times of the two PPDUs carrying the expected response frames is less than or equal to 4 </w:t>
      </w:r>
      <w:proofErr w:type="spellStart"/>
      <w:r>
        <w:rPr>
          <w:sz w:val="20"/>
        </w:rPr>
        <w:t>μs</w:t>
      </w:r>
      <w:proofErr w:type="spellEnd"/>
      <w:r>
        <w:rPr>
          <w:sz w:val="20"/>
        </w:rPr>
        <w:t xml:space="preserve">, the MLD may use either SIFS or PIFS between the end time of the PPDU carrying the response frame and the next PPDU sent in the same TXOP on the link where the response frame is received correctly, regardless of the PPDU receive status of the other link of the NSTR link pair. </w:t>
      </w:r>
    </w:p>
    <w:p w14:paraId="53D7A9AB" w14:textId="77777777" w:rsidR="00800D2B" w:rsidRDefault="00800D2B" w:rsidP="00E505F2">
      <w:pPr>
        <w:pStyle w:val="BodyText"/>
        <w:rPr>
          <w:sz w:val="18"/>
          <w:szCs w:val="18"/>
        </w:rPr>
      </w:pPr>
      <w:r>
        <w:rPr>
          <w:sz w:val="18"/>
          <w:szCs w:val="18"/>
        </w:rPr>
        <w:t xml:space="preserve">NOTE 1—The value of 4 </w:t>
      </w:r>
      <w:proofErr w:type="spellStart"/>
      <w:r>
        <w:rPr>
          <w:sz w:val="18"/>
          <w:szCs w:val="18"/>
        </w:rPr>
        <w:t>μs</w:t>
      </w:r>
      <w:proofErr w:type="spellEnd"/>
      <w:r>
        <w:rPr>
          <w:sz w:val="18"/>
          <w:szCs w:val="18"/>
        </w:rPr>
        <w:t xml:space="preserve"> is derived from </w:t>
      </w:r>
      <w:proofErr w:type="spellStart"/>
      <w:r>
        <w:rPr>
          <w:sz w:val="18"/>
          <w:szCs w:val="18"/>
        </w:rPr>
        <w:t>aRxTxTurnaroundTime</w:t>
      </w:r>
      <w:proofErr w:type="spellEnd"/>
      <w:r>
        <w:rPr>
          <w:sz w:val="18"/>
          <w:szCs w:val="18"/>
        </w:rPr>
        <w:t xml:space="preserve"> used in 35.3.16.5 (PPDU end time alignment on an NSTR link </w:t>
      </w:r>
      <w:proofErr w:type="gramStart"/>
      <w:r>
        <w:rPr>
          <w:sz w:val="18"/>
          <w:szCs w:val="18"/>
        </w:rPr>
        <w:t>pair(</w:t>
      </w:r>
      <w:proofErr w:type="gramEnd"/>
      <w:r>
        <w:rPr>
          <w:sz w:val="18"/>
          <w:szCs w:val="18"/>
        </w:rPr>
        <w:t>#16247)).</w:t>
      </w:r>
    </w:p>
    <w:p w14:paraId="54C6AC2C" w14:textId="77777777" w:rsidR="00800D2B" w:rsidRDefault="00800D2B" w:rsidP="00E505F2">
      <w:pPr>
        <w:pStyle w:val="BodyText"/>
        <w:rPr>
          <w:sz w:val="18"/>
          <w:szCs w:val="18"/>
        </w:rPr>
      </w:pPr>
      <w:r>
        <w:rPr>
          <w:sz w:val="18"/>
          <w:szCs w:val="18"/>
        </w:rPr>
        <w:t xml:space="preserve">NOTE 2—It is stricter to maintain the difference between the end times of the two PPDUs carrying the expected response frame be less than or equal to 4 </w:t>
      </w:r>
      <w:proofErr w:type="spellStart"/>
      <w:r>
        <w:rPr>
          <w:sz w:val="18"/>
          <w:szCs w:val="18"/>
        </w:rPr>
        <w:t>μs</w:t>
      </w:r>
      <w:proofErr w:type="spellEnd"/>
      <w:r>
        <w:rPr>
          <w:sz w:val="18"/>
          <w:szCs w:val="18"/>
        </w:rPr>
        <w:t xml:space="preserve">, when compared with the requirement of PPDU end time alignment in 35.3.16.5 (PPDU end time alignment on an NSTR link </w:t>
      </w:r>
      <w:proofErr w:type="gramStart"/>
      <w:r>
        <w:rPr>
          <w:sz w:val="18"/>
          <w:szCs w:val="18"/>
        </w:rPr>
        <w:t>pair(</w:t>
      </w:r>
      <w:proofErr w:type="gramEnd"/>
      <w:r>
        <w:rPr>
          <w:sz w:val="18"/>
          <w:szCs w:val="18"/>
        </w:rPr>
        <w:t>#16247)).</w:t>
      </w:r>
    </w:p>
    <w:p w14:paraId="653AC67A" w14:textId="77777777" w:rsidR="00800D2B" w:rsidRDefault="00800D2B" w:rsidP="00E505F2">
      <w:pPr>
        <w:pStyle w:val="BodyText"/>
        <w:rPr>
          <w:sz w:val="18"/>
          <w:szCs w:val="18"/>
        </w:rPr>
      </w:pPr>
      <w:r>
        <w:rPr>
          <w:sz w:val="18"/>
          <w:szCs w:val="18"/>
        </w:rPr>
        <w:t>NOTE 3—If SIFS is used between the end time of the PPDU carrying the response frame and the next PPDU sent in the same TXOP on the first link of the NSTR link pair where the response frame is received correctly, the PIFS recovery on the second link of the NSTR link pair might fail due to the interference caused by the transmission of the STA operating on the first link.</w:t>
      </w:r>
    </w:p>
    <w:p w14:paraId="31599D2F" w14:textId="7CBD0704" w:rsidR="00800D2B" w:rsidRDefault="00800D2B" w:rsidP="00E505F2">
      <w:pPr>
        <w:pStyle w:val="BodyText"/>
        <w:rPr>
          <w:sz w:val="20"/>
        </w:rPr>
      </w:pPr>
      <w:r>
        <w:rPr>
          <w:sz w:val="20"/>
        </w:rPr>
        <w:t xml:space="preserve">If the MLD ensures that the difference between the end times of the two PPDUs carrying the expected response frames is less than or equal to 8 </w:t>
      </w:r>
      <w:proofErr w:type="spellStart"/>
      <w:r>
        <w:rPr>
          <w:sz w:val="20"/>
        </w:rPr>
        <w:t>μs</w:t>
      </w:r>
      <w:proofErr w:type="spellEnd"/>
      <w:r>
        <w:rPr>
          <w:sz w:val="20"/>
        </w:rPr>
        <w:t xml:space="preserve"> (see 35.3.16.5 (PPDU end time alignment on an NSTR link pair(#16247))), after two PPDUs with end time alignment (and the PPDUs carrying the expected response frames also have end time alignment) are transmitted by STAs affiliated with the MLD on two links that belongs to (#16247)an NSTR link pair of the MLD, if PHY-</w:t>
      </w:r>
      <w:proofErr w:type="spellStart"/>
      <w:r>
        <w:rPr>
          <w:sz w:val="20"/>
        </w:rPr>
        <w:t>RXSTART.indications</w:t>
      </w:r>
      <w:proofErr w:type="spellEnd"/>
      <w:r>
        <w:rPr>
          <w:sz w:val="20"/>
        </w:rPr>
        <w:t xml:space="preserve"> are received on both links, but the response frames contained in the corresponding PPDUs are not successfully received in at least one of the links of the NSTR link pair, then</w:t>
      </w:r>
      <w:ins w:id="11" w:author="Liyunbo" w:date="2023-04-24T16:42:00Z">
        <w:r w:rsidR="00AB328C">
          <w:rPr>
            <w:sz w:val="20"/>
          </w:rPr>
          <w:t xml:space="preserve"> </w:t>
        </w:r>
      </w:ins>
      <w:ins w:id="12" w:author="Kwok Shum Au (Edward)" w:date="2023-04-24T12:20:00Z">
        <w:r w:rsidR="00F6437E">
          <w:rPr>
            <w:sz w:val="20"/>
          </w:rPr>
          <w:t xml:space="preserve">the </w:t>
        </w:r>
      </w:ins>
      <w:ins w:id="13" w:author="Liyunbo" w:date="2023-04-24T16:42:00Z">
        <w:r w:rsidR="00AB328C">
          <w:rPr>
            <w:sz w:val="20"/>
          </w:rPr>
          <w:t>following rule</w:t>
        </w:r>
      </w:ins>
      <w:ins w:id="14" w:author="Liyunbo" w:date="2023-04-24T16:43:00Z">
        <w:r w:rsidR="00AB328C">
          <w:rPr>
            <w:sz w:val="20"/>
          </w:rPr>
          <w:t>s</w:t>
        </w:r>
      </w:ins>
      <w:ins w:id="15" w:author="Liyunbo" w:date="2023-04-24T16:42:00Z">
        <w:r w:rsidR="00AB328C">
          <w:rPr>
            <w:sz w:val="20"/>
          </w:rPr>
          <w:t xml:space="preserve"> should be followed</w:t>
        </w:r>
      </w:ins>
      <w:ins w:id="16" w:author="Liyunbo" w:date="2023-04-24T16:43:00Z">
        <w:r w:rsidR="00AB328C">
          <w:rPr>
            <w:sz w:val="20"/>
          </w:rPr>
          <w:t xml:space="preserve"> (#</w:t>
        </w:r>
      </w:ins>
      <w:ins w:id="17" w:author="Liyunbo" w:date="2023-04-24T16:44:00Z">
        <w:r w:rsidR="00AB328C">
          <w:rPr>
            <w:sz w:val="20"/>
          </w:rPr>
          <w:t>16894</w:t>
        </w:r>
      </w:ins>
      <w:ins w:id="18" w:author="Liyunbo" w:date="2023-04-24T16:43:00Z">
        <w:r w:rsidR="00AB328C">
          <w:rPr>
            <w:sz w:val="20"/>
          </w:rPr>
          <w:t>)</w:t>
        </w:r>
      </w:ins>
      <w:r>
        <w:rPr>
          <w:sz w:val="20"/>
        </w:rPr>
        <w:t>:</w:t>
      </w:r>
    </w:p>
    <w:p w14:paraId="6E4DD549" w14:textId="07AD3FF4" w:rsidR="00800D2B" w:rsidRDefault="00800D2B" w:rsidP="00E505F2">
      <w:pPr>
        <w:pStyle w:val="BodyText"/>
        <w:rPr>
          <w:sz w:val="20"/>
        </w:rPr>
      </w:pPr>
      <w:r>
        <w:rPr>
          <w:sz w:val="20"/>
        </w:rPr>
        <w:t xml:space="preserve">—On the link on which the response frame ends last, if the response frame is successfully received, the time from the end of the PPDU carrying the response frame to the next PPDU sent in the same TXOP </w:t>
      </w:r>
      <w:ins w:id="19" w:author="Liyunbo" w:date="2023-04-24T16:42:00Z">
        <w:r w:rsidR="00AB328C">
          <w:rPr>
            <w:sz w:val="20"/>
          </w:rPr>
          <w:t xml:space="preserve">shall </w:t>
        </w:r>
      </w:ins>
      <w:del w:id="20" w:author="Liyunbo" w:date="2023-04-24T16:42:00Z">
        <w:r w:rsidDel="00AB328C">
          <w:rPr>
            <w:sz w:val="20"/>
          </w:rPr>
          <w:delText>should</w:delText>
        </w:r>
      </w:del>
      <w:ins w:id="21" w:author="Liyunbo" w:date="2023-04-24T16:44:00Z">
        <w:r w:rsidR="00AB328C">
          <w:rPr>
            <w:sz w:val="20"/>
          </w:rPr>
          <w:t>(#16894)</w:t>
        </w:r>
      </w:ins>
      <w:r>
        <w:rPr>
          <w:sz w:val="20"/>
        </w:rPr>
        <w:t xml:space="preserve"> be larger than or equal to SIFS and smaller than or equal to PIFS;</w:t>
      </w:r>
    </w:p>
    <w:p w14:paraId="7893A918" w14:textId="1C7B210D" w:rsidR="00800D2B" w:rsidRDefault="00800D2B" w:rsidP="00E505F2">
      <w:pPr>
        <w:pStyle w:val="BodyText"/>
        <w:rPr>
          <w:sz w:val="20"/>
        </w:rPr>
      </w:pPr>
      <w:r>
        <w:rPr>
          <w:sz w:val="20"/>
        </w:rPr>
        <w:t xml:space="preserve">—On the link on which the response frame ends last, if the response frame is not successfully received (i.e., FCS fails), the time from the end of the PPDU carrying the response frame to the next PPDU sent in the same TXOP </w:t>
      </w:r>
      <w:del w:id="22" w:author="Liyunbo" w:date="2023-04-24T16:42:00Z">
        <w:r w:rsidDel="00AB328C">
          <w:rPr>
            <w:sz w:val="20"/>
          </w:rPr>
          <w:delText xml:space="preserve">should </w:delText>
        </w:r>
      </w:del>
      <w:ins w:id="23" w:author="Liyunbo" w:date="2023-04-24T16:42:00Z">
        <w:r w:rsidR="00AB328C">
          <w:rPr>
            <w:sz w:val="20"/>
          </w:rPr>
          <w:t>shall</w:t>
        </w:r>
      </w:ins>
      <w:ins w:id="24" w:author="Liyunbo" w:date="2023-04-24T16:44:00Z">
        <w:r w:rsidR="00AB328C">
          <w:rPr>
            <w:sz w:val="20"/>
          </w:rPr>
          <w:t>(#16894)</w:t>
        </w:r>
      </w:ins>
      <w:ins w:id="25" w:author="Liyunbo" w:date="2023-04-24T16:42:00Z">
        <w:r w:rsidR="00AB328C">
          <w:rPr>
            <w:sz w:val="20"/>
          </w:rPr>
          <w:t xml:space="preserve"> </w:t>
        </w:r>
      </w:ins>
      <w:r>
        <w:rPr>
          <w:sz w:val="20"/>
        </w:rPr>
        <w:t xml:space="preserve">be larger than or equal to PIFS - 4 </w:t>
      </w:r>
      <w:proofErr w:type="spellStart"/>
      <w:r>
        <w:rPr>
          <w:sz w:val="20"/>
        </w:rPr>
        <w:t>μs</w:t>
      </w:r>
      <w:proofErr w:type="spellEnd"/>
      <w:r>
        <w:rPr>
          <w:sz w:val="20"/>
        </w:rPr>
        <w:t xml:space="preserve"> and smaller than or equal to PIFS;</w:t>
      </w:r>
    </w:p>
    <w:p w14:paraId="2D6DB934" w14:textId="3AAFA60C" w:rsidR="00800D2B" w:rsidRDefault="00800D2B" w:rsidP="00E505F2">
      <w:pPr>
        <w:pStyle w:val="BodyText"/>
        <w:rPr>
          <w:sz w:val="20"/>
        </w:rPr>
      </w:pPr>
      <w:r>
        <w:rPr>
          <w:sz w:val="20"/>
        </w:rPr>
        <w:t xml:space="preserve">—On the link on which the response frame ends first, the time from the end of the PPDU carrying the response frame to the next PPDU sent in the same TXOP </w:t>
      </w:r>
      <w:del w:id="26" w:author="Liyunbo" w:date="2023-04-24T16:42:00Z">
        <w:r w:rsidDel="00AB328C">
          <w:rPr>
            <w:sz w:val="20"/>
          </w:rPr>
          <w:delText xml:space="preserve">should </w:delText>
        </w:r>
      </w:del>
      <w:proofErr w:type="gramStart"/>
      <w:ins w:id="27" w:author="Liyunbo" w:date="2023-04-24T16:42:00Z">
        <w:r w:rsidR="00AB328C">
          <w:rPr>
            <w:sz w:val="20"/>
          </w:rPr>
          <w:t>sha</w:t>
        </w:r>
      </w:ins>
      <w:ins w:id="28" w:author="Liyunbo" w:date="2023-04-24T16:43:00Z">
        <w:r w:rsidR="00AB328C">
          <w:rPr>
            <w:sz w:val="20"/>
          </w:rPr>
          <w:t>ll</w:t>
        </w:r>
      </w:ins>
      <w:ins w:id="29" w:author="Liyunbo" w:date="2023-04-24T16:44:00Z">
        <w:r w:rsidR="00AB328C">
          <w:rPr>
            <w:sz w:val="20"/>
          </w:rPr>
          <w:t>(</w:t>
        </w:r>
        <w:proofErr w:type="gramEnd"/>
        <w:r w:rsidR="00AB328C">
          <w:rPr>
            <w:sz w:val="20"/>
          </w:rPr>
          <w:t>#16894)</w:t>
        </w:r>
      </w:ins>
      <w:ins w:id="30" w:author="Liyunbo" w:date="2023-04-24T16:42:00Z">
        <w:r w:rsidR="00AB328C">
          <w:rPr>
            <w:sz w:val="20"/>
          </w:rPr>
          <w:t xml:space="preserve"> </w:t>
        </w:r>
      </w:ins>
      <w:r>
        <w:rPr>
          <w:sz w:val="20"/>
        </w:rPr>
        <w:t>be PIFS.</w:t>
      </w:r>
    </w:p>
    <w:p w14:paraId="54C804E4" w14:textId="5ED2FBD8" w:rsidR="00800D2B" w:rsidRDefault="00800D2B" w:rsidP="00E505F2">
      <w:pPr>
        <w:pStyle w:val="BodyText"/>
        <w:rPr>
          <w:b/>
          <w:bCs/>
          <w:i/>
          <w:iCs/>
        </w:rPr>
      </w:pPr>
      <w:r>
        <w:rPr>
          <w:sz w:val="20"/>
        </w:rPr>
        <w:t>If the time from the end of the received PPDU carrying the response frame to the next PPDU sent in the same TXOP is larger than SIFS and less than</w:t>
      </w:r>
      <w:ins w:id="31" w:author="Liyunbo" w:date="2023-04-24T14:43:00Z">
        <w:r w:rsidR="003F7A02">
          <w:rPr>
            <w:sz w:val="20"/>
          </w:rPr>
          <w:t xml:space="preserve"> or equal to (#17835)</w:t>
        </w:r>
      </w:ins>
      <w:r>
        <w:rPr>
          <w:sz w:val="20"/>
        </w:rPr>
        <w:t xml:space="preserve"> PIFS, then the STA affiliated with the MLD shall ensure that the medium is idle through an ED-based CCA</w:t>
      </w:r>
      <w:ins w:id="32" w:author="Liyunbo" w:date="2023-04-24T14:40:00Z">
        <w:r w:rsidR="00C9338B">
          <w:rPr>
            <w:sz w:val="20"/>
          </w:rPr>
          <w:t xml:space="preserve"> as specified in 36.3.21.6.3 (CCA sensitivity for the primary 20</w:t>
        </w:r>
      </w:ins>
      <w:ins w:id="33" w:author="Liyunbo" w:date="2023-04-24T14:41:00Z">
        <w:r w:rsidR="00C9338B">
          <w:rPr>
            <w:sz w:val="20"/>
          </w:rPr>
          <w:t xml:space="preserve"> </w:t>
        </w:r>
      </w:ins>
      <w:ins w:id="34" w:author="Liyunbo" w:date="2023-04-24T14:40:00Z">
        <w:r w:rsidR="00C9338B">
          <w:rPr>
            <w:sz w:val="20"/>
          </w:rPr>
          <w:t>MHz</w:t>
        </w:r>
      </w:ins>
      <w:ins w:id="35" w:author="Liyunbo" w:date="2023-04-24T14:41:00Z">
        <w:r w:rsidR="00C9338B">
          <w:rPr>
            <w:sz w:val="20"/>
          </w:rPr>
          <w:t xml:space="preserve"> channel</w:t>
        </w:r>
      </w:ins>
      <w:ins w:id="36" w:author="Liyunbo" w:date="2023-04-24T14:40:00Z">
        <w:r w:rsidR="00C9338B">
          <w:rPr>
            <w:sz w:val="20"/>
          </w:rPr>
          <w:t>)</w:t>
        </w:r>
      </w:ins>
      <w:ins w:id="37" w:author="Liyunbo" w:date="2023-04-24T14:42:00Z">
        <w:r w:rsidR="003F7A02">
          <w:rPr>
            <w:sz w:val="20"/>
          </w:rPr>
          <w:t xml:space="preserve"> (#16895)</w:t>
        </w:r>
      </w:ins>
      <w:r>
        <w:rPr>
          <w:sz w:val="20"/>
        </w:rPr>
        <w:t xml:space="preserve"> before the transmission of the next PPDU.</w:t>
      </w:r>
    </w:p>
    <w:sectPr w:rsidR="00800D2B"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51FE" w14:textId="77777777" w:rsidR="00C65167" w:rsidRDefault="00C65167">
      <w:r>
        <w:separator/>
      </w:r>
    </w:p>
  </w:endnote>
  <w:endnote w:type="continuationSeparator" w:id="0">
    <w:p w14:paraId="55FA4DE3" w14:textId="77777777" w:rsidR="00C65167" w:rsidRDefault="00C6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3423D3" w:rsidRPr="00DF3474" w:rsidRDefault="003423D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92906">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3423D3" w:rsidRPr="00DF3474" w:rsidRDefault="003423D3">
    <w:pPr>
      <w:rPr>
        <w:lang w:val="fr-FR"/>
      </w:rPr>
    </w:pPr>
  </w:p>
  <w:p w14:paraId="0DD4053E" w14:textId="77777777" w:rsidR="003423D3" w:rsidRDefault="003423D3"/>
  <w:p w14:paraId="561B2215" w14:textId="77777777" w:rsidR="003423D3" w:rsidRDefault="003423D3"/>
  <w:p w14:paraId="209D6FB8" w14:textId="77777777" w:rsidR="003423D3" w:rsidRDefault="003423D3"/>
  <w:p w14:paraId="73251C5E" w14:textId="77777777" w:rsidR="003423D3" w:rsidRDefault="0034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6B13" w14:textId="77777777" w:rsidR="00C65167" w:rsidRDefault="00C65167">
      <w:r>
        <w:separator/>
      </w:r>
    </w:p>
  </w:footnote>
  <w:footnote w:type="continuationSeparator" w:id="0">
    <w:p w14:paraId="5D4EEC33" w14:textId="77777777" w:rsidR="00C65167" w:rsidRDefault="00C6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FFD8774" w:rsidR="003423D3" w:rsidRDefault="003423D3">
    <w:pPr>
      <w:pStyle w:val="a5"/>
      <w:tabs>
        <w:tab w:val="clear" w:pos="6480"/>
        <w:tab w:val="center" w:pos="4680"/>
        <w:tab w:val="right" w:pos="9360"/>
      </w:tabs>
    </w:pPr>
    <w:r>
      <w:fldChar w:fldCharType="begin"/>
    </w:r>
    <w:r>
      <w:instrText xml:space="preserve"> DATE  \@ "MMMM yyyy"  \* MERGEFORMAT </w:instrText>
    </w:r>
    <w:r>
      <w:fldChar w:fldCharType="separate"/>
    </w:r>
    <w:r w:rsidR="005B6CD4">
      <w:rPr>
        <w:noProof/>
      </w:rPr>
      <w:t>July 2023</w:t>
    </w:r>
    <w:r>
      <w:fldChar w:fldCharType="end"/>
    </w:r>
    <w:r>
      <w:tab/>
    </w:r>
    <w:r>
      <w:tab/>
    </w:r>
    <w:r w:rsidR="00C65167">
      <w:fldChar w:fldCharType="begin"/>
    </w:r>
    <w:r w:rsidR="00C65167">
      <w:instrText xml:space="preserve"> TITLE  \* MERGEFORMAT </w:instrText>
    </w:r>
    <w:r w:rsidR="00C65167">
      <w:fldChar w:fldCharType="separate"/>
    </w:r>
    <w:r>
      <w:t>doc.: IEEE 802.11-23/</w:t>
    </w:r>
    <w:r w:rsidR="00993921">
      <w:t>0694</w:t>
    </w:r>
    <w:r>
      <w:t>r</w:t>
    </w:r>
    <w:r w:rsidR="00C65167">
      <w:fldChar w:fldCharType="end"/>
    </w:r>
    <w:r w:rsidR="001702D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DD5B79"/>
    <w:multiLevelType w:val="hybridMultilevel"/>
    <w:tmpl w:val="80E2D608"/>
    <w:lvl w:ilvl="0" w:tplc="A3A45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7"/>
  </w:num>
  <w:num w:numId="6">
    <w:abstractNumId w:val="8"/>
  </w:num>
  <w:num w:numId="7">
    <w:abstractNumId w:val="4"/>
  </w:num>
  <w:num w:numId="8">
    <w:abstractNumId w:val="3"/>
  </w:num>
  <w:num w:numId="9">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12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550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0BFA"/>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759"/>
    <w:rsid w:val="00111CFA"/>
    <w:rsid w:val="00111F98"/>
    <w:rsid w:val="001171AF"/>
    <w:rsid w:val="00117386"/>
    <w:rsid w:val="00117CC7"/>
    <w:rsid w:val="00117CC9"/>
    <w:rsid w:val="00121B31"/>
    <w:rsid w:val="00122B8E"/>
    <w:rsid w:val="001230BD"/>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6817"/>
    <w:rsid w:val="001677BF"/>
    <w:rsid w:val="00167DBE"/>
    <w:rsid w:val="001702DF"/>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286"/>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23D3"/>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247B"/>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7A02"/>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0D8D"/>
    <w:rsid w:val="00442037"/>
    <w:rsid w:val="00442856"/>
    <w:rsid w:val="00443B20"/>
    <w:rsid w:val="0044570A"/>
    <w:rsid w:val="00451CDF"/>
    <w:rsid w:val="00452028"/>
    <w:rsid w:val="00453F39"/>
    <w:rsid w:val="0045431C"/>
    <w:rsid w:val="00454AB3"/>
    <w:rsid w:val="004555A6"/>
    <w:rsid w:val="00455F14"/>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2906"/>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CD4"/>
    <w:rsid w:val="005B7479"/>
    <w:rsid w:val="005B75E2"/>
    <w:rsid w:val="005C0EC6"/>
    <w:rsid w:val="005C11BF"/>
    <w:rsid w:val="005C1485"/>
    <w:rsid w:val="005C3C77"/>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6DB"/>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0905"/>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053DC"/>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0C5"/>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D2B"/>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2D2"/>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35D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3921"/>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B3D"/>
    <w:rsid w:val="00AB0ECB"/>
    <w:rsid w:val="00AB10E6"/>
    <w:rsid w:val="00AB2177"/>
    <w:rsid w:val="00AB2A02"/>
    <w:rsid w:val="00AB2F1B"/>
    <w:rsid w:val="00AB2FAB"/>
    <w:rsid w:val="00AB328C"/>
    <w:rsid w:val="00AB33A9"/>
    <w:rsid w:val="00AB44BA"/>
    <w:rsid w:val="00AB4E6E"/>
    <w:rsid w:val="00AB5E59"/>
    <w:rsid w:val="00AB696C"/>
    <w:rsid w:val="00AC03FE"/>
    <w:rsid w:val="00AC0AC9"/>
    <w:rsid w:val="00AC14EC"/>
    <w:rsid w:val="00AC1788"/>
    <w:rsid w:val="00AC1E6D"/>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6BCD"/>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565B"/>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1DF"/>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167"/>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38B"/>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1D3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54CF"/>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67E6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980"/>
    <w:rsid w:val="00E85DF8"/>
    <w:rsid w:val="00E85E19"/>
    <w:rsid w:val="00E866B3"/>
    <w:rsid w:val="00E86A59"/>
    <w:rsid w:val="00E92107"/>
    <w:rsid w:val="00E92360"/>
    <w:rsid w:val="00E92D8B"/>
    <w:rsid w:val="00E95D56"/>
    <w:rsid w:val="00EA07D3"/>
    <w:rsid w:val="00EA16C9"/>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5E2"/>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5E89"/>
    <w:rsid w:val="00F56DA7"/>
    <w:rsid w:val="00F60E4B"/>
    <w:rsid w:val="00F613DE"/>
    <w:rsid w:val="00F617F8"/>
    <w:rsid w:val="00F61D40"/>
    <w:rsid w:val="00F623D7"/>
    <w:rsid w:val="00F6368B"/>
    <w:rsid w:val="00F63D61"/>
    <w:rsid w:val="00F63D84"/>
    <w:rsid w:val="00F63F8B"/>
    <w:rsid w:val="00F6437E"/>
    <w:rsid w:val="00F65419"/>
    <w:rsid w:val="00F662E7"/>
    <w:rsid w:val="00F66A89"/>
    <w:rsid w:val="00F66DEA"/>
    <w:rsid w:val="00F670DA"/>
    <w:rsid w:val="00F701A3"/>
    <w:rsid w:val="00F7107F"/>
    <w:rsid w:val="00F72890"/>
    <w:rsid w:val="00F73006"/>
    <w:rsid w:val="00F762CF"/>
    <w:rsid w:val="00F768AA"/>
    <w:rsid w:val="00F76CE2"/>
    <w:rsid w:val="00F80082"/>
    <w:rsid w:val="00F80D7E"/>
    <w:rsid w:val="00F81428"/>
    <w:rsid w:val="00F81E18"/>
    <w:rsid w:val="00F823E7"/>
    <w:rsid w:val="00F826AD"/>
    <w:rsid w:val="00F83E84"/>
    <w:rsid w:val="00F846B4"/>
    <w:rsid w:val="00F84DE3"/>
    <w:rsid w:val="00F85556"/>
    <w:rsid w:val="00F85DAE"/>
    <w:rsid w:val="00F86E12"/>
    <w:rsid w:val="00F900FD"/>
    <w:rsid w:val="00F9183F"/>
    <w:rsid w:val="00F91DE3"/>
    <w:rsid w:val="00F93266"/>
    <w:rsid w:val="00F93C16"/>
    <w:rsid w:val="00F969E8"/>
    <w:rsid w:val="00F9748C"/>
    <w:rsid w:val="00FA0161"/>
    <w:rsid w:val="00FA0282"/>
    <w:rsid w:val="00FA0891"/>
    <w:rsid w:val="00FA255B"/>
    <w:rsid w:val="00FA3DF7"/>
    <w:rsid w:val="00FA5461"/>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character" w:customStyle="1" w:styleId="SC21323589">
    <w:name w:val="SC.21.323589"/>
    <w:uiPriority w:val="99"/>
    <w:rsid w:val="005B747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27139"/>
    <w:rsid w:val="001375F6"/>
    <w:rsid w:val="00146105"/>
    <w:rsid w:val="001B16B2"/>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6092A"/>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8927F2"/>
    <w:rsid w:val="00893183"/>
    <w:rsid w:val="00A329D0"/>
    <w:rsid w:val="00A64536"/>
    <w:rsid w:val="00B034EB"/>
    <w:rsid w:val="00B25987"/>
    <w:rsid w:val="00B578C0"/>
    <w:rsid w:val="00BB0EF1"/>
    <w:rsid w:val="00BB68EA"/>
    <w:rsid w:val="00BF4BB9"/>
    <w:rsid w:val="00C21714"/>
    <w:rsid w:val="00C24A83"/>
    <w:rsid w:val="00C40660"/>
    <w:rsid w:val="00C73FFD"/>
    <w:rsid w:val="00D01FFE"/>
    <w:rsid w:val="00DF4260"/>
    <w:rsid w:val="00E07284"/>
    <w:rsid w:val="00E25E06"/>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40F3618-268C-4D21-B21D-D711C18F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2023-05-04T00:54:00Z</dcterms:created>
  <dcterms:modified xsi:type="dcterms:W3CDTF">2023-07-12T21:26:00Z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(3)X7hBFlAEzW+6nYXlyvkp/wOww2QJ//y1DVcHgN4I4owOJJaVovBjtYcFubM6/G/4b1MCLBtI
h7sf2Bl/7IQJ3iR/fka+z7vo70kRhn46YoivloCCYkh0QiGiHE9EVQYQf8S73RlSz3O7dydT
VvOiGdz6ApyRVPa1QMXYZ1ZmD0xObwzRK5hAo/obTueYqNMTFV0Oq3qkfgvv/Epnr+YLX5Tx
BnvVQScQQuZtARItbf</vt:lpwstr>
  </property>
  <property fmtid="{D5CDD505-2E9C-101B-9397-08002B2CF9AE}" pid="7" name="_2015_ms_pID_7253431">
    <vt:lpwstr>bb/Y0iGEqO0zzp2IkDoZNBSSBlXaFq9v0rLcpzVHrNGIDzOLfe90Qp
+mWGcSafRnaMCntQP3kjuOaqf1VsJM4GQBVjqjzeP0lIyXp9janrnjvJCZSCugXfCLMZKVyO
9wdF5V6X15MT9/VeX/ZAbH4bgnZq5Uwd9oi5gbBhJTGpO4ULi/YGQoafcyMF62IsWHwn1yez
s87+4Ml8FsIJN6YLceNFxpdgOwFveSqLC4Kz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FW4JS5g5X/VGJWs7vcUl4ec=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