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4053B0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8C2DD4">
              <w:rPr>
                <w:b w:val="0"/>
                <w:color w:val="000000" w:themeColor="text1"/>
                <w:sz w:val="20"/>
              </w:rPr>
              <w:t>2</w:t>
            </w:r>
            <w:r w:rsidR="00BB184A">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00000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00000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000000"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000000"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000000"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5F5EC2">
      <w:pPr>
        <w:numPr>
          <w:ilvl w:val="0"/>
          <w:numId w:val="12"/>
        </w:numPr>
        <w:rPr>
          <w:bCs/>
        </w:rPr>
      </w:pPr>
      <w:r w:rsidRPr="003C550C">
        <w:rPr>
          <w:bCs/>
        </w:rPr>
        <w:t>Call the meeting to order</w:t>
      </w:r>
    </w:p>
    <w:p w14:paraId="37BF40E2" w14:textId="77777777" w:rsidR="00227308" w:rsidRPr="003C550C" w:rsidRDefault="00227308" w:rsidP="005F5EC2">
      <w:pPr>
        <w:numPr>
          <w:ilvl w:val="0"/>
          <w:numId w:val="12"/>
        </w:numPr>
        <w:rPr>
          <w:bCs/>
        </w:rPr>
      </w:pPr>
      <w:r w:rsidRPr="003C550C">
        <w:rPr>
          <w:bCs/>
        </w:rPr>
        <w:t>Patent policy and logistics</w:t>
      </w:r>
    </w:p>
    <w:p w14:paraId="3F28E762" w14:textId="77777777" w:rsidR="00227308" w:rsidRPr="003C550C" w:rsidRDefault="00227308" w:rsidP="005F5EC2">
      <w:pPr>
        <w:numPr>
          <w:ilvl w:val="0"/>
          <w:numId w:val="12"/>
        </w:numPr>
        <w:rPr>
          <w:bCs/>
        </w:rPr>
      </w:pPr>
      <w:r w:rsidRPr="003C550C">
        <w:rPr>
          <w:bCs/>
        </w:rPr>
        <w:t>TGbf Timeline</w:t>
      </w:r>
    </w:p>
    <w:p w14:paraId="1F4166CE" w14:textId="77777777" w:rsidR="00227308" w:rsidRPr="003C550C" w:rsidRDefault="00227308" w:rsidP="005F5EC2">
      <w:pPr>
        <w:numPr>
          <w:ilvl w:val="0"/>
          <w:numId w:val="12"/>
        </w:numPr>
        <w:rPr>
          <w:bCs/>
        </w:rPr>
      </w:pPr>
      <w:r w:rsidRPr="003C550C">
        <w:rPr>
          <w:bCs/>
        </w:rPr>
        <w:t>Call for contribution</w:t>
      </w:r>
    </w:p>
    <w:p w14:paraId="2B11BC43" w14:textId="77777777" w:rsidR="00227308" w:rsidRPr="003C550C" w:rsidRDefault="00227308" w:rsidP="005F5EC2">
      <w:pPr>
        <w:numPr>
          <w:ilvl w:val="0"/>
          <w:numId w:val="12"/>
        </w:numPr>
        <w:rPr>
          <w:bCs/>
        </w:rPr>
      </w:pPr>
      <w:r w:rsidRPr="003C550C">
        <w:rPr>
          <w:bCs/>
        </w:rPr>
        <w:t>Teleconference Times</w:t>
      </w:r>
    </w:p>
    <w:p w14:paraId="62701E7E" w14:textId="77777777" w:rsidR="00227308" w:rsidRPr="003C550C" w:rsidRDefault="00227308" w:rsidP="005F5EC2">
      <w:pPr>
        <w:numPr>
          <w:ilvl w:val="0"/>
          <w:numId w:val="12"/>
        </w:numPr>
        <w:rPr>
          <w:bCs/>
        </w:rPr>
      </w:pPr>
      <w:r w:rsidRPr="003C550C">
        <w:rPr>
          <w:bCs/>
        </w:rPr>
        <w:t>Presentation of submissions</w:t>
      </w:r>
    </w:p>
    <w:p w14:paraId="024EC4E8" w14:textId="77777777" w:rsidR="00227308" w:rsidRPr="003C550C" w:rsidRDefault="00227308" w:rsidP="005F5EC2">
      <w:pPr>
        <w:numPr>
          <w:ilvl w:val="0"/>
          <w:numId w:val="12"/>
        </w:numPr>
        <w:rPr>
          <w:bCs/>
          <w:lang w:val="sv-SE"/>
        </w:rPr>
      </w:pPr>
      <w:r w:rsidRPr="003C550C">
        <w:rPr>
          <w:bCs/>
        </w:rPr>
        <w:t>Any other business</w:t>
      </w:r>
    </w:p>
    <w:p w14:paraId="22E4B8CC" w14:textId="77777777" w:rsidR="00227308" w:rsidRPr="003C550C" w:rsidRDefault="00227308" w:rsidP="005F5EC2">
      <w:pPr>
        <w:numPr>
          <w:ilvl w:val="0"/>
          <w:numId w:val="12"/>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5F5EC2">
      <w:pPr>
        <w:numPr>
          <w:ilvl w:val="0"/>
          <w:numId w:val="13"/>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5F5EC2">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5F5EC2">
      <w:pPr>
        <w:numPr>
          <w:ilvl w:val="0"/>
          <w:numId w:val="13"/>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5F5EC2">
      <w:pPr>
        <w:numPr>
          <w:ilvl w:val="0"/>
          <w:numId w:val="13"/>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5F5EC2">
      <w:pPr>
        <w:numPr>
          <w:ilvl w:val="0"/>
          <w:numId w:val="13"/>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E425D1">
      <w:pPr>
        <w:numPr>
          <w:ilvl w:val="1"/>
          <w:numId w:val="14"/>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E425D1">
      <w:pPr>
        <w:numPr>
          <w:ilvl w:val="1"/>
          <w:numId w:val="14"/>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E425D1">
      <w:pPr>
        <w:numPr>
          <w:ilvl w:val="1"/>
          <w:numId w:val="14"/>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E425D1">
      <w:pPr>
        <w:numPr>
          <w:ilvl w:val="1"/>
          <w:numId w:val="14"/>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5F5EC2">
      <w:pPr>
        <w:numPr>
          <w:ilvl w:val="0"/>
          <w:numId w:val="13"/>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027577">
      <w:pPr>
        <w:numPr>
          <w:ilvl w:val="0"/>
          <w:numId w:val="13"/>
        </w:numPr>
      </w:pPr>
      <w:r w:rsidRPr="00DB4E7D">
        <w:t>The chair asks if there is any other business. No response from the group.</w:t>
      </w:r>
    </w:p>
    <w:p w14:paraId="4AF12341" w14:textId="6C0402D2" w:rsidR="00027577" w:rsidRPr="00DB4E7D" w:rsidRDefault="00027577" w:rsidP="00027577">
      <w:pPr>
        <w:pStyle w:val="ListParagraph"/>
        <w:numPr>
          <w:ilvl w:val="0"/>
          <w:numId w:val="13"/>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000000"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CF612D">
      <w:pPr>
        <w:numPr>
          <w:ilvl w:val="0"/>
          <w:numId w:val="15"/>
        </w:numPr>
        <w:rPr>
          <w:bCs/>
        </w:rPr>
      </w:pPr>
      <w:r w:rsidRPr="003C550C">
        <w:rPr>
          <w:bCs/>
        </w:rPr>
        <w:t>Call the meeting to order</w:t>
      </w:r>
    </w:p>
    <w:p w14:paraId="19872FEE" w14:textId="77777777" w:rsidR="00CF612D" w:rsidRPr="003C550C" w:rsidRDefault="00CF612D" w:rsidP="00CF612D">
      <w:pPr>
        <w:numPr>
          <w:ilvl w:val="0"/>
          <w:numId w:val="15"/>
        </w:numPr>
        <w:rPr>
          <w:bCs/>
        </w:rPr>
      </w:pPr>
      <w:r w:rsidRPr="003C550C">
        <w:rPr>
          <w:bCs/>
        </w:rPr>
        <w:t>Patent policy and logistics</w:t>
      </w:r>
    </w:p>
    <w:p w14:paraId="72466D56" w14:textId="77777777" w:rsidR="00CF612D" w:rsidRPr="003C550C" w:rsidRDefault="00CF612D" w:rsidP="00CF612D">
      <w:pPr>
        <w:numPr>
          <w:ilvl w:val="0"/>
          <w:numId w:val="15"/>
        </w:numPr>
        <w:rPr>
          <w:bCs/>
        </w:rPr>
      </w:pPr>
      <w:r w:rsidRPr="003C550C">
        <w:rPr>
          <w:bCs/>
        </w:rPr>
        <w:t>TGbf Timeline</w:t>
      </w:r>
    </w:p>
    <w:p w14:paraId="12DD7F12" w14:textId="77777777" w:rsidR="00CF612D" w:rsidRPr="003C550C" w:rsidRDefault="00CF612D" w:rsidP="00CF612D">
      <w:pPr>
        <w:numPr>
          <w:ilvl w:val="0"/>
          <w:numId w:val="15"/>
        </w:numPr>
        <w:rPr>
          <w:bCs/>
        </w:rPr>
      </w:pPr>
      <w:r w:rsidRPr="003C550C">
        <w:rPr>
          <w:bCs/>
        </w:rPr>
        <w:t>Call for contribution</w:t>
      </w:r>
    </w:p>
    <w:p w14:paraId="56608EB5" w14:textId="77777777" w:rsidR="00CF612D" w:rsidRPr="003C550C" w:rsidRDefault="00CF612D" w:rsidP="00CF612D">
      <w:pPr>
        <w:numPr>
          <w:ilvl w:val="0"/>
          <w:numId w:val="15"/>
        </w:numPr>
        <w:rPr>
          <w:bCs/>
        </w:rPr>
      </w:pPr>
      <w:r w:rsidRPr="003C550C">
        <w:rPr>
          <w:bCs/>
        </w:rPr>
        <w:t>Teleconference Times</w:t>
      </w:r>
    </w:p>
    <w:p w14:paraId="514FA64C" w14:textId="77777777" w:rsidR="00CF612D" w:rsidRPr="003C550C" w:rsidRDefault="00CF612D" w:rsidP="00CF612D">
      <w:pPr>
        <w:numPr>
          <w:ilvl w:val="0"/>
          <w:numId w:val="15"/>
        </w:numPr>
        <w:rPr>
          <w:bCs/>
        </w:rPr>
      </w:pPr>
      <w:r w:rsidRPr="003C550C">
        <w:rPr>
          <w:bCs/>
        </w:rPr>
        <w:t>Presentation of submissions</w:t>
      </w:r>
    </w:p>
    <w:p w14:paraId="77AB84B4" w14:textId="77777777" w:rsidR="00CF612D" w:rsidRPr="003C550C" w:rsidRDefault="00CF612D" w:rsidP="00CF612D">
      <w:pPr>
        <w:numPr>
          <w:ilvl w:val="0"/>
          <w:numId w:val="15"/>
        </w:numPr>
        <w:rPr>
          <w:bCs/>
          <w:lang w:val="sv-SE"/>
        </w:rPr>
      </w:pPr>
      <w:r w:rsidRPr="003C550C">
        <w:rPr>
          <w:bCs/>
        </w:rPr>
        <w:t>Any other business</w:t>
      </w:r>
    </w:p>
    <w:p w14:paraId="0A0ED818" w14:textId="77777777" w:rsidR="00CF612D" w:rsidRPr="003C550C" w:rsidRDefault="00CF612D" w:rsidP="00CF612D">
      <w:pPr>
        <w:numPr>
          <w:ilvl w:val="0"/>
          <w:numId w:val="15"/>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CF612D">
      <w:pPr>
        <w:numPr>
          <w:ilvl w:val="0"/>
          <w:numId w:val="16"/>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CF612D">
      <w:pPr>
        <w:numPr>
          <w:ilvl w:val="0"/>
          <w:numId w:val="1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CF612D">
      <w:pPr>
        <w:numPr>
          <w:ilvl w:val="0"/>
          <w:numId w:val="16"/>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CF612D">
      <w:pPr>
        <w:numPr>
          <w:ilvl w:val="0"/>
          <w:numId w:val="16"/>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CF612D">
      <w:pPr>
        <w:numPr>
          <w:ilvl w:val="0"/>
          <w:numId w:val="16"/>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CF612D">
      <w:pPr>
        <w:numPr>
          <w:ilvl w:val="0"/>
          <w:numId w:val="16"/>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214079">
      <w:pPr>
        <w:pStyle w:val="ListParagraph"/>
        <w:widowControl w:val="0"/>
        <w:numPr>
          <w:ilvl w:val="0"/>
          <w:numId w:val="17"/>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244ED6">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711368">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3628C9">
      <w:pPr>
        <w:numPr>
          <w:ilvl w:val="0"/>
          <w:numId w:val="16"/>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3628C9">
      <w:pPr>
        <w:pStyle w:val="ListParagraph"/>
        <w:numPr>
          <w:ilvl w:val="0"/>
          <w:numId w:val="16"/>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000000"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C462C">
      <w:pPr>
        <w:numPr>
          <w:ilvl w:val="0"/>
          <w:numId w:val="20"/>
        </w:numPr>
        <w:rPr>
          <w:bCs/>
        </w:rPr>
      </w:pPr>
      <w:r w:rsidRPr="003C550C">
        <w:rPr>
          <w:bCs/>
        </w:rPr>
        <w:t>Call the meeting to order</w:t>
      </w:r>
    </w:p>
    <w:p w14:paraId="3CD2F527" w14:textId="77777777" w:rsidR="008C2DD4" w:rsidRPr="003C550C" w:rsidRDefault="008C2DD4" w:rsidP="00AC462C">
      <w:pPr>
        <w:numPr>
          <w:ilvl w:val="0"/>
          <w:numId w:val="20"/>
        </w:numPr>
        <w:rPr>
          <w:bCs/>
        </w:rPr>
      </w:pPr>
      <w:r w:rsidRPr="003C550C">
        <w:rPr>
          <w:bCs/>
        </w:rPr>
        <w:t>Patent policy and logistics</w:t>
      </w:r>
    </w:p>
    <w:p w14:paraId="0413AF1D" w14:textId="77777777" w:rsidR="008C2DD4" w:rsidRPr="003C550C" w:rsidRDefault="008C2DD4" w:rsidP="00AC462C">
      <w:pPr>
        <w:numPr>
          <w:ilvl w:val="0"/>
          <w:numId w:val="20"/>
        </w:numPr>
        <w:rPr>
          <w:bCs/>
        </w:rPr>
      </w:pPr>
      <w:r w:rsidRPr="003C550C">
        <w:rPr>
          <w:bCs/>
        </w:rPr>
        <w:t>TGbf Timeline</w:t>
      </w:r>
    </w:p>
    <w:p w14:paraId="0231AC21" w14:textId="77777777" w:rsidR="008C2DD4" w:rsidRPr="003C550C" w:rsidRDefault="008C2DD4" w:rsidP="00AC462C">
      <w:pPr>
        <w:numPr>
          <w:ilvl w:val="0"/>
          <w:numId w:val="20"/>
        </w:numPr>
        <w:rPr>
          <w:bCs/>
        </w:rPr>
      </w:pPr>
      <w:r w:rsidRPr="003C550C">
        <w:rPr>
          <w:bCs/>
        </w:rPr>
        <w:t>Call for contribution</w:t>
      </w:r>
    </w:p>
    <w:p w14:paraId="46A51121" w14:textId="77777777" w:rsidR="008C2DD4" w:rsidRPr="003C550C" w:rsidRDefault="008C2DD4" w:rsidP="00AC462C">
      <w:pPr>
        <w:numPr>
          <w:ilvl w:val="0"/>
          <w:numId w:val="20"/>
        </w:numPr>
        <w:rPr>
          <w:bCs/>
        </w:rPr>
      </w:pPr>
      <w:r w:rsidRPr="003C550C">
        <w:rPr>
          <w:bCs/>
        </w:rPr>
        <w:t>Teleconference Times</w:t>
      </w:r>
    </w:p>
    <w:p w14:paraId="458F0019" w14:textId="77777777" w:rsidR="008C2DD4" w:rsidRPr="003C550C" w:rsidRDefault="008C2DD4" w:rsidP="00AC462C">
      <w:pPr>
        <w:numPr>
          <w:ilvl w:val="0"/>
          <w:numId w:val="20"/>
        </w:numPr>
        <w:rPr>
          <w:bCs/>
        </w:rPr>
      </w:pPr>
      <w:r w:rsidRPr="003C550C">
        <w:rPr>
          <w:bCs/>
        </w:rPr>
        <w:t>Presentation of submissions</w:t>
      </w:r>
    </w:p>
    <w:p w14:paraId="1A039926" w14:textId="77777777" w:rsidR="008C2DD4" w:rsidRPr="003C550C" w:rsidRDefault="008C2DD4" w:rsidP="00AC462C">
      <w:pPr>
        <w:numPr>
          <w:ilvl w:val="0"/>
          <w:numId w:val="20"/>
        </w:numPr>
        <w:rPr>
          <w:bCs/>
          <w:lang w:val="sv-SE"/>
        </w:rPr>
      </w:pPr>
      <w:r w:rsidRPr="003C550C">
        <w:rPr>
          <w:bCs/>
        </w:rPr>
        <w:t>Any other business</w:t>
      </w:r>
    </w:p>
    <w:p w14:paraId="17170705" w14:textId="77777777" w:rsidR="008C2DD4" w:rsidRPr="003C550C" w:rsidRDefault="008C2DD4" w:rsidP="00AC462C">
      <w:pPr>
        <w:numPr>
          <w:ilvl w:val="0"/>
          <w:numId w:val="20"/>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C462C">
      <w:pPr>
        <w:numPr>
          <w:ilvl w:val="0"/>
          <w:numId w:val="21"/>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C462C">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C462C">
      <w:pPr>
        <w:numPr>
          <w:ilvl w:val="0"/>
          <w:numId w:val="21"/>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C462C">
      <w:pPr>
        <w:numPr>
          <w:ilvl w:val="0"/>
          <w:numId w:val="21"/>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C462C">
      <w:pPr>
        <w:numPr>
          <w:ilvl w:val="0"/>
          <w:numId w:val="21"/>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C462C">
      <w:pPr>
        <w:numPr>
          <w:ilvl w:val="0"/>
          <w:numId w:val="21"/>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441AA1">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B6944">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966629">
      <w:pPr>
        <w:pStyle w:val="ListParagraph"/>
        <w:widowControl w:val="0"/>
        <w:numPr>
          <w:ilvl w:val="1"/>
          <w:numId w:val="22"/>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B76369">
      <w:pPr>
        <w:numPr>
          <w:ilvl w:val="0"/>
          <w:numId w:val="21"/>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B76369">
      <w:pPr>
        <w:pStyle w:val="ListParagraph"/>
        <w:numPr>
          <w:ilvl w:val="0"/>
          <w:numId w:val="21"/>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000000"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F11892">
      <w:pPr>
        <w:numPr>
          <w:ilvl w:val="0"/>
          <w:numId w:val="24"/>
        </w:numPr>
        <w:rPr>
          <w:bCs/>
        </w:rPr>
      </w:pPr>
      <w:r w:rsidRPr="003C550C">
        <w:rPr>
          <w:bCs/>
        </w:rPr>
        <w:t>Call the meeting to order</w:t>
      </w:r>
    </w:p>
    <w:p w14:paraId="4313E1C2" w14:textId="77777777" w:rsidR="00F11892" w:rsidRPr="003C550C" w:rsidRDefault="00F11892" w:rsidP="00F11892">
      <w:pPr>
        <w:numPr>
          <w:ilvl w:val="0"/>
          <w:numId w:val="24"/>
        </w:numPr>
        <w:rPr>
          <w:bCs/>
        </w:rPr>
      </w:pPr>
      <w:r w:rsidRPr="003C550C">
        <w:rPr>
          <w:bCs/>
        </w:rPr>
        <w:t>Patent policy and logistics</w:t>
      </w:r>
    </w:p>
    <w:p w14:paraId="6CC898C1" w14:textId="77777777" w:rsidR="00F11892" w:rsidRPr="003C550C" w:rsidRDefault="00F11892" w:rsidP="00F11892">
      <w:pPr>
        <w:numPr>
          <w:ilvl w:val="0"/>
          <w:numId w:val="24"/>
        </w:numPr>
        <w:rPr>
          <w:bCs/>
        </w:rPr>
      </w:pPr>
      <w:r w:rsidRPr="003C550C">
        <w:rPr>
          <w:bCs/>
        </w:rPr>
        <w:t>TGbf Timeline</w:t>
      </w:r>
    </w:p>
    <w:p w14:paraId="669916AD" w14:textId="77777777" w:rsidR="00F11892" w:rsidRPr="003C550C" w:rsidRDefault="00F11892" w:rsidP="00F11892">
      <w:pPr>
        <w:numPr>
          <w:ilvl w:val="0"/>
          <w:numId w:val="24"/>
        </w:numPr>
        <w:rPr>
          <w:bCs/>
        </w:rPr>
      </w:pPr>
      <w:r w:rsidRPr="003C550C">
        <w:rPr>
          <w:bCs/>
        </w:rPr>
        <w:t>Call for contribution</w:t>
      </w:r>
    </w:p>
    <w:p w14:paraId="1A07E0B6" w14:textId="77777777" w:rsidR="00F11892" w:rsidRPr="003C550C" w:rsidRDefault="00F11892" w:rsidP="00F11892">
      <w:pPr>
        <w:numPr>
          <w:ilvl w:val="0"/>
          <w:numId w:val="24"/>
        </w:numPr>
        <w:rPr>
          <w:bCs/>
        </w:rPr>
      </w:pPr>
      <w:r w:rsidRPr="003C550C">
        <w:rPr>
          <w:bCs/>
        </w:rPr>
        <w:t>Teleconference Times</w:t>
      </w:r>
    </w:p>
    <w:p w14:paraId="3B44753E" w14:textId="77777777" w:rsidR="00F11892" w:rsidRPr="003C550C" w:rsidRDefault="00F11892" w:rsidP="00F11892">
      <w:pPr>
        <w:numPr>
          <w:ilvl w:val="0"/>
          <w:numId w:val="24"/>
        </w:numPr>
        <w:rPr>
          <w:bCs/>
        </w:rPr>
      </w:pPr>
      <w:r w:rsidRPr="003C550C">
        <w:rPr>
          <w:bCs/>
        </w:rPr>
        <w:t>Presentation of submissions</w:t>
      </w:r>
    </w:p>
    <w:p w14:paraId="4C529E2B" w14:textId="77777777" w:rsidR="00F11892" w:rsidRPr="003C550C" w:rsidRDefault="00F11892" w:rsidP="00F11892">
      <w:pPr>
        <w:numPr>
          <w:ilvl w:val="0"/>
          <w:numId w:val="24"/>
        </w:numPr>
        <w:rPr>
          <w:bCs/>
          <w:lang w:val="sv-SE"/>
        </w:rPr>
      </w:pPr>
      <w:r w:rsidRPr="003C550C">
        <w:rPr>
          <w:bCs/>
        </w:rPr>
        <w:t>Any other business</w:t>
      </w:r>
    </w:p>
    <w:p w14:paraId="188ABEE0" w14:textId="77777777" w:rsidR="00F11892" w:rsidRPr="003C550C" w:rsidRDefault="00F11892" w:rsidP="00F11892">
      <w:pPr>
        <w:numPr>
          <w:ilvl w:val="0"/>
          <w:numId w:val="24"/>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F11892">
      <w:pPr>
        <w:numPr>
          <w:ilvl w:val="0"/>
          <w:numId w:val="25"/>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F11892">
      <w:pPr>
        <w:numPr>
          <w:ilvl w:val="0"/>
          <w:numId w:val="2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F11892">
      <w:pPr>
        <w:numPr>
          <w:ilvl w:val="0"/>
          <w:numId w:val="25"/>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F11892">
      <w:pPr>
        <w:numPr>
          <w:ilvl w:val="0"/>
          <w:numId w:val="25"/>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F11892">
      <w:pPr>
        <w:numPr>
          <w:ilvl w:val="0"/>
          <w:numId w:val="25"/>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F11892">
      <w:pPr>
        <w:numPr>
          <w:ilvl w:val="0"/>
          <w:numId w:val="25"/>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BB7030">
      <w:pPr>
        <w:pStyle w:val="ListParagraph"/>
        <w:widowControl w:val="0"/>
        <w:numPr>
          <w:ilvl w:val="1"/>
          <w:numId w:val="17"/>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422B52">
      <w:pPr>
        <w:numPr>
          <w:ilvl w:val="0"/>
          <w:numId w:val="25"/>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422B52">
      <w:pPr>
        <w:pStyle w:val="ListParagraph"/>
        <w:numPr>
          <w:ilvl w:val="0"/>
          <w:numId w:val="25"/>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w:t>
      </w:r>
      <w:r>
        <w:rPr>
          <w:rFonts w:asciiTheme="minorEastAsia" w:eastAsiaTheme="minorEastAsia" w:hAnsiTheme="minorEastAsia"/>
          <w:lang w:eastAsia="ko-KR"/>
        </w:rPr>
        <w:t>day</w:t>
      </w:r>
      <w:r w:rsidRPr="00DB034D">
        <w:t>,</w:t>
      </w:r>
      <w:r>
        <w:t xml:space="preserve"> April 2</w:t>
      </w:r>
      <w:r>
        <w:t>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3B6350" w:rsidP="008E68D0">
      <w:pPr>
        <w:rPr>
          <w:bCs/>
        </w:rPr>
      </w:pPr>
      <w:hyperlink r:id="rId20" w:history="1">
        <w:r w:rsidRPr="00937F96">
          <w:rPr>
            <w:rStyle w:val="Hyperlink"/>
            <w:bCs/>
          </w:rPr>
          <w:t>https://mentor.ieee.org/802.11/dcn/23/11-23-0561-1</w:t>
        </w:r>
        <w:r w:rsidRPr="00937F96">
          <w:rPr>
            <w:rStyle w:val="Hyperlink"/>
            <w:bCs/>
          </w:rPr>
          <w:t>1</w:t>
        </w:r>
        <w:r w:rsidRPr="00937F96">
          <w:rPr>
            <w:rStyle w:val="Hyperlink"/>
            <w:bCs/>
          </w:rPr>
          <w:t>-00bf-tgbf-meeting-agenda-2023-04.pptx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8E68D0">
      <w:pPr>
        <w:numPr>
          <w:ilvl w:val="0"/>
          <w:numId w:val="27"/>
        </w:numPr>
        <w:rPr>
          <w:bCs/>
        </w:rPr>
      </w:pPr>
      <w:r w:rsidRPr="003C550C">
        <w:rPr>
          <w:bCs/>
        </w:rPr>
        <w:t>Call the meeting to order</w:t>
      </w:r>
    </w:p>
    <w:p w14:paraId="5FC3FB38" w14:textId="77777777" w:rsidR="008E68D0" w:rsidRPr="003C550C" w:rsidRDefault="008E68D0" w:rsidP="008E68D0">
      <w:pPr>
        <w:numPr>
          <w:ilvl w:val="0"/>
          <w:numId w:val="27"/>
        </w:numPr>
        <w:rPr>
          <w:bCs/>
        </w:rPr>
      </w:pPr>
      <w:r w:rsidRPr="003C550C">
        <w:rPr>
          <w:bCs/>
        </w:rPr>
        <w:t>Patent policy and logistics</w:t>
      </w:r>
    </w:p>
    <w:p w14:paraId="7C896B02" w14:textId="77777777" w:rsidR="008E68D0" w:rsidRPr="003C550C" w:rsidRDefault="008E68D0" w:rsidP="008E68D0">
      <w:pPr>
        <w:numPr>
          <w:ilvl w:val="0"/>
          <w:numId w:val="27"/>
        </w:numPr>
        <w:rPr>
          <w:bCs/>
        </w:rPr>
      </w:pPr>
      <w:r w:rsidRPr="003C550C">
        <w:rPr>
          <w:bCs/>
        </w:rPr>
        <w:t>TGbf Timeline</w:t>
      </w:r>
    </w:p>
    <w:p w14:paraId="3EDB197F" w14:textId="77777777" w:rsidR="008E68D0" w:rsidRPr="003C550C" w:rsidRDefault="008E68D0" w:rsidP="008E68D0">
      <w:pPr>
        <w:numPr>
          <w:ilvl w:val="0"/>
          <w:numId w:val="27"/>
        </w:numPr>
        <w:rPr>
          <w:bCs/>
        </w:rPr>
      </w:pPr>
      <w:r w:rsidRPr="003C550C">
        <w:rPr>
          <w:bCs/>
        </w:rPr>
        <w:t>Call for contribution</w:t>
      </w:r>
    </w:p>
    <w:p w14:paraId="766DFB05" w14:textId="77777777" w:rsidR="008E68D0" w:rsidRPr="003C550C" w:rsidRDefault="008E68D0" w:rsidP="008E68D0">
      <w:pPr>
        <w:numPr>
          <w:ilvl w:val="0"/>
          <w:numId w:val="27"/>
        </w:numPr>
        <w:rPr>
          <w:bCs/>
        </w:rPr>
      </w:pPr>
      <w:r w:rsidRPr="003C550C">
        <w:rPr>
          <w:bCs/>
        </w:rPr>
        <w:t>Teleconference Times</w:t>
      </w:r>
    </w:p>
    <w:p w14:paraId="7443DF81" w14:textId="77777777" w:rsidR="008E68D0" w:rsidRDefault="008E68D0" w:rsidP="008E68D0">
      <w:pPr>
        <w:numPr>
          <w:ilvl w:val="0"/>
          <w:numId w:val="27"/>
        </w:numPr>
        <w:rPr>
          <w:bCs/>
        </w:rPr>
      </w:pPr>
      <w:r w:rsidRPr="003C550C">
        <w:rPr>
          <w:bCs/>
        </w:rPr>
        <w:t>Presentation of submissions</w:t>
      </w:r>
    </w:p>
    <w:p w14:paraId="206967D7" w14:textId="0DC9E785" w:rsidR="0021755B" w:rsidRPr="003C550C" w:rsidRDefault="0021755B" w:rsidP="008E68D0">
      <w:pPr>
        <w:numPr>
          <w:ilvl w:val="0"/>
          <w:numId w:val="27"/>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8E68D0">
      <w:pPr>
        <w:numPr>
          <w:ilvl w:val="0"/>
          <w:numId w:val="27"/>
        </w:numPr>
        <w:rPr>
          <w:bCs/>
          <w:lang w:val="sv-SE"/>
        </w:rPr>
      </w:pPr>
      <w:r w:rsidRPr="003C550C">
        <w:rPr>
          <w:bCs/>
        </w:rPr>
        <w:t>Any other business</w:t>
      </w:r>
    </w:p>
    <w:p w14:paraId="096D4983" w14:textId="77777777" w:rsidR="008E68D0" w:rsidRPr="003C550C" w:rsidRDefault="008E68D0" w:rsidP="008E68D0">
      <w:pPr>
        <w:numPr>
          <w:ilvl w:val="0"/>
          <w:numId w:val="27"/>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8E68D0">
      <w:pPr>
        <w:numPr>
          <w:ilvl w:val="0"/>
          <w:numId w:val="28"/>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8E68D0">
      <w:pPr>
        <w:numPr>
          <w:ilvl w:val="0"/>
          <w:numId w:val="2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8E68D0">
      <w:pPr>
        <w:numPr>
          <w:ilvl w:val="0"/>
          <w:numId w:val="28"/>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8E68D0">
      <w:pPr>
        <w:numPr>
          <w:ilvl w:val="0"/>
          <w:numId w:val="28"/>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8A432F">
      <w:pPr>
        <w:numPr>
          <w:ilvl w:val="0"/>
          <w:numId w:val="28"/>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8A432F">
      <w:pPr>
        <w:numPr>
          <w:ilvl w:val="0"/>
          <w:numId w:val="28"/>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2A54A5">
      <w:pPr>
        <w:numPr>
          <w:ilvl w:val="1"/>
          <w:numId w:val="29"/>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2A54A5">
      <w:pPr>
        <w:numPr>
          <w:ilvl w:val="1"/>
          <w:numId w:val="29"/>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2A54A5">
      <w:pPr>
        <w:numPr>
          <w:ilvl w:val="1"/>
          <w:numId w:val="30"/>
        </w:numPr>
        <w:rPr>
          <w:bCs/>
        </w:rPr>
      </w:pPr>
      <w:r w:rsidRPr="002A54A5">
        <w:rPr>
          <w:bCs/>
          <w:lang w:val="en-US"/>
        </w:rPr>
        <w:t>Related document 11-23/0476r3</w:t>
      </w:r>
    </w:p>
    <w:p w14:paraId="1760D7B3" w14:textId="77777777" w:rsidR="002A54A5" w:rsidRPr="00032D90" w:rsidRDefault="002A54A5" w:rsidP="002A54A5">
      <w:pPr>
        <w:numPr>
          <w:ilvl w:val="1"/>
          <w:numId w:val="30"/>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032D90">
      <w:pPr>
        <w:numPr>
          <w:ilvl w:val="1"/>
          <w:numId w:val="31"/>
        </w:numPr>
        <w:rPr>
          <w:bCs/>
        </w:rPr>
      </w:pPr>
      <w:r w:rsidRPr="00032D90">
        <w:rPr>
          <w:bCs/>
          <w:lang w:val="en-US"/>
        </w:rPr>
        <w:t xml:space="preserve">CID 1478, 1479, 2263, 2265,  </w:t>
      </w:r>
    </w:p>
    <w:p w14:paraId="61C1E6BC" w14:textId="77777777" w:rsidR="00032D90" w:rsidRPr="00032D90" w:rsidRDefault="00032D90" w:rsidP="00032D90">
      <w:pPr>
        <w:numPr>
          <w:ilvl w:val="1"/>
          <w:numId w:val="31"/>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F43166">
      <w:pPr>
        <w:numPr>
          <w:ilvl w:val="1"/>
          <w:numId w:val="32"/>
        </w:numPr>
        <w:rPr>
          <w:bCs/>
        </w:rPr>
      </w:pPr>
      <w:r w:rsidRPr="00032D90">
        <w:rPr>
          <w:bCs/>
          <w:lang w:val="en-US"/>
        </w:rPr>
        <w:t>Related document 11-23/0508r3</w:t>
      </w:r>
    </w:p>
    <w:p w14:paraId="7F415493" w14:textId="77777777" w:rsidR="00032D90" w:rsidRPr="00032D90" w:rsidRDefault="00032D90" w:rsidP="00F43166">
      <w:pPr>
        <w:numPr>
          <w:ilvl w:val="1"/>
          <w:numId w:val="32"/>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F43166">
      <w:pPr>
        <w:numPr>
          <w:ilvl w:val="1"/>
          <w:numId w:val="33"/>
        </w:numPr>
        <w:rPr>
          <w:bCs/>
        </w:rPr>
      </w:pPr>
      <w:r w:rsidRPr="00F43166">
        <w:rPr>
          <w:bCs/>
          <w:lang w:val="en-US"/>
        </w:rPr>
        <w:t xml:space="preserve">CID 1031, 1174, 1209, 1408 and 1409,  </w:t>
      </w:r>
    </w:p>
    <w:p w14:paraId="0A6A717B" w14:textId="77777777" w:rsidR="00F43166" w:rsidRPr="00F43166" w:rsidRDefault="00F43166" w:rsidP="00F43166">
      <w:pPr>
        <w:numPr>
          <w:ilvl w:val="1"/>
          <w:numId w:val="33"/>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017353">
      <w:pPr>
        <w:numPr>
          <w:ilvl w:val="1"/>
          <w:numId w:val="34"/>
        </w:numPr>
        <w:rPr>
          <w:bCs/>
        </w:rPr>
      </w:pPr>
      <w:r w:rsidRPr="00F43166">
        <w:rPr>
          <w:bCs/>
          <w:lang w:val="en-US"/>
        </w:rPr>
        <w:t>Related document 11-23/0505r1</w:t>
      </w:r>
    </w:p>
    <w:p w14:paraId="01B5FD24" w14:textId="77777777" w:rsidR="00F43166" w:rsidRPr="00F43166" w:rsidRDefault="00F43166" w:rsidP="00017353">
      <w:pPr>
        <w:numPr>
          <w:ilvl w:val="1"/>
          <w:numId w:val="34"/>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563D38">
      <w:pPr>
        <w:numPr>
          <w:ilvl w:val="1"/>
          <w:numId w:val="35"/>
        </w:numPr>
        <w:rPr>
          <w:bCs/>
        </w:rPr>
      </w:pPr>
      <w:r w:rsidRPr="00563D38">
        <w:rPr>
          <w:bCs/>
          <w:lang w:val="en-US"/>
        </w:rPr>
        <w:t xml:space="preserve">CID 1306, 1307, 1308, 1309, 1310, 1324 and 1325,  </w:t>
      </w:r>
    </w:p>
    <w:p w14:paraId="4FA8D9F6" w14:textId="77777777" w:rsidR="00563D38" w:rsidRPr="00563D38" w:rsidRDefault="00563D38" w:rsidP="00563D38">
      <w:pPr>
        <w:numPr>
          <w:ilvl w:val="1"/>
          <w:numId w:val="35"/>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563D38">
      <w:pPr>
        <w:numPr>
          <w:ilvl w:val="0"/>
          <w:numId w:val="36"/>
        </w:numPr>
        <w:rPr>
          <w:bCs/>
        </w:rPr>
      </w:pPr>
      <w:r w:rsidRPr="00563D38">
        <w:rPr>
          <w:bCs/>
          <w:lang w:val="en-US"/>
        </w:rPr>
        <w:t>Related document 11-23/0506r1</w:t>
      </w:r>
    </w:p>
    <w:p w14:paraId="756124E6" w14:textId="739B61DD" w:rsidR="00563D38" w:rsidRPr="00563D38" w:rsidRDefault="00563D38" w:rsidP="00563D38">
      <w:pPr>
        <w:numPr>
          <w:ilvl w:val="0"/>
          <w:numId w:val="36"/>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DB3496">
      <w:pPr>
        <w:numPr>
          <w:ilvl w:val="0"/>
          <w:numId w:val="37"/>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DB3496">
      <w:pPr>
        <w:numPr>
          <w:ilvl w:val="0"/>
          <w:numId w:val="37"/>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3B1060">
      <w:pPr>
        <w:numPr>
          <w:ilvl w:val="0"/>
          <w:numId w:val="38"/>
        </w:numPr>
        <w:rPr>
          <w:bCs/>
        </w:rPr>
      </w:pPr>
      <w:r w:rsidRPr="00DB3496">
        <w:rPr>
          <w:bCs/>
          <w:lang w:val="en-US"/>
        </w:rPr>
        <w:t>Related document 23/0510r0</w:t>
      </w:r>
    </w:p>
    <w:p w14:paraId="215296D1" w14:textId="77777777" w:rsidR="00DB3496" w:rsidRPr="00DB3496" w:rsidRDefault="00DB3496" w:rsidP="003B1060">
      <w:pPr>
        <w:numPr>
          <w:ilvl w:val="0"/>
          <w:numId w:val="38"/>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366F06">
      <w:pPr>
        <w:numPr>
          <w:ilvl w:val="0"/>
          <w:numId w:val="39"/>
        </w:numPr>
        <w:rPr>
          <w:bCs/>
        </w:rPr>
      </w:pPr>
      <w:r w:rsidRPr="00366F06">
        <w:rPr>
          <w:bCs/>
          <w:lang w:val="en-US"/>
        </w:rPr>
        <w:t xml:space="preserve">CID  1147, 1156 </w:t>
      </w:r>
    </w:p>
    <w:p w14:paraId="6515C823" w14:textId="77777777" w:rsidR="00366F06" w:rsidRPr="00366F06" w:rsidRDefault="00366F06" w:rsidP="00366F06">
      <w:pPr>
        <w:numPr>
          <w:ilvl w:val="0"/>
          <w:numId w:val="39"/>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366F06">
      <w:pPr>
        <w:numPr>
          <w:ilvl w:val="0"/>
          <w:numId w:val="40"/>
        </w:numPr>
        <w:rPr>
          <w:bCs/>
        </w:rPr>
      </w:pPr>
      <w:r w:rsidRPr="00366F06">
        <w:rPr>
          <w:bCs/>
          <w:lang w:val="en-US"/>
        </w:rPr>
        <w:t>Related document 23/0515r1</w:t>
      </w:r>
    </w:p>
    <w:p w14:paraId="1A423CE9" w14:textId="77777777" w:rsidR="00366F06" w:rsidRPr="00366F06" w:rsidRDefault="00366F06" w:rsidP="00366F06">
      <w:pPr>
        <w:numPr>
          <w:ilvl w:val="0"/>
          <w:numId w:val="40"/>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E2454E">
      <w:pPr>
        <w:numPr>
          <w:ilvl w:val="1"/>
          <w:numId w:val="41"/>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E2454E">
      <w:pPr>
        <w:numPr>
          <w:ilvl w:val="1"/>
          <w:numId w:val="41"/>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F52C2E">
      <w:pPr>
        <w:numPr>
          <w:ilvl w:val="1"/>
          <w:numId w:val="42"/>
        </w:numPr>
        <w:rPr>
          <w:bCs/>
        </w:rPr>
      </w:pPr>
      <w:r w:rsidRPr="00E2454E">
        <w:rPr>
          <w:bCs/>
          <w:lang w:val="en-US"/>
        </w:rPr>
        <w:t>Related document 23/0511r3</w:t>
      </w:r>
    </w:p>
    <w:p w14:paraId="0E773806" w14:textId="77777777" w:rsidR="00E2454E" w:rsidRPr="00E2454E" w:rsidRDefault="00E2454E" w:rsidP="00F52C2E">
      <w:pPr>
        <w:numPr>
          <w:ilvl w:val="1"/>
          <w:numId w:val="42"/>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2D5A44">
      <w:pPr>
        <w:numPr>
          <w:ilvl w:val="1"/>
          <w:numId w:val="43"/>
        </w:numPr>
        <w:rPr>
          <w:bCs/>
        </w:rPr>
      </w:pPr>
      <w:r w:rsidRPr="002D5A44">
        <w:rPr>
          <w:bCs/>
          <w:lang w:val="en-US"/>
        </w:rPr>
        <w:t>CID 1041, 1284, 1771, 1931, 1949, 2048 and 2125</w:t>
      </w:r>
    </w:p>
    <w:p w14:paraId="4C1CE5C3" w14:textId="77777777" w:rsidR="002D5A44" w:rsidRPr="002D5A44" w:rsidRDefault="002D5A44" w:rsidP="002D5A44">
      <w:pPr>
        <w:numPr>
          <w:ilvl w:val="1"/>
          <w:numId w:val="43"/>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F52C2E">
      <w:pPr>
        <w:numPr>
          <w:ilvl w:val="1"/>
          <w:numId w:val="44"/>
        </w:numPr>
        <w:rPr>
          <w:bCs/>
        </w:rPr>
      </w:pPr>
      <w:r w:rsidRPr="002D5A44">
        <w:rPr>
          <w:bCs/>
          <w:lang w:val="en-US"/>
        </w:rPr>
        <w:t>Related document 23/0553r3</w:t>
      </w:r>
    </w:p>
    <w:p w14:paraId="718C4660" w14:textId="77777777" w:rsidR="002D5A44" w:rsidRPr="002D5A44" w:rsidRDefault="002D5A44" w:rsidP="00F52C2E">
      <w:pPr>
        <w:numPr>
          <w:ilvl w:val="1"/>
          <w:numId w:val="44"/>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9D54EF">
      <w:pPr>
        <w:numPr>
          <w:ilvl w:val="1"/>
          <w:numId w:val="45"/>
        </w:numPr>
        <w:rPr>
          <w:bCs/>
        </w:rPr>
      </w:pPr>
      <w:r w:rsidRPr="009D54EF">
        <w:rPr>
          <w:bCs/>
          <w:lang w:val="en-US"/>
        </w:rPr>
        <w:t xml:space="preserve">CID 1789, 1074, 1002, 1077 </w:t>
      </w:r>
    </w:p>
    <w:p w14:paraId="501AFBFF" w14:textId="77777777" w:rsidR="009D54EF" w:rsidRPr="009D54EF" w:rsidRDefault="009D54EF" w:rsidP="009D54EF">
      <w:pPr>
        <w:numPr>
          <w:ilvl w:val="1"/>
          <w:numId w:val="45"/>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9D54EF">
      <w:pPr>
        <w:numPr>
          <w:ilvl w:val="1"/>
          <w:numId w:val="46"/>
        </w:numPr>
        <w:rPr>
          <w:bCs/>
        </w:rPr>
      </w:pPr>
      <w:r w:rsidRPr="009D54EF">
        <w:rPr>
          <w:bCs/>
          <w:lang w:val="en-US"/>
        </w:rPr>
        <w:t>Related document 23/0514r2</w:t>
      </w:r>
    </w:p>
    <w:p w14:paraId="1C9FFA5D" w14:textId="77777777" w:rsidR="009D54EF" w:rsidRPr="009D54EF" w:rsidRDefault="009D54EF" w:rsidP="009D54EF">
      <w:pPr>
        <w:numPr>
          <w:ilvl w:val="1"/>
          <w:numId w:val="46"/>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BF033B">
      <w:pPr>
        <w:numPr>
          <w:ilvl w:val="1"/>
          <w:numId w:val="47"/>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BF033B">
      <w:pPr>
        <w:numPr>
          <w:ilvl w:val="1"/>
          <w:numId w:val="47"/>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E43B65">
      <w:pPr>
        <w:numPr>
          <w:ilvl w:val="1"/>
          <w:numId w:val="48"/>
        </w:numPr>
        <w:rPr>
          <w:bCs/>
        </w:rPr>
      </w:pPr>
      <w:r w:rsidRPr="00BF033B">
        <w:rPr>
          <w:bCs/>
          <w:lang w:val="en-US"/>
        </w:rPr>
        <w:t>Related document 11-23/0477r3</w:t>
      </w:r>
    </w:p>
    <w:p w14:paraId="70C59E1E" w14:textId="77777777" w:rsidR="00BF033B" w:rsidRPr="00BF033B" w:rsidRDefault="00BF033B" w:rsidP="00E43B65">
      <w:pPr>
        <w:numPr>
          <w:ilvl w:val="1"/>
          <w:numId w:val="48"/>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C64FAB">
      <w:pPr>
        <w:numPr>
          <w:ilvl w:val="1"/>
          <w:numId w:val="49"/>
        </w:numPr>
        <w:rPr>
          <w:bCs/>
        </w:rPr>
      </w:pPr>
      <w:r w:rsidRPr="00C64FAB">
        <w:rPr>
          <w:bCs/>
          <w:lang w:val="en-US"/>
        </w:rPr>
        <w:t>CID 1757</w:t>
      </w:r>
    </w:p>
    <w:p w14:paraId="45F5BB7B" w14:textId="7DAD5966" w:rsidR="00C64FAB" w:rsidRPr="00C64FAB" w:rsidRDefault="00C64FAB" w:rsidP="00C64FAB">
      <w:pPr>
        <w:numPr>
          <w:ilvl w:val="1"/>
          <w:numId w:val="49"/>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Cheng Chen</w:t>
      </w:r>
      <w:r w:rsidRPr="00C64FAB">
        <w:rPr>
          <w:lang w:val="en-US"/>
        </w:rPr>
        <w:t xml:space="preserve">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C64FAB">
      <w:pPr>
        <w:numPr>
          <w:ilvl w:val="0"/>
          <w:numId w:val="50"/>
        </w:numPr>
        <w:rPr>
          <w:bCs/>
        </w:rPr>
      </w:pPr>
      <w:r w:rsidRPr="00C64FAB">
        <w:rPr>
          <w:bCs/>
          <w:lang w:val="en-US"/>
        </w:rPr>
        <w:t xml:space="preserve">Related document 23/0554r3 </w:t>
      </w:r>
    </w:p>
    <w:p w14:paraId="4B683856" w14:textId="770F75A9" w:rsidR="009D54EF" w:rsidRPr="00C64FAB" w:rsidRDefault="00C64FAB" w:rsidP="00C64FAB">
      <w:pPr>
        <w:numPr>
          <w:ilvl w:val="0"/>
          <w:numId w:val="50"/>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CE1231">
      <w:pPr>
        <w:numPr>
          <w:ilvl w:val="1"/>
          <w:numId w:val="51"/>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CE1231">
      <w:pPr>
        <w:numPr>
          <w:ilvl w:val="1"/>
          <w:numId w:val="51"/>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w:t>
      </w:r>
      <w:r w:rsidRPr="00CE1231">
        <w:rPr>
          <w:lang w:val="en-US"/>
        </w:rPr>
        <w:t xml:space="preserve">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CE1231">
      <w:pPr>
        <w:numPr>
          <w:ilvl w:val="1"/>
          <w:numId w:val="52"/>
        </w:numPr>
        <w:rPr>
          <w:bCs/>
        </w:rPr>
      </w:pPr>
      <w:r w:rsidRPr="00CE1231">
        <w:rPr>
          <w:bCs/>
          <w:lang w:val="en-US"/>
        </w:rPr>
        <w:t>Related document 23/0556r3</w:t>
      </w:r>
    </w:p>
    <w:p w14:paraId="2CDFC80F" w14:textId="77777777" w:rsidR="00CE1231" w:rsidRPr="00CE1231" w:rsidRDefault="00CE1231" w:rsidP="00CE1231">
      <w:pPr>
        <w:numPr>
          <w:ilvl w:val="1"/>
          <w:numId w:val="52"/>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943456">
      <w:pPr>
        <w:numPr>
          <w:ilvl w:val="1"/>
          <w:numId w:val="53"/>
        </w:numPr>
        <w:rPr>
          <w:bCs/>
        </w:rPr>
      </w:pPr>
      <w:r w:rsidRPr="00943456">
        <w:rPr>
          <w:bCs/>
          <w:lang w:val="en-US"/>
        </w:rPr>
        <w:t xml:space="preserve">CID 1066, 1067, and 1069 </w:t>
      </w:r>
    </w:p>
    <w:p w14:paraId="6F7C3CD0" w14:textId="77777777" w:rsidR="00943456" w:rsidRPr="00943456" w:rsidRDefault="00943456" w:rsidP="00943456">
      <w:pPr>
        <w:numPr>
          <w:ilvl w:val="1"/>
          <w:numId w:val="53"/>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D47C07">
      <w:pPr>
        <w:numPr>
          <w:ilvl w:val="1"/>
          <w:numId w:val="54"/>
        </w:numPr>
        <w:rPr>
          <w:bCs/>
        </w:rPr>
      </w:pPr>
      <w:r w:rsidRPr="00943456">
        <w:rPr>
          <w:bCs/>
          <w:lang w:val="en-US"/>
        </w:rPr>
        <w:t>Related document 23/0557r1</w:t>
      </w:r>
    </w:p>
    <w:p w14:paraId="187FAFB4" w14:textId="77777777" w:rsidR="00943456" w:rsidRPr="00943456" w:rsidRDefault="00943456" w:rsidP="00D47C07">
      <w:pPr>
        <w:numPr>
          <w:ilvl w:val="1"/>
          <w:numId w:val="54"/>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8E68D0">
      <w:pPr>
        <w:numPr>
          <w:ilvl w:val="0"/>
          <w:numId w:val="28"/>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Default="006C06EF" w:rsidP="006C06EF">
      <w:pPr>
        <w:ind w:firstLine="360"/>
        <w:rPr>
          <w:lang w:val="sv-SE"/>
        </w:rPr>
      </w:pPr>
      <w:proofErr w:type="spellStart"/>
      <w:r w:rsidRPr="006C06EF">
        <w:rPr>
          <w:b/>
          <w:bCs/>
          <w:lang w:val="sv-SE"/>
        </w:rPr>
        <w:t>Result</w:t>
      </w:r>
      <w:proofErr w:type="spellEnd"/>
      <w:r w:rsidRPr="006C06EF">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p>
    <w:p w14:paraId="7198CD57" w14:textId="77777777" w:rsidR="006C06EF" w:rsidRDefault="006C06EF" w:rsidP="007E656A">
      <w:pPr>
        <w:rPr>
          <w:lang w:val="sv-SE"/>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Default="00EA3981" w:rsidP="00EA3981">
      <w:pPr>
        <w:ind w:firstLine="360"/>
        <w:rPr>
          <w:lang w:val="sv-SE"/>
        </w:rPr>
      </w:pPr>
      <w:proofErr w:type="spellStart"/>
      <w:r w:rsidRPr="006C06EF">
        <w:rPr>
          <w:b/>
          <w:bCs/>
          <w:lang w:val="sv-SE"/>
        </w:rPr>
        <w:t>Result</w:t>
      </w:r>
      <w:proofErr w:type="spellEnd"/>
      <w:r w:rsidRPr="006C06EF">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sidR="005265E8">
        <w:rPr>
          <w:lang w:val="sv-SE"/>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Default="005265E8" w:rsidP="005265E8">
      <w:pPr>
        <w:ind w:firstLine="360"/>
        <w:rPr>
          <w:lang w:val="sv-SE"/>
        </w:rPr>
      </w:pPr>
      <w:proofErr w:type="spellStart"/>
      <w:r w:rsidRPr="006C06EF">
        <w:rPr>
          <w:b/>
          <w:bCs/>
          <w:lang w:val="sv-SE"/>
        </w:rPr>
        <w:t>Result</w:t>
      </w:r>
      <w:proofErr w:type="spellEnd"/>
      <w:r w:rsidRPr="006C06EF">
        <w:rPr>
          <w:b/>
          <w:bCs/>
          <w:lang w:val="sv-SE"/>
        </w:rPr>
        <w:t>:</w:t>
      </w:r>
      <w:r>
        <w:rPr>
          <w:lang w:val="sv-SE"/>
        </w:rPr>
        <w:t xml:space="preserve"> </w:t>
      </w:r>
      <w:proofErr w:type="spellStart"/>
      <w:r>
        <w:rPr>
          <w:lang w:val="sv-SE"/>
        </w:rPr>
        <w:t>Unanimously</w:t>
      </w:r>
      <w:proofErr w:type="spellEnd"/>
      <w:r>
        <w:rPr>
          <w:lang w:val="sv-SE"/>
        </w:rPr>
        <w:t xml:space="preserve"> </w:t>
      </w:r>
      <w:proofErr w:type="spellStart"/>
      <w:r>
        <w:rPr>
          <w:lang w:val="sv-SE"/>
        </w:rPr>
        <w:t>supported</w:t>
      </w:r>
      <w:proofErr w:type="spellEnd"/>
      <w:r>
        <w:rPr>
          <w:lang w:val="sv-SE"/>
        </w:rPr>
        <w:t>.</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9B4B64">
      <w:pPr>
        <w:numPr>
          <w:ilvl w:val="0"/>
          <w:numId w:val="28"/>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9B4B64">
      <w:pPr>
        <w:pStyle w:val="ListParagraph"/>
        <w:numPr>
          <w:ilvl w:val="0"/>
          <w:numId w:val="28"/>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Pr="009B4B64" w:rsidRDefault="009B4B64" w:rsidP="00422B52">
      <w:pPr>
        <w:ind w:left="360"/>
        <w:rPr>
          <w:lang w:val="en-GB"/>
        </w:rPr>
      </w:pPr>
    </w:p>
    <w:sectPr w:rsidR="009B4B64" w:rsidRPr="009B4B64">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5D4" w14:textId="77777777" w:rsidR="00DD37D1" w:rsidRDefault="00DD37D1">
      <w:r>
        <w:separator/>
      </w:r>
    </w:p>
  </w:endnote>
  <w:endnote w:type="continuationSeparator" w:id="0">
    <w:p w14:paraId="481CA2F6" w14:textId="77777777" w:rsidR="00DD37D1" w:rsidRDefault="00DD37D1">
      <w:r>
        <w:continuationSeparator/>
      </w:r>
    </w:p>
  </w:endnote>
  <w:endnote w:type="continuationNotice" w:id="1">
    <w:p w14:paraId="7D499116" w14:textId="77777777" w:rsidR="00DD37D1" w:rsidRDefault="00DD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AE459F">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AD17" w14:textId="77777777" w:rsidR="00DD37D1" w:rsidRDefault="00DD37D1">
      <w:r>
        <w:separator/>
      </w:r>
    </w:p>
  </w:footnote>
  <w:footnote w:type="continuationSeparator" w:id="0">
    <w:p w14:paraId="78EF0847" w14:textId="77777777" w:rsidR="00DD37D1" w:rsidRDefault="00DD37D1">
      <w:r>
        <w:continuationSeparator/>
      </w:r>
    </w:p>
  </w:footnote>
  <w:footnote w:type="continuationNotice" w:id="1">
    <w:p w14:paraId="582377BB" w14:textId="77777777" w:rsidR="00DD37D1" w:rsidRDefault="00DD3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9201996"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8E68D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4573E1"/>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6"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35392C"/>
    <w:multiLevelType w:val="hybridMultilevel"/>
    <w:tmpl w:val="301E6CD6"/>
    <w:lvl w:ilvl="0" w:tplc="A914FA20">
      <w:start w:val="1"/>
      <w:numFmt w:val="bullet"/>
      <w:lvlText w:val="•"/>
      <w:lvlJc w:val="left"/>
      <w:pPr>
        <w:tabs>
          <w:tab w:val="num" w:pos="720"/>
        </w:tabs>
        <w:ind w:left="720" w:hanging="360"/>
      </w:pPr>
      <w:rPr>
        <w:rFonts w:ascii="Arial" w:hAnsi="Arial" w:hint="default"/>
      </w:rPr>
    </w:lvl>
    <w:lvl w:ilvl="1" w:tplc="1FAE9642" w:tentative="1">
      <w:start w:val="1"/>
      <w:numFmt w:val="bullet"/>
      <w:lvlText w:val="•"/>
      <w:lvlJc w:val="left"/>
      <w:pPr>
        <w:tabs>
          <w:tab w:val="num" w:pos="1440"/>
        </w:tabs>
        <w:ind w:left="1440" w:hanging="360"/>
      </w:pPr>
      <w:rPr>
        <w:rFonts w:ascii="Arial" w:hAnsi="Arial" w:hint="default"/>
      </w:rPr>
    </w:lvl>
    <w:lvl w:ilvl="2" w:tplc="C8FE2D50" w:tentative="1">
      <w:start w:val="1"/>
      <w:numFmt w:val="bullet"/>
      <w:lvlText w:val="•"/>
      <w:lvlJc w:val="left"/>
      <w:pPr>
        <w:tabs>
          <w:tab w:val="num" w:pos="2160"/>
        </w:tabs>
        <w:ind w:left="2160" w:hanging="360"/>
      </w:pPr>
      <w:rPr>
        <w:rFonts w:ascii="Arial" w:hAnsi="Arial" w:hint="default"/>
      </w:rPr>
    </w:lvl>
    <w:lvl w:ilvl="3" w:tplc="CE8A4098" w:tentative="1">
      <w:start w:val="1"/>
      <w:numFmt w:val="bullet"/>
      <w:lvlText w:val="•"/>
      <w:lvlJc w:val="left"/>
      <w:pPr>
        <w:tabs>
          <w:tab w:val="num" w:pos="2880"/>
        </w:tabs>
        <w:ind w:left="2880" w:hanging="360"/>
      </w:pPr>
      <w:rPr>
        <w:rFonts w:ascii="Arial" w:hAnsi="Arial" w:hint="default"/>
      </w:rPr>
    </w:lvl>
    <w:lvl w:ilvl="4" w:tplc="5CB4FA90" w:tentative="1">
      <w:start w:val="1"/>
      <w:numFmt w:val="bullet"/>
      <w:lvlText w:val="•"/>
      <w:lvlJc w:val="left"/>
      <w:pPr>
        <w:tabs>
          <w:tab w:val="num" w:pos="3600"/>
        </w:tabs>
        <w:ind w:left="3600" w:hanging="360"/>
      </w:pPr>
      <w:rPr>
        <w:rFonts w:ascii="Arial" w:hAnsi="Arial" w:hint="default"/>
      </w:rPr>
    </w:lvl>
    <w:lvl w:ilvl="5" w:tplc="24A8A9D6" w:tentative="1">
      <w:start w:val="1"/>
      <w:numFmt w:val="bullet"/>
      <w:lvlText w:val="•"/>
      <w:lvlJc w:val="left"/>
      <w:pPr>
        <w:tabs>
          <w:tab w:val="num" w:pos="4320"/>
        </w:tabs>
        <w:ind w:left="4320" w:hanging="360"/>
      </w:pPr>
      <w:rPr>
        <w:rFonts w:ascii="Arial" w:hAnsi="Arial" w:hint="default"/>
      </w:rPr>
    </w:lvl>
    <w:lvl w:ilvl="6" w:tplc="0A0CBBFA" w:tentative="1">
      <w:start w:val="1"/>
      <w:numFmt w:val="bullet"/>
      <w:lvlText w:val="•"/>
      <w:lvlJc w:val="left"/>
      <w:pPr>
        <w:tabs>
          <w:tab w:val="num" w:pos="5040"/>
        </w:tabs>
        <w:ind w:left="5040" w:hanging="360"/>
      </w:pPr>
      <w:rPr>
        <w:rFonts w:ascii="Arial" w:hAnsi="Arial" w:hint="default"/>
      </w:rPr>
    </w:lvl>
    <w:lvl w:ilvl="7" w:tplc="EF205A9C" w:tentative="1">
      <w:start w:val="1"/>
      <w:numFmt w:val="bullet"/>
      <w:lvlText w:val="•"/>
      <w:lvlJc w:val="left"/>
      <w:pPr>
        <w:tabs>
          <w:tab w:val="num" w:pos="5760"/>
        </w:tabs>
        <w:ind w:left="5760" w:hanging="360"/>
      </w:pPr>
      <w:rPr>
        <w:rFonts w:ascii="Arial" w:hAnsi="Arial" w:hint="default"/>
      </w:rPr>
    </w:lvl>
    <w:lvl w:ilvl="8" w:tplc="78CA6B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4"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39"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42"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43"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20"/>
  </w:num>
  <w:num w:numId="3" w16cid:durableId="1639261342">
    <w:abstractNumId w:val="14"/>
  </w:num>
  <w:num w:numId="4" w16cid:durableId="291401872">
    <w:abstractNumId w:val="24"/>
  </w:num>
  <w:num w:numId="5" w16cid:durableId="1070349214">
    <w:abstractNumId w:val="16"/>
  </w:num>
  <w:num w:numId="6" w16cid:durableId="44716709">
    <w:abstractNumId w:val="8"/>
  </w:num>
  <w:num w:numId="7" w16cid:durableId="1231382630">
    <w:abstractNumId w:val="12"/>
  </w:num>
  <w:num w:numId="8" w16cid:durableId="39599302">
    <w:abstractNumId w:val="34"/>
  </w:num>
  <w:num w:numId="9" w16cid:durableId="709570851">
    <w:abstractNumId w:val="19"/>
  </w:num>
  <w:num w:numId="10" w16cid:durableId="630671391">
    <w:abstractNumId w:val="47"/>
  </w:num>
  <w:num w:numId="11" w16cid:durableId="486242923">
    <w:abstractNumId w:val="27"/>
  </w:num>
  <w:num w:numId="12" w16cid:durableId="1435058647">
    <w:abstractNumId w:val="1"/>
  </w:num>
  <w:num w:numId="13" w16cid:durableId="1718044189">
    <w:abstractNumId w:val="48"/>
  </w:num>
  <w:num w:numId="14" w16cid:durableId="1613706583">
    <w:abstractNumId w:val="30"/>
  </w:num>
  <w:num w:numId="15" w16cid:durableId="1236011025">
    <w:abstractNumId w:val="45"/>
  </w:num>
  <w:num w:numId="16" w16cid:durableId="1040471029">
    <w:abstractNumId w:val="23"/>
  </w:num>
  <w:num w:numId="17" w16cid:durableId="163018107">
    <w:abstractNumId w:val="10"/>
  </w:num>
  <w:num w:numId="18" w16cid:durableId="1745957762">
    <w:abstractNumId w:val="13"/>
  </w:num>
  <w:num w:numId="19" w16cid:durableId="911159018">
    <w:abstractNumId w:val="31"/>
  </w:num>
  <w:num w:numId="20" w16cid:durableId="651642014">
    <w:abstractNumId w:val="32"/>
  </w:num>
  <w:num w:numId="21" w16cid:durableId="185103154">
    <w:abstractNumId w:val="28"/>
  </w:num>
  <w:num w:numId="22" w16cid:durableId="1522429908">
    <w:abstractNumId w:val="25"/>
  </w:num>
  <w:num w:numId="23" w16cid:durableId="1347750791">
    <w:abstractNumId w:val="46"/>
  </w:num>
  <w:num w:numId="24" w16cid:durableId="2118213881">
    <w:abstractNumId w:val="4"/>
  </w:num>
  <w:num w:numId="25" w16cid:durableId="819618369">
    <w:abstractNumId w:val="37"/>
  </w:num>
  <w:num w:numId="26" w16cid:durableId="1166238632">
    <w:abstractNumId w:val="5"/>
  </w:num>
  <w:num w:numId="27" w16cid:durableId="10573991">
    <w:abstractNumId w:val="11"/>
  </w:num>
  <w:num w:numId="28" w16cid:durableId="1792936289">
    <w:abstractNumId w:val="26"/>
  </w:num>
  <w:num w:numId="29" w16cid:durableId="149488410">
    <w:abstractNumId w:val="39"/>
  </w:num>
  <w:num w:numId="30" w16cid:durableId="444008856">
    <w:abstractNumId w:val="9"/>
  </w:num>
  <w:num w:numId="31" w16cid:durableId="106899276">
    <w:abstractNumId w:val="52"/>
  </w:num>
  <w:num w:numId="32" w16cid:durableId="1323389865">
    <w:abstractNumId w:val="53"/>
  </w:num>
  <w:num w:numId="33" w16cid:durableId="950472614">
    <w:abstractNumId w:val="43"/>
  </w:num>
  <w:num w:numId="34" w16cid:durableId="275914941">
    <w:abstractNumId w:val="44"/>
  </w:num>
  <w:num w:numId="35" w16cid:durableId="537856697">
    <w:abstractNumId w:val="21"/>
  </w:num>
  <w:num w:numId="36" w16cid:durableId="31004190">
    <w:abstractNumId w:val="38"/>
  </w:num>
  <w:num w:numId="37" w16cid:durableId="1827814371">
    <w:abstractNumId w:val="35"/>
  </w:num>
  <w:num w:numId="38" w16cid:durableId="819157470">
    <w:abstractNumId w:val="42"/>
  </w:num>
  <w:num w:numId="39" w16cid:durableId="1661929362">
    <w:abstractNumId w:val="29"/>
  </w:num>
  <w:num w:numId="40" w16cid:durableId="736169423">
    <w:abstractNumId w:val="41"/>
  </w:num>
  <w:num w:numId="41" w16cid:durableId="2008365927">
    <w:abstractNumId w:val="18"/>
  </w:num>
  <w:num w:numId="42" w16cid:durableId="575751974">
    <w:abstractNumId w:val="15"/>
  </w:num>
  <w:num w:numId="43" w16cid:durableId="1104425420">
    <w:abstractNumId w:val="36"/>
  </w:num>
  <w:num w:numId="44" w16cid:durableId="387732070">
    <w:abstractNumId w:val="50"/>
  </w:num>
  <w:num w:numId="45" w16cid:durableId="2070031329">
    <w:abstractNumId w:val="49"/>
  </w:num>
  <w:num w:numId="46" w16cid:durableId="237131621">
    <w:abstractNumId w:val="40"/>
  </w:num>
  <w:num w:numId="47" w16cid:durableId="1760328974">
    <w:abstractNumId w:val="51"/>
  </w:num>
  <w:num w:numId="48" w16cid:durableId="1486816687">
    <w:abstractNumId w:val="22"/>
  </w:num>
  <w:num w:numId="49" w16cid:durableId="1547715294">
    <w:abstractNumId w:val="17"/>
  </w:num>
  <w:num w:numId="50" w16cid:durableId="262344492">
    <w:abstractNumId w:val="33"/>
  </w:num>
  <w:num w:numId="51" w16cid:durableId="1255673232">
    <w:abstractNumId w:val="0"/>
  </w:num>
  <w:num w:numId="52" w16cid:durableId="150954423">
    <w:abstractNumId w:val="6"/>
  </w:num>
  <w:num w:numId="53" w16cid:durableId="1454710663">
    <w:abstractNumId w:val="3"/>
  </w:num>
  <w:num w:numId="54" w16cid:durableId="62130509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6453"/>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464"/>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5"/>
    <w:rsid w:val="002A555A"/>
    <w:rsid w:val="002A56C4"/>
    <w:rsid w:val="002A5BFE"/>
    <w:rsid w:val="002A5CBC"/>
    <w:rsid w:val="002A6417"/>
    <w:rsid w:val="002A654D"/>
    <w:rsid w:val="002A69D2"/>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18E"/>
    <w:rsid w:val="002B5272"/>
    <w:rsid w:val="002B55F5"/>
    <w:rsid w:val="002B5743"/>
    <w:rsid w:val="002B6021"/>
    <w:rsid w:val="002B60E1"/>
    <w:rsid w:val="002B6355"/>
    <w:rsid w:val="002B6BDB"/>
    <w:rsid w:val="002B6C1D"/>
    <w:rsid w:val="002B6F5A"/>
    <w:rsid w:val="002B75F3"/>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90C"/>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A8C"/>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1D79"/>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16D"/>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5EF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45AA"/>
    <w:rsid w:val="007D496D"/>
    <w:rsid w:val="007D55A4"/>
    <w:rsid w:val="007D5750"/>
    <w:rsid w:val="007D59D3"/>
    <w:rsid w:val="007D612E"/>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689"/>
    <w:rsid w:val="009E69EA"/>
    <w:rsid w:val="009E6B85"/>
    <w:rsid w:val="009E6FC0"/>
    <w:rsid w:val="009F02A7"/>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43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332"/>
    <w:rsid w:val="00BA442B"/>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33B"/>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E53"/>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B65"/>
    <w:rsid w:val="00E43C67"/>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076"/>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60"/>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64"/>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1033</TotalTime>
  <Pages>36</Pages>
  <Words>9791</Words>
  <Characters>55811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65472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117</cp:revision>
  <cp:lastPrinted>2019-10-09T16:05:00Z</cp:lastPrinted>
  <dcterms:created xsi:type="dcterms:W3CDTF">2023-04-25T13:58:00Z</dcterms:created>
  <dcterms:modified xsi:type="dcterms:W3CDTF">2023-04-26T08:03:00Z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