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3F6691FE" w:rsidR="00CA09B2" w:rsidRDefault="003E1A4D" w:rsidP="00BD195C">
            <w:pPr>
              <w:pStyle w:val="T2"/>
            </w:pPr>
            <w:r>
              <w:t xml:space="preserve">Comment </w:t>
            </w:r>
            <w:r w:rsidR="008E726B">
              <w:t>resolution</w:t>
            </w:r>
            <w:r>
              <w:t xml:space="preserve"> for </w:t>
            </w:r>
            <w:r w:rsidR="002E103D">
              <w:t>OST miscellaneous comments</w:t>
            </w:r>
          </w:p>
        </w:tc>
      </w:tr>
      <w:tr w:rsidR="00CA09B2" w14:paraId="026C4F19" w14:textId="77777777" w:rsidTr="00A64488">
        <w:trPr>
          <w:trHeight w:val="359"/>
          <w:jc w:val="center"/>
        </w:trPr>
        <w:tc>
          <w:tcPr>
            <w:tcW w:w="9576" w:type="dxa"/>
            <w:gridSpan w:val="5"/>
            <w:vAlign w:val="center"/>
          </w:tcPr>
          <w:p w14:paraId="7671AFA5" w14:textId="642CB18B"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755B44">
              <w:rPr>
                <w:b w:val="0"/>
                <w:sz w:val="20"/>
              </w:rPr>
              <w:t>24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6F5C1D71" w14:textId="565DA45C" w:rsidR="00CE55C9" w:rsidRDefault="00CE55C9" w:rsidP="00B91F52">
                            <w:pPr>
                              <w:numPr>
                                <w:ilvl w:val="0"/>
                                <w:numId w:val="5"/>
                              </w:numPr>
                              <w:jc w:val="both"/>
                              <w:rPr>
                                <w:rFonts w:eastAsia="Malgun Gothic"/>
                              </w:rPr>
                            </w:pPr>
                            <w:r>
                              <w:rPr>
                                <w:rFonts w:eastAsia="Malgun Gothic"/>
                              </w:rPr>
                              <w:t>Rev 1: Modify the reason of reject for CID</w:t>
                            </w:r>
                            <w:r w:rsidR="00EA763F">
                              <w:rPr>
                                <w:rFonts w:eastAsia="Malgun Gothic"/>
                              </w:rPr>
                              <w:t xml:space="preserve"> 134</w:t>
                            </w:r>
                            <w:r w:rsidR="00F628B1">
                              <w:rPr>
                                <w:rFonts w:eastAsia="Malgun Gothic"/>
                              </w:rPr>
                              <w:t>1</w:t>
                            </w:r>
                            <w:r w:rsidR="00EA763F">
                              <w:rPr>
                                <w:rFonts w:eastAsia="Malgun Gothic"/>
                              </w:rPr>
                              <w:t xml:space="preserve"> and</w:t>
                            </w:r>
                            <w:r>
                              <w:rPr>
                                <w:rFonts w:eastAsia="Malgun Gothic"/>
                              </w:rPr>
                              <w:t xml:space="preserve"> 1501.</w:t>
                            </w:r>
                          </w:p>
                          <w:p w14:paraId="09046C34" w14:textId="35F3359E" w:rsidR="00E71B62" w:rsidRPr="00B91F52" w:rsidRDefault="00F11171" w:rsidP="00B91F52">
                            <w:pPr>
                              <w:numPr>
                                <w:ilvl w:val="0"/>
                                <w:numId w:val="5"/>
                              </w:numPr>
                              <w:jc w:val="both"/>
                              <w:rPr>
                                <w:rFonts w:eastAsia="Malgun Gothic"/>
                              </w:rPr>
                            </w:pPr>
                            <w:r>
                              <w:rPr>
                                <w:rFonts w:eastAsia="Malgun Gothic"/>
                              </w:rPr>
                              <w:t>Rev 2: Modify the added note on the fly.</w:t>
                            </w:r>
                            <w:bookmarkStart w:id="0" w:name="_GoBack"/>
                            <w:bookmarkEnd w:id="0"/>
                            <w:r w:rsidR="00E71B62">
                              <w:rPr>
                                <w:rFonts w:eastAsia="Malgun Gothic"/>
                              </w:rPr>
                              <w:t xml:space="preserve"> </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6F5C1D71" w14:textId="565DA45C" w:rsidR="00CE55C9" w:rsidRDefault="00CE55C9" w:rsidP="00B91F52">
                      <w:pPr>
                        <w:numPr>
                          <w:ilvl w:val="0"/>
                          <w:numId w:val="5"/>
                        </w:numPr>
                        <w:jc w:val="both"/>
                        <w:rPr>
                          <w:rFonts w:eastAsia="Malgun Gothic"/>
                        </w:rPr>
                      </w:pPr>
                      <w:r>
                        <w:rPr>
                          <w:rFonts w:eastAsia="Malgun Gothic"/>
                        </w:rPr>
                        <w:t>Rev 1: Modify the reason of reject for CID</w:t>
                      </w:r>
                      <w:r w:rsidR="00EA763F">
                        <w:rPr>
                          <w:rFonts w:eastAsia="Malgun Gothic"/>
                        </w:rPr>
                        <w:t xml:space="preserve"> 134</w:t>
                      </w:r>
                      <w:r w:rsidR="00F628B1">
                        <w:rPr>
                          <w:rFonts w:eastAsia="Malgun Gothic"/>
                        </w:rPr>
                        <w:t>1</w:t>
                      </w:r>
                      <w:r w:rsidR="00EA763F">
                        <w:rPr>
                          <w:rFonts w:eastAsia="Malgun Gothic"/>
                        </w:rPr>
                        <w:t xml:space="preserve"> and</w:t>
                      </w:r>
                      <w:r>
                        <w:rPr>
                          <w:rFonts w:eastAsia="Malgun Gothic"/>
                        </w:rPr>
                        <w:t xml:space="preserve"> 1501.</w:t>
                      </w:r>
                    </w:p>
                    <w:p w14:paraId="09046C34" w14:textId="35F3359E" w:rsidR="00E71B62" w:rsidRPr="00B91F52" w:rsidRDefault="00F11171" w:rsidP="00B91F52">
                      <w:pPr>
                        <w:numPr>
                          <w:ilvl w:val="0"/>
                          <w:numId w:val="5"/>
                        </w:numPr>
                        <w:jc w:val="both"/>
                        <w:rPr>
                          <w:rFonts w:eastAsia="Malgun Gothic"/>
                        </w:rPr>
                      </w:pPr>
                      <w:r>
                        <w:rPr>
                          <w:rFonts w:eastAsia="Malgun Gothic"/>
                        </w:rPr>
                        <w:t>Rev 2: Modify the added note on the fly.</w:t>
                      </w:r>
                      <w:bookmarkStart w:id="1" w:name="_GoBack"/>
                      <w:bookmarkEnd w:id="1"/>
                      <w:r w:rsidR="00E71B62">
                        <w:rPr>
                          <w:rFonts w:eastAsia="Malgun Gothic"/>
                        </w:rPr>
                        <w:t xml:space="preserve"> </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0CFBA06" w:rsidR="00DF6B97" w:rsidRPr="008B7736" w:rsidRDefault="00AF441C" w:rsidP="00DF6B97">
      <w:pPr>
        <w:pStyle w:val="1"/>
      </w:pPr>
      <w:r w:rsidRPr="00AF441C">
        <w:lastRenderedPageBreak/>
        <w:t>Responder Needed</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3554BC" w:rsidRPr="00315075" w14:paraId="0658EAB3" w14:textId="77777777" w:rsidTr="003554BC">
        <w:trPr>
          <w:trHeight w:val="995"/>
        </w:trPr>
        <w:tc>
          <w:tcPr>
            <w:tcW w:w="704" w:type="dxa"/>
          </w:tcPr>
          <w:p w14:paraId="51DD7330" w14:textId="77777777" w:rsidR="003554BC" w:rsidRDefault="003554BC" w:rsidP="007408E0">
            <w:pPr>
              <w:rPr>
                <w:rFonts w:ascii="Arial" w:hAnsi="Arial" w:cs="Arial"/>
                <w:sz w:val="20"/>
              </w:rPr>
            </w:pPr>
            <w:r>
              <w:rPr>
                <w:rFonts w:ascii="Arial" w:hAnsi="Arial" w:cs="Arial"/>
                <w:sz w:val="20"/>
              </w:rPr>
              <w:t>1082</w:t>
            </w:r>
          </w:p>
        </w:tc>
        <w:tc>
          <w:tcPr>
            <w:tcW w:w="1418" w:type="dxa"/>
          </w:tcPr>
          <w:p w14:paraId="3798CE4E"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C2F6651" w14:textId="77777777" w:rsidR="003554BC" w:rsidRDefault="003554BC" w:rsidP="007408E0">
            <w:pPr>
              <w:rPr>
                <w:rFonts w:ascii="Arial" w:hAnsi="Arial" w:cs="Arial"/>
                <w:sz w:val="20"/>
              </w:rPr>
            </w:pPr>
            <w:r>
              <w:rPr>
                <w:rFonts w:ascii="Arial" w:hAnsi="Arial" w:cs="Arial"/>
                <w:sz w:val="20"/>
              </w:rPr>
              <w:t>170.49</w:t>
            </w:r>
          </w:p>
        </w:tc>
        <w:tc>
          <w:tcPr>
            <w:tcW w:w="2048" w:type="dxa"/>
          </w:tcPr>
          <w:p w14:paraId="4175256A" w14:textId="77777777" w:rsidR="003554BC" w:rsidRDefault="003554BC" w:rsidP="007408E0">
            <w:pPr>
              <w:rPr>
                <w:rFonts w:ascii="Arial" w:hAnsi="Arial" w:cs="Arial"/>
                <w:sz w:val="20"/>
              </w:rPr>
            </w:pPr>
            <w:r>
              <w:rPr>
                <w:rFonts w:ascii="Arial" w:hAnsi="Arial" w:cs="Arial"/>
                <w:sz w:val="20"/>
              </w:rPr>
              <w:t>The normative text in this paragraph is for the case when the AP is looking for unassociated non-AP STAs to meet the requirements of a sensing application.</w:t>
            </w:r>
          </w:p>
        </w:tc>
        <w:tc>
          <w:tcPr>
            <w:tcW w:w="2127" w:type="dxa"/>
          </w:tcPr>
          <w:p w14:paraId="4629343D" w14:textId="77777777" w:rsidR="003554BC" w:rsidRDefault="003554BC" w:rsidP="007408E0">
            <w:pPr>
              <w:rPr>
                <w:rFonts w:ascii="Arial" w:hAnsi="Arial" w:cs="Arial"/>
                <w:sz w:val="20"/>
              </w:rPr>
            </w:pPr>
            <w:r>
              <w:rPr>
                <w:rFonts w:ascii="Arial" w:hAnsi="Arial" w:cs="Arial"/>
                <w:sz w:val="20"/>
              </w:rPr>
              <w:t>Add NOTE explaining expected behavior.</w:t>
            </w:r>
          </w:p>
        </w:tc>
        <w:tc>
          <w:tcPr>
            <w:tcW w:w="2125" w:type="dxa"/>
          </w:tcPr>
          <w:p w14:paraId="5AD1F707" w14:textId="77777777" w:rsidR="003A06C9" w:rsidRPr="00315075" w:rsidRDefault="003A06C9" w:rsidP="003A06C9">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3FEBB62" w14:textId="77777777" w:rsidR="003A06C9" w:rsidRPr="00315075" w:rsidRDefault="003A06C9" w:rsidP="003A06C9">
            <w:pPr>
              <w:rPr>
                <w:rFonts w:ascii="Arial" w:hAnsi="Arial" w:cs="Arial"/>
                <w:bCs/>
                <w:i/>
                <w:iCs/>
                <w:color w:val="000000" w:themeColor="text1"/>
                <w:sz w:val="20"/>
                <w:lang w:val="en-SG" w:eastAsia="en-SG"/>
              </w:rPr>
            </w:pPr>
          </w:p>
          <w:p w14:paraId="017624E2" w14:textId="737E69BA" w:rsidR="003A06C9" w:rsidRDefault="003A06C9" w:rsidP="003A06C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C71A8E0" w14:textId="77777777" w:rsidR="003A06C9" w:rsidRDefault="003A06C9" w:rsidP="003A06C9">
            <w:pPr>
              <w:rPr>
                <w:rFonts w:ascii="Arial" w:hAnsi="Arial" w:cs="Arial"/>
                <w:bCs/>
                <w:iCs/>
                <w:color w:val="000000" w:themeColor="text1"/>
                <w:sz w:val="20"/>
                <w:lang w:val="en-SG" w:eastAsia="en-SG"/>
              </w:rPr>
            </w:pPr>
          </w:p>
          <w:p w14:paraId="1F686AC0" w14:textId="4E800D51" w:rsidR="003A06C9" w:rsidRDefault="003A06C9" w:rsidP="003A06C9">
            <w:pPr>
              <w:rPr>
                <w:rFonts w:ascii="Arial" w:hAnsi="Arial" w:cs="Arial"/>
                <w:bCs/>
                <w:iCs/>
                <w:color w:val="000000" w:themeColor="text1"/>
                <w:sz w:val="20"/>
                <w:lang w:val="en-SG" w:eastAsia="en-SG"/>
              </w:rPr>
            </w:pPr>
            <w:r w:rsidRPr="00FD5FAB">
              <w:rPr>
                <w:bCs/>
                <w:i/>
                <w:szCs w:val="22"/>
              </w:rPr>
              <w:t xml:space="preserve">TGbf editor to make the changes shown in IEEE </w:t>
            </w:r>
            <w:r w:rsidR="0071606A">
              <w:rPr>
                <w:bCs/>
                <w:i/>
                <w:szCs w:val="22"/>
              </w:rPr>
              <w:t>802.11-23/</w:t>
            </w:r>
            <w:r w:rsidR="003B1C6F">
              <w:rPr>
                <w:bCs/>
                <w:i/>
                <w:szCs w:val="22"/>
              </w:rPr>
              <w:t>0476r1</w:t>
            </w:r>
            <w:r w:rsidR="0071606A">
              <w:rPr>
                <w:bCs/>
                <w:i/>
                <w:szCs w:val="22"/>
              </w:rPr>
              <w:t xml:space="preserve">  </w:t>
            </w:r>
            <w:r w:rsidRPr="00FD5FAB">
              <w:rPr>
                <w:bCs/>
                <w:i/>
                <w:szCs w:val="22"/>
              </w:rPr>
              <w:t xml:space="preserve">under all headings that include CID </w:t>
            </w:r>
            <w:r w:rsidR="00774872">
              <w:rPr>
                <w:bCs/>
                <w:i/>
                <w:szCs w:val="22"/>
              </w:rPr>
              <w:t>10</w:t>
            </w:r>
            <w:r w:rsidR="00A20195">
              <w:rPr>
                <w:bCs/>
                <w:i/>
                <w:szCs w:val="22"/>
              </w:rPr>
              <w:t>82</w:t>
            </w:r>
            <w:r>
              <w:rPr>
                <w:bCs/>
                <w:i/>
                <w:szCs w:val="22"/>
              </w:rPr>
              <w:t>.</w:t>
            </w:r>
          </w:p>
          <w:p w14:paraId="35C5F51B" w14:textId="77777777" w:rsidR="003554BC" w:rsidRPr="00315075" w:rsidRDefault="003554BC" w:rsidP="007408E0">
            <w:pPr>
              <w:rPr>
                <w:rFonts w:ascii="Arial" w:hAnsi="Arial" w:cs="Arial"/>
                <w:b/>
                <w:bCs/>
                <w:i/>
                <w:iCs/>
                <w:color w:val="000000" w:themeColor="text1"/>
                <w:sz w:val="20"/>
                <w:lang w:val="en-SG" w:eastAsia="en-SG"/>
              </w:rPr>
            </w:pPr>
          </w:p>
        </w:tc>
      </w:tr>
      <w:tr w:rsidR="003554BC" w:rsidRPr="0071606A" w14:paraId="7AFD36C2" w14:textId="77777777" w:rsidTr="003554BC">
        <w:trPr>
          <w:trHeight w:val="995"/>
        </w:trPr>
        <w:tc>
          <w:tcPr>
            <w:tcW w:w="704" w:type="dxa"/>
          </w:tcPr>
          <w:p w14:paraId="1C3078FF" w14:textId="77777777" w:rsidR="003554BC" w:rsidRDefault="003554BC" w:rsidP="007408E0">
            <w:pPr>
              <w:rPr>
                <w:rFonts w:ascii="Arial" w:hAnsi="Arial" w:cs="Arial"/>
                <w:sz w:val="20"/>
              </w:rPr>
            </w:pPr>
            <w:r>
              <w:rPr>
                <w:rFonts w:ascii="Arial" w:hAnsi="Arial" w:cs="Arial"/>
                <w:sz w:val="20"/>
              </w:rPr>
              <w:t>1083</w:t>
            </w:r>
          </w:p>
        </w:tc>
        <w:tc>
          <w:tcPr>
            <w:tcW w:w="1418" w:type="dxa"/>
          </w:tcPr>
          <w:p w14:paraId="0A9E894F"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F0657CA" w14:textId="77777777" w:rsidR="003554BC" w:rsidRDefault="003554BC" w:rsidP="007408E0">
            <w:pPr>
              <w:rPr>
                <w:rFonts w:ascii="Arial" w:hAnsi="Arial" w:cs="Arial"/>
                <w:sz w:val="20"/>
              </w:rPr>
            </w:pPr>
            <w:r>
              <w:rPr>
                <w:rFonts w:ascii="Arial" w:hAnsi="Arial" w:cs="Arial"/>
                <w:sz w:val="20"/>
              </w:rPr>
              <w:t>170.49</w:t>
            </w:r>
          </w:p>
        </w:tc>
        <w:tc>
          <w:tcPr>
            <w:tcW w:w="2048" w:type="dxa"/>
          </w:tcPr>
          <w:p w14:paraId="3162D426" w14:textId="77777777" w:rsidR="003554BC" w:rsidRDefault="003554BC" w:rsidP="007408E0">
            <w:pPr>
              <w:rPr>
                <w:rFonts w:ascii="Arial" w:hAnsi="Arial" w:cs="Arial"/>
                <w:sz w:val="20"/>
              </w:rPr>
            </w:pPr>
            <w:r>
              <w:rPr>
                <w:rFonts w:ascii="Arial" w:hAnsi="Arial" w:cs="Arial"/>
                <w:sz w:val="20"/>
              </w:rPr>
              <w:t>No normative behavior is defined for non-AP STAs on the use of the Responders Needed subfield.</w:t>
            </w:r>
          </w:p>
        </w:tc>
        <w:tc>
          <w:tcPr>
            <w:tcW w:w="2127" w:type="dxa"/>
          </w:tcPr>
          <w:p w14:paraId="377181B5" w14:textId="77777777" w:rsidR="003554BC" w:rsidRDefault="003554BC" w:rsidP="007408E0">
            <w:pPr>
              <w:rPr>
                <w:rFonts w:ascii="Arial" w:hAnsi="Arial" w:cs="Arial"/>
                <w:sz w:val="20"/>
              </w:rPr>
            </w:pPr>
            <w:r>
              <w:rPr>
                <w:rFonts w:ascii="Arial" w:hAnsi="Arial" w:cs="Arial"/>
                <w:sz w:val="20"/>
              </w:rPr>
              <w:t>Define normative behavior (how subfield is set in frames other than Probe Response).</w:t>
            </w:r>
          </w:p>
        </w:tc>
        <w:tc>
          <w:tcPr>
            <w:tcW w:w="2125" w:type="dxa"/>
          </w:tcPr>
          <w:p w14:paraId="4BBFFC96" w14:textId="77777777" w:rsidR="00016637" w:rsidRPr="00315075" w:rsidRDefault="00016637" w:rsidP="00016637">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1F49E85A" w14:textId="77777777" w:rsidR="00016637" w:rsidRPr="00315075" w:rsidRDefault="00016637" w:rsidP="00016637">
            <w:pPr>
              <w:rPr>
                <w:rFonts w:ascii="Arial" w:hAnsi="Arial" w:cs="Arial"/>
                <w:bCs/>
                <w:i/>
                <w:iCs/>
                <w:color w:val="000000" w:themeColor="text1"/>
                <w:sz w:val="20"/>
                <w:lang w:val="en-SG" w:eastAsia="en-SG"/>
              </w:rPr>
            </w:pPr>
          </w:p>
          <w:p w14:paraId="716380B6" w14:textId="77777777" w:rsidR="00016637" w:rsidRDefault="00016637" w:rsidP="00016637">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114DB2EB" w14:textId="77777777" w:rsidR="00016637" w:rsidRDefault="00016637" w:rsidP="00016637">
            <w:pPr>
              <w:rPr>
                <w:rFonts w:ascii="Arial" w:hAnsi="Arial" w:cs="Arial"/>
                <w:bCs/>
                <w:iCs/>
                <w:color w:val="000000" w:themeColor="text1"/>
                <w:sz w:val="20"/>
                <w:lang w:val="en-SG" w:eastAsia="en-SG"/>
              </w:rPr>
            </w:pPr>
          </w:p>
          <w:p w14:paraId="1889D6AC" w14:textId="0812649A" w:rsidR="003554BC" w:rsidRPr="00315075" w:rsidRDefault="00016637" w:rsidP="00016637">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802.11-23/</w:t>
            </w:r>
            <w:r w:rsidR="003B1C6F">
              <w:rPr>
                <w:bCs/>
                <w:i/>
                <w:szCs w:val="22"/>
              </w:rPr>
              <w:t>0476r1</w:t>
            </w:r>
            <w:r w:rsidR="0071606A">
              <w:rPr>
                <w:bCs/>
                <w:i/>
                <w:szCs w:val="22"/>
              </w:rPr>
              <w:t xml:space="preserve">  </w:t>
            </w:r>
            <w:r w:rsidRPr="00FD5FAB">
              <w:rPr>
                <w:bCs/>
                <w:i/>
                <w:szCs w:val="22"/>
              </w:rPr>
              <w:t xml:space="preserve">under all headings that include CID </w:t>
            </w:r>
            <w:r>
              <w:rPr>
                <w:bCs/>
                <w:i/>
                <w:szCs w:val="22"/>
              </w:rPr>
              <w:t>108</w:t>
            </w:r>
            <w:r w:rsidR="00E0039F">
              <w:rPr>
                <w:bCs/>
                <w:i/>
                <w:szCs w:val="22"/>
              </w:rPr>
              <w:t>3</w:t>
            </w:r>
          </w:p>
        </w:tc>
      </w:tr>
      <w:tr w:rsidR="003554BC" w:rsidRPr="00315075" w14:paraId="067380E1" w14:textId="77777777" w:rsidTr="003554BC">
        <w:trPr>
          <w:trHeight w:val="995"/>
        </w:trPr>
        <w:tc>
          <w:tcPr>
            <w:tcW w:w="704" w:type="dxa"/>
          </w:tcPr>
          <w:p w14:paraId="5F2AAC1B" w14:textId="77777777" w:rsidR="003554BC" w:rsidRDefault="003554BC" w:rsidP="007408E0">
            <w:pPr>
              <w:rPr>
                <w:rFonts w:ascii="Arial" w:hAnsi="Arial" w:cs="Arial"/>
                <w:sz w:val="20"/>
              </w:rPr>
            </w:pPr>
            <w:r>
              <w:rPr>
                <w:rFonts w:ascii="Arial" w:hAnsi="Arial" w:cs="Arial"/>
                <w:sz w:val="20"/>
              </w:rPr>
              <w:t>1526</w:t>
            </w:r>
          </w:p>
        </w:tc>
        <w:tc>
          <w:tcPr>
            <w:tcW w:w="1418" w:type="dxa"/>
          </w:tcPr>
          <w:p w14:paraId="03197CED"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DA3FE8" w14:textId="77777777" w:rsidR="003554BC" w:rsidRDefault="003554BC" w:rsidP="007408E0">
            <w:pPr>
              <w:rPr>
                <w:rFonts w:ascii="Arial" w:hAnsi="Arial" w:cs="Arial"/>
                <w:sz w:val="20"/>
              </w:rPr>
            </w:pPr>
            <w:r>
              <w:rPr>
                <w:rFonts w:ascii="Arial" w:hAnsi="Arial" w:cs="Arial"/>
                <w:sz w:val="20"/>
              </w:rPr>
              <w:t>170.49</w:t>
            </w:r>
          </w:p>
        </w:tc>
        <w:tc>
          <w:tcPr>
            <w:tcW w:w="2048" w:type="dxa"/>
          </w:tcPr>
          <w:p w14:paraId="66D25669" w14:textId="77777777" w:rsidR="003554BC" w:rsidRDefault="003554BC" w:rsidP="007408E0">
            <w:pPr>
              <w:rPr>
                <w:rFonts w:ascii="Arial" w:hAnsi="Arial" w:cs="Arial"/>
                <w:sz w:val="20"/>
              </w:rPr>
            </w:pPr>
            <w:r>
              <w:rPr>
                <w:rFonts w:ascii="Arial" w:hAnsi="Arial" w:cs="Arial"/>
                <w:sz w:val="20"/>
              </w:rPr>
              <w:t>Why the behavior of setting the Responders Needed subfield is specified for Probe Response frame only.</w:t>
            </w:r>
          </w:p>
        </w:tc>
        <w:tc>
          <w:tcPr>
            <w:tcW w:w="2127" w:type="dxa"/>
          </w:tcPr>
          <w:p w14:paraId="2E49F4A5" w14:textId="77777777" w:rsidR="003554BC" w:rsidRDefault="003554BC" w:rsidP="007408E0">
            <w:pPr>
              <w:rPr>
                <w:rFonts w:ascii="Arial" w:hAnsi="Arial" w:cs="Arial"/>
                <w:sz w:val="20"/>
              </w:rPr>
            </w:pPr>
            <w:r>
              <w:rPr>
                <w:rFonts w:ascii="Arial" w:hAnsi="Arial" w:cs="Arial"/>
                <w:sz w:val="20"/>
              </w:rPr>
              <w:t>Remove "within a Probe Response frame"</w:t>
            </w:r>
          </w:p>
        </w:tc>
        <w:tc>
          <w:tcPr>
            <w:tcW w:w="2125" w:type="dxa"/>
          </w:tcPr>
          <w:p w14:paraId="520FEA5D" w14:textId="77777777" w:rsidR="00366E43" w:rsidRPr="00315075" w:rsidRDefault="00366E43" w:rsidP="00366E43">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79EDA9C" w14:textId="77777777" w:rsidR="00366E43" w:rsidRPr="00315075" w:rsidRDefault="00366E43" w:rsidP="00366E43">
            <w:pPr>
              <w:rPr>
                <w:rFonts w:ascii="Arial" w:hAnsi="Arial" w:cs="Arial"/>
                <w:bCs/>
                <w:i/>
                <w:iCs/>
                <w:color w:val="000000" w:themeColor="text1"/>
                <w:sz w:val="20"/>
                <w:lang w:val="en-SG" w:eastAsia="en-SG"/>
              </w:rPr>
            </w:pPr>
          </w:p>
          <w:p w14:paraId="343570EF" w14:textId="7D430558" w:rsidR="00366E43" w:rsidRDefault="00366E43" w:rsidP="00366E43">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013A47A3" w14:textId="77777777" w:rsidR="00366E43" w:rsidRDefault="00366E43" w:rsidP="00366E43">
            <w:pPr>
              <w:rPr>
                <w:rFonts w:ascii="Arial" w:hAnsi="Arial" w:cs="Arial"/>
                <w:bCs/>
                <w:iCs/>
                <w:color w:val="000000" w:themeColor="text1"/>
                <w:sz w:val="20"/>
                <w:lang w:val="en-SG" w:eastAsia="en-SG"/>
              </w:rPr>
            </w:pPr>
          </w:p>
          <w:p w14:paraId="663B27D2" w14:textId="4E0A42F9" w:rsidR="003554BC" w:rsidRPr="00315075" w:rsidRDefault="00366E43" w:rsidP="00366E43">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802.11-23/</w:t>
            </w:r>
            <w:r w:rsidR="003B1C6F">
              <w:rPr>
                <w:bCs/>
                <w:i/>
                <w:szCs w:val="22"/>
              </w:rPr>
              <w:t>0476r1</w:t>
            </w:r>
            <w:r w:rsidR="0071606A">
              <w:rPr>
                <w:bCs/>
                <w:i/>
                <w:szCs w:val="22"/>
              </w:rPr>
              <w:t xml:space="preserve">  </w:t>
            </w:r>
            <w:r w:rsidRPr="00FD5FAB">
              <w:rPr>
                <w:bCs/>
                <w:i/>
                <w:szCs w:val="22"/>
              </w:rPr>
              <w:t xml:space="preserve">under all headings that include CID </w:t>
            </w:r>
            <w:r w:rsidR="00181C53">
              <w:rPr>
                <w:bCs/>
                <w:i/>
                <w:szCs w:val="22"/>
              </w:rPr>
              <w:t>1526</w:t>
            </w:r>
          </w:p>
        </w:tc>
      </w:tr>
      <w:tr w:rsidR="003554BC" w:rsidRPr="00315075" w14:paraId="0B0BBE70" w14:textId="77777777" w:rsidTr="003554BC">
        <w:trPr>
          <w:trHeight w:val="995"/>
        </w:trPr>
        <w:tc>
          <w:tcPr>
            <w:tcW w:w="704" w:type="dxa"/>
          </w:tcPr>
          <w:p w14:paraId="1823E632" w14:textId="77777777" w:rsidR="003554BC" w:rsidRDefault="003554BC" w:rsidP="007408E0">
            <w:pPr>
              <w:rPr>
                <w:rFonts w:ascii="Arial" w:hAnsi="Arial" w:cs="Arial"/>
                <w:sz w:val="20"/>
              </w:rPr>
            </w:pPr>
            <w:r>
              <w:rPr>
                <w:rFonts w:ascii="Arial" w:hAnsi="Arial" w:cs="Arial"/>
                <w:sz w:val="20"/>
              </w:rPr>
              <w:t>1555</w:t>
            </w:r>
          </w:p>
        </w:tc>
        <w:tc>
          <w:tcPr>
            <w:tcW w:w="1418" w:type="dxa"/>
          </w:tcPr>
          <w:p w14:paraId="3442D751"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4B1F63" w14:textId="77777777" w:rsidR="003554BC" w:rsidRDefault="003554BC" w:rsidP="007408E0">
            <w:pPr>
              <w:rPr>
                <w:rFonts w:ascii="Arial" w:hAnsi="Arial" w:cs="Arial"/>
                <w:sz w:val="20"/>
              </w:rPr>
            </w:pPr>
            <w:r>
              <w:rPr>
                <w:rFonts w:ascii="Arial" w:hAnsi="Arial" w:cs="Arial"/>
                <w:sz w:val="20"/>
              </w:rPr>
              <w:t>170.49</w:t>
            </w:r>
          </w:p>
        </w:tc>
        <w:tc>
          <w:tcPr>
            <w:tcW w:w="2048" w:type="dxa"/>
          </w:tcPr>
          <w:p w14:paraId="73FFCE16" w14:textId="77777777" w:rsidR="003554BC" w:rsidRDefault="003554BC" w:rsidP="007408E0">
            <w:pPr>
              <w:rPr>
                <w:rFonts w:ascii="Arial" w:hAnsi="Arial" w:cs="Arial"/>
                <w:sz w:val="20"/>
              </w:rPr>
            </w:pPr>
            <w:r>
              <w:rPr>
                <w:rFonts w:ascii="Arial" w:hAnsi="Arial" w:cs="Arial"/>
                <w:sz w:val="20"/>
              </w:rPr>
              <w:t xml:space="preserve">The subfield name is Responders Needed not Responder Needed, however, it makes sense to use the singular form since the Probe Response frame is a unicast frame and is eventually addressed to only one STA. This may </w:t>
            </w:r>
            <w:r>
              <w:rPr>
                <w:rFonts w:ascii="Arial" w:hAnsi="Arial" w:cs="Arial"/>
                <w:sz w:val="20"/>
              </w:rPr>
              <w:lastRenderedPageBreak/>
              <w:t>complicate things since the Sensing element may be sent also in broadcast frames such as the Beacon frame!</w:t>
            </w:r>
          </w:p>
        </w:tc>
        <w:tc>
          <w:tcPr>
            <w:tcW w:w="2127" w:type="dxa"/>
          </w:tcPr>
          <w:p w14:paraId="379219E1" w14:textId="77777777" w:rsidR="003554BC" w:rsidRDefault="003554BC" w:rsidP="007408E0">
            <w:pPr>
              <w:rPr>
                <w:rFonts w:ascii="Arial" w:hAnsi="Arial" w:cs="Arial"/>
                <w:sz w:val="20"/>
              </w:rPr>
            </w:pPr>
            <w:r>
              <w:rPr>
                <w:rFonts w:ascii="Arial" w:hAnsi="Arial" w:cs="Arial"/>
                <w:sz w:val="20"/>
              </w:rPr>
              <w:lastRenderedPageBreak/>
              <w:t>Unify the naming of the Responders Needed subfield in the document.</w:t>
            </w:r>
          </w:p>
        </w:tc>
        <w:tc>
          <w:tcPr>
            <w:tcW w:w="2125" w:type="dxa"/>
          </w:tcPr>
          <w:p w14:paraId="46F3A89F" w14:textId="77777777" w:rsidR="0039729B" w:rsidRPr="00315075" w:rsidRDefault="0039729B" w:rsidP="0039729B">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0C98B05C" w14:textId="77777777" w:rsidR="0039729B" w:rsidRPr="00315075" w:rsidRDefault="0039729B" w:rsidP="0039729B">
            <w:pPr>
              <w:rPr>
                <w:rFonts w:ascii="Arial" w:hAnsi="Arial" w:cs="Arial"/>
                <w:bCs/>
                <w:i/>
                <w:iCs/>
                <w:color w:val="000000" w:themeColor="text1"/>
                <w:sz w:val="20"/>
                <w:lang w:val="en-SG" w:eastAsia="en-SG"/>
              </w:rPr>
            </w:pPr>
          </w:p>
          <w:p w14:paraId="58B26FAB" w14:textId="0EB6C3FA" w:rsidR="0039729B" w:rsidRDefault="00B67F2E" w:rsidP="0039729B">
            <w:pPr>
              <w:rPr>
                <w:rFonts w:ascii="Arial" w:hAnsi="Arial" w:cs="Arial"/>
                <w:bCs/>
                <w:iCs/>
                <w:color w:val="000000" w:themeColor="text1"/>
                <w:sz w:val="20"/>
                <w:lang w:val="en-SG" w:eastAsia="en-SG"/>
              </w:rPr>
            </w:pPr>
            <w:r>
              <w:rPr>
                <w:rFonts w:ascii="Arial" w:hAnsi="Arial" w:cs="Arial"/>
                <w:sz w:val="20"/>
                <w:lang w:val="en-SG"/>
              </w:rPr>
              <w:t>The group agrees to use ‘Responder Needed’ since it’s in a unicast Probe Response</w:t>
            </w:r>
            <w:r w:rsidR="0039729B">
              <w:rPr>
                <w:rFonts w:ascii="Arial" w:hAnsi="Arial" w:cs="Arial"/>
                <w:bCs/>
                <w:iCs/>
                <w:color w:val="000000" w:themeColor="text1"/>
                <w:sz w:val="20"/>
                <w:lang w:val="en-SG" w:eastAsia="en-SG"/>
              </w:rPr>
              <w:t>.</w:t>
            </w:r>
          </w:p>
          <w:p w14:paraId="5072E071" w14:textId="77777777" w:rsidR="0039729B" w:rsidRDefault="0039729B" w:rsidP="0039729B">
            <w:pPr>
              <w:rPr>
                <w:rFonts w:ascii="Arial" w:hAnsi="Arial" w:cs="Arial"/>
                <w:bCs/>
                <w:iCs/>
                <w:color w:val="000000" w:themeColor="text1"/>
                <w:sz w:val="20"/>
                <w:lang w:val="en-SG" w:eastAsia="en-SG"/>
              </w:rPr>
            </w:pPr>
          </w:p>
          <w:p w14:paraId="7AF7AF44" w14:textId="06BF78FD" w:rsidR="003554BC" w:rsidRPr="00315075" w:rsidRDefault="0039729B" w:rsidP="0039729B">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802.11-23/</w:t>
            </w:r>
            <w:r w:rsidR="003B1C6F">
              <w:rPr>
                <w:bCs/>
                <w:i/>
                <w:szCs w:val="22"/>
              </w:rPr>
              <w:t>0476r1</w:t>
            </w:r>
            <w:r w:rsidR="0071606A">
              <w:rPr>
                <w:bCs/>
                <w:i/>
                <w:szCs w:val="22"/>
              </w:rPr>
              <w:t xml:space="preserve">  </w:t>
            </w:r>
            <w:r w:rsidRPr="00FD5FAB">
              <w:rPr>
                <w:bCs/>
                <w:i/>
                <w:szCs w:val="22"/>
              </w:rPr>
              <w:t xml:space="preserve">under all </w:t>
            </w:r>
            <w:r w:rsidRPr="00FD5FAB">
              <w:rPr>
                <w:bCs/>
                <w:i/>
                <w:szCs w:val="22"/>
              </w:rPr>
              <w:lastRenderedPageBreak/>
              <w:t xml:space="preserve">headings that include CID </w:t>
            </w:r>
            <w:r w:rsidR="009819B8">
              <w:rPr>
                <w:bCs/>
                <w:i/>
                <w:szCs w:val="22"/>
              </w:rPr>
              <w:t>1555</w:t>
            </w:r>
          </w:p>
        </w:tc>
      </w:tr>
      <w:tr w:rsidR="003554BC" w:rsidRPr="00315075" w14:paraId="14CBD0DD" w14:textId="77777777" w:rsidTr="003554BC">
        <w:trPr>
          <w:trHeight w:val="995"/>
        </w:trPr>
        <w:tc>
          <w:tcPr>
            <w:tcW w:w="704" w:type="dxa"/>
          </w:tcPr>
          <w:p w14:paraId="5C95968B" w14:textId="77777777" w:rsidR="003554BC" w:rsidRDefault="003554BC" w:rsidP="007408E0">
            <w:pPr>
              <w:rPr>
                <w:rFonts w:ascii="Arial" w:hAnsi="Arial" w:cs="Arial"/>
                <w:sz w:val="20"/>
              </w:rPr>
            </w:pPr>
            <w:r>
              <w:rPr>
                <w:rFonts w:ascii="Arial" w:hAnsi="Arial" w:cs="Arial"/>
                <w:sz w:val="20"/>
              </w:rPr>
              <w:lastRenderedPageBreak/>
              <w:t>1556</w:t>
            </w:r>
          </w:p>
        </w:tc>
        <w:tc>
          <w:tcPr>
            <w:tcW w:w="1418" w:type="dxa"/>
          </w:tcPr>
          <w:p w14:paraId="71BD33C0"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277441D" w14:textId="77777777" w:rsidR="003554BC" w:rsidRDefault="003554BC" w:rsidP="007408E0">
            <w:pPr>
              <w:rPr>
                <w:rFonts w:ascii="Arial" w:hAnsi="Arial" w:cs="Arial"/>
                <w:sz w:val="20"/>
              </w:rPr>
            </w:pPr>
            <w:r>
              <w:rPr>
                <w:rFonts w:ascii="Arial" w:hAnsi="Arial" w:cs="Arial"/>
                <w:sz w:val="20"/>
              </w:rPr>
              <w:t>170.49</w:t>
            </w:r>
          </w:p>
        </w:tc>
        <w:tc>
          <w:tcPr>
            <w:tcW w:w="2048" w:type="dxa"/>
          </w:tcPr>
          <w:p w14:paraId="347CCDA6" w14:textId="77777777" w:rsidR="003554BC" w:rsidRDefault="003554BC" w:rsidP="007408E0">
            <w:pPr>
              <w:rPr>
                <w:rFonts w:ascii="Arial" w:hAnsi="Arial" w:cs="Arial"/>
                <w:sz w:val="20"/>
              </w:rPr>
            </w:pPr>
            <w:r>
              <w:rPr>
                <w:rFonts w:ascii="Arial" w:hAnsi="Arial" w:cs="Arial"/>
                <w:sz w:val="20"/>
              </w:rPr>
              <w:t>The Sensing element may be sent in the Beacon frame, Probe Request/Response frame and (Re)Association Request/Response frames. Why it is specified only for the Probe Response frame?</w:t>
            </w:r>
          </w:p>
        </w:tc>
        <w:tc>
          <w:tcPr>
            <w:tcW w:w="2127" w:type="dxa"/>
          </w:tcPr>
          <w:p w14:paraId="32EA2D3A" w14:textId="77777777" w:rsidR="003554BC" w:rsidRDefault="003554BC" w:rsidP="007408E0">
            <w:pPr>
              <w:rPr>
                <w:rFonts w:ascii="Arial" w:hAnsi="Arial" w:cs="Arial"/>
                <w:sz w:val="20"/>
              </w:rPr>
            </w:pPr>
            <w:r>
              <w:rPr>
                <w:rFonts w:ascii="Arial" w:hAnsi="Arial" w:cs="Arial"/>
                <w:sz w:val="20"/>
              </w:rPr>
              <w:t>Either state all the frames where an AP may set the Responders Needed subfield, or do not specify any and keep it open.</w:t>
            </w:r>
          </w:p>
        </w:tc>
        <w:tc>
          <w:tcPr>
            <w:tcW w:w="2125" w:type="dxa"/>
          </w:tcPr>
          <w:p w14:paraId="32B045A5" w14:textId="77777777" w:rsidR="00CD6A68" w:rsidRPr="00315075" w:rsidRDefault="00CD6A68" w:rsidP="00CD6A68">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7308C667" w14:textId="77777777" w:rsidR="00CD6A68" w:rsidRDefault="00CD6A68" w:rsidP="00D96371">
            <w:pPr>
              <w:rPr>
                <w:rFonts w:ascii="Arial" w:hAnsi="Arial" w:cs="Arial"/>
                <w:sz w:val="20"/>
                <w:lang w:val="en-SG"/>
              </w:rPr>
            </w:pPr>
          </w:p>
          <w:p w14:paraId="783396EA" w14:textId="7F080DDD" w:rsidR="00D96371" w:rsidRDefault="00D96371" w:rsidP="00D96371">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6E3176DB" w14:textId="77777777" w:rsidR="00D96371" w:rsidRDefault="00D96371" w:rsidP="00D96371">
            <w:pPr>
              <w:rPr>
                <w:rFonts w:ascii="Arial" w:hAnsi="Arial" w:cs="Arial"/>
                <w:bCs/>
                <w:iCs/>
                <w:color w:val="000000" w:themeColor="text1"/>
                <w:sz w:val="20"/>
                <w:lang w:val="en-SG" w:eastAsia="en-SG"/>
              </w:rPr>
            </w:pPr>
          </w:p>
          <w:p w14:paraId="5CD5E555" w14:textId="3254CAA2" w:rsidR="003554BC" w:rsidRPr="00315075" w:rsidRDefault="00D96371" w:rsidP="00D96371">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802.11-23/</w:t>
            </w:r>
            <w:r w:rsidR="003B1C6F">
              <w:rPr>
                <w:bCs/>
                <w:i/>
                <w:szCs w:val="22"/>
              </w:rPr>
              <w:t>0476r1</w:t>
            </w:r>
            <w:r w:rsidR="0071606A">
              <w:rPr>
                <w:bCs/>
                <w:i/>
                <w:szCs w:val="22"/>
              </w:rPr>
              <w:t xml:space="preserve">  </w:t>
            </w:r>
            <w:r w:rsidRPr="00FD5FAB">
              <w:rPr>
                <w:bCs/>
                <w:i/>
                <w:szCs w:val="22"/>
              </w:rPr>
              <w:t xml:space="preserve">under all headings that include CID </w:t>
            </w:r>
            <w:r>
              <w:rPr>
                <w:bCs/>
                <w:i/>
                <w:szCs w:val="22"/>
              </w:rPr>
              <w:t>15</w:t>
            </w:r>
            <w:r w:rsidR="004764B5">
              <w:rPr>
                <w:bCs/>
                <w:i/>
                <w:szCs w:val="22"/>
              </w:rPr>
              <w:t>5</w:t>
            </w:r>
            <w:r>
              <w:rPr>
                <w:bCs/>
                <w:i/>
                <w:szCs w:val="22"/>
              </w:rPr>
              <w:t>6</w:t>
            </w:r>
          </w:p>
        </w:tc>
      </w:tr>
    </w:tbl>
    <w:p w14:paraId="6DEC2A6D" w14:textId="77777777" w:rsidR="00B52B2F" w:rsidRPr="003554BC" w:rsidRDefault="00B52B2F">
      <w:pPr>
        <w:rPr>
          <w:lang w:val="en-SG"/>
        </w:rPr>
      </w:pPr>
    </w:p>
    <w:p w14:paraId="03F0176A" w14:textId="77777777" w:rsidR="001D5887" w:rsidRDefault="001D5887"/>
    <w:p w14:paraId="10BDF4A4" w14:textId="625F0008" w:rsidR="00DF6B97" w:rsidRDefault="00DF6B97"/>
    <w:p w14:paraId="0C39043A" w14:textId="77777777" w:rsidR="00DF6B97" w:rsidRPr="008B7736" w:rsidRDefault="00DF6B97" w:rsidP="00DF6B97">
      <w:pPr>
        <w:pStyle w:val="1"/>
      </w:pPr>
      <w:r w:rsidRPr="00B61592">
        <w:t>Resolution</w:t>
      </w:r>
    </w:p>
    <w:p w14:paraId="0263CD03" w14:textId="6A1740A0" w:rsidR="00DF6B97" w:rsidRDefault="00DF6B97" w:rsidP="00DF6B97">
      <w:pPr>
        <w:rPr>
          <w:rFonts w:eastAsia="Malgun Gothic"/>
          <w:b/>
          <w:bCs/>
          <w:iCs/>
          <w:lang w:eastAsia="ko-KR"/>
        </w:rPr>
      </w:pPr>
    </w:p>
    <w:p w14:paraId="19172C52" w14:textId="4365A516" w:rsidR="00005A47" w:rsidRDefault="002947BA" w:rsidP="00DF6B97">
      <w:pPr>
        <w:rPr>
          <w:rFonts w:eastAsia="Malgun Gothic"/>
          <w:b/>
          <w:bCs/>
          <w:iCs/>
          <w:lang w:eastAsia="ko-KR"/>
        </w:rPr>
      </w:pPr>
      <w:r w:rsidRPr="002947BA">
        <w:rPr>
          <w:rFonts w:eastAsia="Malgun Gothic"/>
          <w:b/>
          <w:bCs/>
          <w:iCs/>
          <w:lang w:eastAsia="ko-KR"/>
        </w:rPr>
        <w:t>9.4.2.320 Sensing element</w:t>
      </w:r>
    </w:p>
    <w:p w14:paraId="666F97D1" w14:textId="5D9D1FF3" w:rsidR="003A468C" w:rsidRDefault="003A468C" w:rsidP="003A468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D50C86">
        <w:rPr>
          <w:i/>
          <w:highlight w:val="yellow"/>
        </w:rPr>
        <w:t>13</w:t>
      </w:r>
      <w:r>
        <w:rPr>
          <w:i/>
          <w:highlight w:val="yellow"/>
        </w:rPr>
        <w:t>L</w:t>
      </w:r>
      <w:r w:rsidR="00D50C86">
        <w:rPr>
          <w:i/>
          <w:highlight w:val="yellow"/>
        </w:rPr>
        <w:t>31</w:t>
      </w:r>
      <w:r>
        <w:rPr>
          <w:i/>
          <w:highlight w:val="yellow"/>
        </w:rPr>
        <w:t xml:space="preserve"> as follows</w:t>
      </w:r>
      <w:r w:rsidRPr="00BE7840">
        <w:rPr>
          <w:i/>
          <w:highlight w:val="yellow"/>
        </w:rPr>
        <w:t>:</w:t>
      </w:r>
    </w:p>
    <w:p w14:paraId="3255B46C" w14:textId="42C09FF2" w:rsidR="002947BA" w:rsidRDefault="00D64A8F" w:rsidP="00DF6B97">
      <w:r>
        <w:t xml:space="preserve">The Sensing field is defined in </w:t>
      </w:r>
      <w:r>
        <w:fldChar w:fldCharType="begin"/>
      </w:r>
      <w:r>
        <w:instrText xml:space="preserve"> REF  RTF34343632343a204669675469 \h</w:instrText>
      </w:r>
      <w:r>
        <w:fldChar w:fldCharType="separate"/>
      </w:r>
      <w:r>
        <w:t>Figure 9-1002bb (Sensing field format)</w:t>
      </w:r>
      <w:r>
        <w:fldChar w:fldCharType="end"/>
      </w:r>
      <w:r>
        <w:t>.</w:t>
      </w:r>
    </w:p>
    <w:p w14:paraId="72C4D343" w14:textId="03E9B511"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1276"/>
        <w:gridCol w:w="567"/>
        <w:gridCol w:w="992"/>
        <w:gridCol w:w="1134"/>
        <w:gridCol w:w="1134"/>
        <w:gridCol w:w="992"/>
        <w:gridCol w:w="1134"/>
        <w:gridCol w:w="1134"/>
      </w:tblGrid>
      <w:tr w:rsidR="00927CF9" w14:paraId="790BAE5A" w14:textId="77777777" w:rsidTr="00F277DB">
        <w:trPr>
          <w:trHeight w:val="560"/>
          <w:jc w:val="center"/>
        </w:trPr>
        <w:tc>
          <w:tcPr>
            <w:tcW w:w="709" w:type="dxa"/>
            <w:tcBorders>
              <w:top w:val="nil"/>
              <w:left w:val="nil"/>
              <w:bottom w:val="nil"/>
              <w:right w:val="nil"/>
            </w:tcBorders>
            <w:tcMar>
              <w:top w:w="120" w:type="dxa"/>
              <w:left w:w="120" w:type="dxa"/>
              <w:bottom w:w="60" w:type="dxa"/>
              <w:right w:w="120" w:type="dxa"/>
            </w:tcMar>
          </w:tcPr>
          <w:p w14:paraId="14750143" w14:textId="77777777" w:rsidR="00927CF9" w:rsidRDefault="00927CF9" w:rsidP="007408E0">
            <w:pPr>
              <w:pStyle w:val="A1FigTitle"/>
              <w:spacing w:before="0" w:line="160" w:lineRule="atLeast"/>
              <w:rPr>
                <w:b w:val="0"/>
                <w:bCs w:val="0"/>
                <w:sz w:val="16"/>
                <w:szCs w:val="16"/>
              </w:rPr>
            </w:pP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91213" w14:textId="06ECCB1D" w:rsidR="00927CF9" w:rsidRPr="00C87508" w:rsidRDefault="00927CF9" w:rsidP="00C87508">
            <w:pPr>
              <w:pStyle w:val="figuretext"/>
              <w:jc w:val="left"/>
              <w:rPr>
                <w:strike/>
                <w:w w:val="100"/>
              </w:rPr>
            </w:pPr>
            <w:r w:rsidRPr="00C87508">
              <w:rPr>
                <w:strike/>
                <w:w w:val="100"/>
              </w:rPr>
              <w:t xml:space="preserve"> Responders  </w:t>
            </w:r>
          </w:p>
          <w:p w14:paraId="05A90F07" w14:textId="6E13E4B3" w:rsidR="00927CF9" w:rsidRPr="00C87508" w:rsidRDefault="00927CF9" w:rsidP="00C87508">
            <w:pPr>
              <w:pStyle w:val="figuretext"/>
              <w:rPr>
                <w:w w:val="100"/>
                <w:u w:val="single"/>
              </w:rPr>
            </w:pPr>
            <w:r w:rsidRPr="00C87508">
              <w:rPr>
                <w:w w:val="100"/>
                <w:u w:val="single"/>
              </w:rPr>
              <w:t>Responder</w:t>
            </w:r>
          </w:p>
          <w:p w14:paraId="67BE175E" w14:textId="0BB7437D" w:rsidR="00927CF9" w:rsidRPr="00940947" w:rsidRDefault="00927CF9" w:rsidP="00940947">
            <w:pPr>
              <w:pStyle w:val="figuretext"/>
              <w:rPr>
                <w:w w:val="100"/>
              </w:rPr>
            </w:pPr>
            <w:r w:rsidRPr="00940947">
              <w:rPr>
                <w:w w:val="100"/>
              </w:rPr>
              <w:t>Needed</w:t>
            </w:r>
          </w:p>
        </w:tc>
        <w:tc>
          <w:tcPr>
            <w:tcW w:w="567" w:type="dxa"/>
            <w:tcBorders>
              <w:top w:val="single" w:sz="10" w:space="0" w:color="000000"/>
              <w:left w:val="single" w:sz="10" w:space="0" w:color="000000"/>
              <w:bottom w:val="single" w:sz="10" w:space="0" w:color="000000"/>
              <w:right w:val="single" w:sz="10" w:space="0" w:color="000000"/>
            </w:tcBorders>
          </w:tcPr>
          <w:p w14:paraId="65438895" w14:textId="77777777" w:rsidR="00927CF9" w:rsidRDefault="00927CF9" w:rsidP="007408E0">
            <w:pPr>
              <w:pStyle w:val="figuretext"/>
              <w:rPr>
                <w:w w:val="100"/>
              </w:rPr>
            </w:pPr>
          </w:p>
          <w:p w14:paraId="0243E274" w14:textId="2D27A722" w:rsidR="00927CF9" w:rsidRDefault="00927CF9" w:rsidP="007408E0">
            <w:pPr>
              <w:pStyle w:val="figuretext"/>
              <w:rPr>
                <w:w w:val="100"/>
              </w:rPr>
            </w:pPr>
            <w:r>
              <w:rPr>
                <w:w w:val="100"/>
              </w:rPr>
              <w:t>BW</w:t>
            </w:r>
          </w:p>
        </w:tc>
        <w:tc>
          <w:tcPr>
            <w:tcW w:w="992" w:type="dxa"/>
            <w:tcBorders>
              <w:top w:val="single" w:sz="10" w:space="0" w:color="000000"/>
              <w:left w:val="single" w:sz="10" w:space="0" w:color="000000"/>
              <w:bottom w:val="single" w:sz="10" w:space="0" w:color="000000"/>
              <w:right w:val="single" w:sz="10" w:space="0" w:color="000000"/>
            </w:tcBorders>
          </w:tcPr>
          <w:p w14:paraId="46A71201" w14:textId="77777777" w:rsidR="00927CF9" w:rsidRPr="00C87508" w:rsidRDefault="00927CF9" w:rsidP="00C87508">
            <w:pPr>
              <w:pStyle w:val="figuretext"/>
              <w:rPr>
                <w:w w:val="100"/>
              </w:rPr>
            </w:pPr>
            <w:r w:rsidRPr="00C87508">
              <w:rPr>
                <w:w w:val="100"/>
              </w:rPr>
              <w:t>Max TX</w:t>
            </w:r>
          </w:p>
          <w:p w14:paraId="126A8E7A" w14:textId="77777777" w:rsidR="00927CF9" w:rsidRPr="00C87508" w:rsidRDefault="00927CF9" w:rsidP="00C87508">
            <w:pPr>
              <w:pStyle w:val="figuretext"/>
              <w:rPr>
                <w:w w:val="100"/>
              </w:rPr>
            </w:pPr>
            <w:r w:rsidRPr="00C87508">
              <w:rPr>
                <w:rFonts w:hint="eastAsia"/>
                <w:w w:val="100"/>
              </w:rPr>
              <w:t xml:space="preserve">STS </w:t>
            </w:r>
            <w:r w:rsidRPr="00C87508">
              <w:rPr>
                <w:rFonts w:hint="eastAsia"/>
                <w:w w:val="100"/>
              </w:rPr>
              <w:t>≤</w:t>
            </w:r>
            <w:r w:rsidRPr="00C87508">
              <w:rPr>
                <w:rFonts w:hint="eastAsia"/>
                <w:w w:val="100"/>
              </w:rPr>
              <w:t xml:space="preserve"> 80</w:t>
            </w:r>
          </w:p>
          <w:p w14:paraId="04B0B995" w14:textId="1CE89731" w:rsidR="00927CF9" w:rsidRDefault="00927CF9" w:rsidP="00C87508">
            <w:pPr>
              <w:pStyle w:val="figuretext"/>
              <w:rPr>
                <w:w w:val="100"/>
              </w:rPr>
            </w:pPr>
            <w:r w:rsidRPr="00C87508">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AF66C78" w14:textId="77777777" w:rsidR="00927CF9" w:rsidRPr="00927CF9" w:rsidRDefault="00927CF9" w:rsidP="00927CF9">
            <w:pPr>
              <w:pStyle w:val="figuretext"/>
              <w:rPr>
                <w:w w:val="100"/>
              </w:rPr>
            </w:pPr>
            <w:r w:rsidRPr="00927CF9">
              <w:rPr>
                <w:w w:val="100"/>
              </w:rPr>
              <w:t>Max TX</w:t>
            </w:r>
          </w:p>
          <w:p w14:paraId="0AAC2870" w14:textId="77777777" w:rsidR="00927CF9" w:rsidRPr="00927CF9" w:rsidRDefault="00927CF9" w:rsidP="00927CF9">
            <w:pPr>
              <w:pStyle w:val="figuretext"/>
              <w:rPr>
                <w:w w:val="100"/>
              </w:rPr>
            </w:pPr>
            <w:r w:rsidRPr="00927CF9">
              <w:rPr>
                <w:w w:val="100"/>
              </w:rPr>
              <w:t>STS = 160</w:t>
            </w:r>
          </w:p>
          <w:p w14:paraId="12E8E13E" w14:textId="09981972" w:rsid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3A23A76" w14:textId="77777777" w:rsidR="00927CF9" w:rsidRPr="00927CF9" w:rsidRDefault="00927CF9" w:rsidP="00927CF9">
            <w:pPr>
              <w:pStyle w:val="figuretext"/>
              <w:rPr>
                <w:w w:val="100"/>
              </w:rPr>
            </w:pPr>
            <w:r w:rsidRPr="00927CF9">
              <w:rPr>
                <w:w w:val="100"/>
              </w:rPr>
              <w:t>Max TX</w:t>
            </w:r>
          </w:p>
          <w:p w14:paraId="61A9BEE5" w14:textId="77777777" w:rsidR="00927CF9" w:rsidRPr="00927CF9" w:rsidRDefault="00927CF9" w:rsidP="00927CF9">
            <w:pPr>
              <w:pStyle w:val="figuretext"/>
              <w:rPr>
                <w:w w:val="100"/>
              </w:rPr>
            </w:pPr>
            <w:r w:rsidRPr="00927CF9">
              <w:rPr>
                <w:w w:val="100"/>
              </w:rPr>
              <w:t>STS = 320</w:t>
            </w:r>
          </w:p>
          <w:p w14:paraId="055B13A7" w14:textId="480D44F6" w:rsidR="00927CF9" w:rsidRDefault="00927CF9" w:rsidP="00927CF9">
            <w:pPr>
              <w:pStyle w:val="figuretext"/>
              <w:rPr>
                <w:w w:val="100"/>
              </w:rPr>
            </w:pPr>
            <w:r w:rsidRPr="00927CF9">
              <w:rPr>
                <w:w w:val="100"/>
              </w:rPr>
              <w:t>MHz</w:t>
            </w:r>
          </w:p>
        </w:tc>
        <w:tc>
          <w:tcPr>
            <w:tcW w:w="992" w:type="dxa"/>
            <w:tcBorders>
              <w:top w:val="single" w:sz="10" w:space="0" w:color="000000"/>
              <w:left w:val="single" w:sz="10" w:space="0" w:color="000000"/>
              <w:bottom w:val="single" w:sz="10" w:space="0" w:color="000000"/>
              <w:right w:val="single" w:sz="10" w:space="0" w:color="000000"/>
            </w:tcBorders>
          </w:tcPr>
          <w:p w14:paraId="344C3DBE" w14:textId="77777777" w:rsidR="00927CF9" w:rsidRPr="00927CF9" w:rsidRDefault="00927CF9" w:rsidP="00927CF9">
            <w:pPr>
              <w:pStyle w:val="figuretext"/>
              <w:rPr>
                <w:w w:val="100"/>
              </w:rPr>
            </w:pPr>
            <w:r w:rsidRPr="00927CF9">
              <w:rPr>
                <w:w w:val="100"/>
              </w:rPr>
              <w:t>Max RX</w:t>
            </w:r>
          </w:p>
          <w:p w14:paraId="6BE97185" w14:textId="77777777" w:rsidR="00927CF9" w:rsidRPr="00927CF9" w:rsidRDefault="00927CF9" w:rsidP="00927CF9">
            <w:pPr>
              <w:pStyle w:val="figuretext"/>
              <w:rPr>
                <w:w w:val="100"/>
              </w:rPr>
            </w:pPr>
            <w:r w:rsidRPr="00927CF9">
              <w:rPr>
                <w:rFonts w:hint="eastAsia"/>
                <w:w w:val="100"/>
              </w:rPr>
              <w:t xml:space="preserve">STS </w:t>
            </w:r>
            <w:r w:rsidRPr="00927CF9">
              <w:rPr>
                <w:rFonts w:hint="eastAsia"/>
                <w:w w:val="100"/>
              </w:rPr>
              <w:t>≤</w:t>
            </w:r>
            <w:r w:rsidRPr="00927CF9">
              <w:rPr>
                <w:rFonts w:hint="eastAsia"/>
                <w:w w:val="100"/>
              </w:rPr>
              <w:t xml:space="preserve"> 80</w:t>
            </w:r>
          </w:p>
          <w:p w14:paraId="4145CF6B" w14:textId="6F93918E" w:rsidR="00927CF9" w:rsidRP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1DAFA7" w14:textId="77777777" w:rsidR="00927CF9" w:rsidRPr="00927CF9" w:rsidRDefault="00927CF9" w:rsidP="00927CF9">
            <w:pPr>
              <w:pStyle w:val="figuretext"/>
              <w:rPr>
                <w:w w:val="100"/>
              </w:rPr>
            </w:pPr>
            <w:r w:rsidRPr="00927CF9">
              <w:rPr>
                <w:w w:val="100"/>
              </w:rPr>
              <w:t>Max RX</w:t>
            </w:r>
          </w:p>
          <w:p w14:paraId="56E8747B" w14:textId="77777777" w:rsidR="00927CF9" w:rsidRPr="00927CF9" w:rsidRDefault="00927CF9" w:rsidP="00927CF9">
            <w:pPr>
              <w:pStyle w:val="figuretext"/>
              <w:rPr>
                <w:w w:val="100"/>
              </w:rPr>
            </w:pPr>
            <w:r w:rsidRPr="00927CF9">
              <w:rPr>
                <w:w w:val="100"/>
              </w:rPr>
              <w:t>STS = 160</w:t>
            </w:r>
          </w:p>
          <w:p w14:paraId="02935B8D" w14:textId="2EC97238" w:rsidR="00927CF9" w:rsidRDefault="00927CF9" w:rsidP="00927CF9">
            <w:pPr>
              <w:pStyle w:val="figuretext"/>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834426" w14:textId="77777777" w:rsidR="00927CF9" w:rsidRPr="00927CF9" w:rsidRDefault="00927CF9" w:rsidP="00927CF9">
            <w:pPr>
              <w:pStyle w:val="figuretext"/>
              <w:rPr>
                <w:w w:val="100"/>
              </w:rPr>
            </w:pPr>
            <w:r w:rsidRPr="00927CF9">
              <w:rPr>
                <w:w w:val="100"/>
              </w:rPr>
              <w:t>Max RX</w:t>
            </w:r>
          </w:p>
          <w:p w14:paraId="33DA4D35" w14:textId="7C995AD2" w:rsidR="00927CF9" w:rsidRPr="00927CF9" w:rsidRDefault="00927CF9" w:rsidP="00927CF9">
            <w:pPr>
              <w:pStyle w:val="figuretext"/>
              <w:rPr>
                <w:w w:val="100"/>
              </w:rPr>
            </w:pPr>
            <w:r w:rsidRPr="00927CF9">
              <w:rPr>
                <w:w w:val="100"/>
              </w:rPr>
              <w:t xml:space="preserve">STS = </w:t>
            </w:r>
            <w:r>
              <w:rPr>
                <w:w w:val="100"/>
              </w:rPr>
              <w:t>320</w:t>
            </w:r>
          </w:p>
          <w:p w14:paraId="3063A05C" w14:textId="58D0B734" w:rsidR="00927CF9" w:rsidRDefault="00927CF9" w:rsidP="00927CF9">
            <w:pPr>
              <w:pStyle w:val="figuretext"/>
            </w:pPr>
            <w:r w:rsidRPr="00927CF9">
              <w:rPr>
                <w:w w:val="100"/>
              </w:rPr>
              <w:t>MHz</w:t>
            </w:r>
          </w:p>
        </w:tc>
      </w:tr>
      <w:tr w:rsidR="00927CF9" w14:paraId="4571F610" w14:textId="77777777" w:rsidTr="00614664">
        <w:trPr>
          <w:trHeight w:val="320"/>
          <w:jc w:val="center"/>
        </w:trPr>
        <w:tc>
          <w:tcPr>
            <w:tcW w:w="709" w:type="dxa"/>
            <w:tcBorders>
              <w:top w:val="nil"/>
              <w:left w:val="nil"/>
              <w:right w:val="nil"/>
            </w:tcBorders>
            <w:tcMar>
              <w:top w:w="120" w:type="dxa"/>
              <w:left w:w="120" w:type="dxa"/>
              <w:bottom w:w="60" w:type="dxa"/>
              <w:right w:w="120" w:type="dxa"/>
            </w:tcMar>
          </w:tcPr>
          <w:p w14:paraId="502CB718" w14:textId="7674DCDD" w:rsidR="00927CF9" w:rsidRDefault="00927CF9" w:rsidP="007408E0">
            <w:pPr>
              <w:pStyle w:val="A1FigTitle"/>
              <w:spacing w:before="0" w:line="160" w:lineRule="atLeast"/>
              <w:rPr>
                <w:b w:val="0"/>
                <w:bCs w:val="0"/>
                <w:sz w:val="16"/>
                <w:szCs w:val="16"/>
              </w:rPr>
            </w:pPr>
            <w:r>
              <w:rPr>
                <w:b w:val="0"/>
                <w:bCs w:val="0"/>
                <w:w w:val="100"/>
                <w:sz w:val="16"/>
                <w:szCs w:val="16"/>
              </w:rPr>
              <w:t>Bits:</w:t>
            </w:r>
          </w:p>
        </w:tc>
        <w:tc>
          <w:tcPr>
            <w:tcW w:w="1276" w:type="dxa"/>
            <w:tcBorders>
              <w:top w:val="nil"/>
              <w:left w:val="nil"/>
              <w:right w:val="nil"/>
            </w:tcBorders>
            <w:tcMar>
              <w:top w:w="120" w:type="dxa"/>
              <w:left w:w="120" w:type="dxa"/>
              <w:bottom w:w="60" w:type="dxa"/>
              <w:right w:w="120" w:type="dxa"/>
            </w:tcMar>
          </w:tcPr>
          <w:p w14:paraId="5E78EC0F" w14:textId="77777777" w:rsidR="00927CF9" w:rsidRDefault="00927CF9" w:rsidP="007408E0">
            <w:pPr>
              <w:pStyle w:val="A1FigTitle"/>
              <w:spacing w:before="0" w:line="160" w:lineRule="atLeast"/>
              <w:rPr>
                <w:b w:val="0"/>
                <w:bCs w:val="0"/>
                <w:sz w:val="16"/>
                <w:szCs w:val="16"/>
              </w:rPr>
            </w:pPr>
            <w:r>
              <w:rPr>
                <w:b w:val="0"/>
                <w:bCs w:val="0"/>
                <w:w w:val="100"/>
                <w:sz w:val="16"/>
                <w:szCs w:val="16"/>
              </w:rPr>
              <w:t>1</w:t>
            </w:r>
          </w:p>
        </w:tc>
        <w:tc>
          <w:tcPr>
            <w:tcW w:w="567" w:type="dxa"/>
            <w:tcBorders>
              <w:top w:val="nil"/>
              <w:left w:val="nil"/>
              <w:right w:val="nil"/>
            </w:tcBorders>
          </w:tcPr>
          <w:p w14:paraId="6FFA6AB3" w14:textId="3BD05628"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5774A108" w14:textId="4286189E"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5E7CA099" w14:textId="0D060854"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31D76400" w14:textId="2B84498A"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3E96A546" w14:textId="3B7A4626"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004DB35" w14:textId="622D97E4" w:rsidR="00927CF9" w:rsidRDefault="00927CF9" w:rsidP="007408E0">
            <w:pPr>
              <w:pStyle w:val="A1FigTitle"/>
              <w:spacing w:before="0" w:line="160" w:lineRule="atLeast"/>
              <w:rPr>
                <w:b w:val="0"/>
                <w:bCs w:val="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7085356" w14:textId="5EF69F53" w:rsidR="00927CF9" w:rsidRDefault="00927CF9" w:rsidP="007408E0">
            <w:pPr>
              <w:pStyle w:val="A1FigTitle"/>
              <w:spacing w:before="0" w:line="160" w:lineRule="atLeast"/>
              <w:rPr>
                <w:b w:val="0"/>
                <w:bCs w:val="0"/>
                <w:sz w:val="16"/>
                <w:szCs w:val="16"/>
              </w:rPr>
            </w:pPr>
            <w:r>
              <w:rPr>
                <w:b w:val="0"/>
                <w:bCs w:val="0"/>
                <w:w w:val="100"/>
                <w:sz w:val="16"/>
                <w:szCs w:val="16"/>
              </w:rPr>
              <w:t>3</w:t>
            </w:r>
          </w:p>
        </w:tc>
      </w:tr>
    </w:tbl>
    <w:p w14:paraId="37D40D3E" w14:textId="22C6EEF6"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992"/>
        <w:gridCol w:w="993"/>
        <w:gridCol w:w="850"/>
        <w:gridCol w:w="851"/>
        <w:gridCol w:w="992"/>
        <w:gridCol w:w="850"/>
        <w:gridCol w:w="1276"/>
        <w:gridCol w:w="1559"/>
      </w:tblGrid>
      <w:tr w:rsidR="003B6D9B" w14:paraId="6B24B4EF" w14:textId="77777777" w:rsidTr="003B6D9B">
        <w:trPr>
          <w:trHeight w:val="560"/>
          <w:jc w:val="center"/>
        </w:trPr>
        <w:tc>
          <w:tcPr>
            <w:tcW w:w="709" w:type="dxa"/>
            <w:tcBorders>
              <w:top w:val="nil"/>
              <w:left w:val="nil"/>
              <w:bottom w:val="nil"/>
              <w:right w:val="nil"/>
            </w:tcBorders>
            <w:tcMar>
              <w:top w:w="120" w:type="dxa"/>
              <w:left w:w="120" w:type="dxa"/>
              <w:bottom w:w="60" w:type="dxa"/>
              <w:right w:w="120" w:type="dxa"/>
            </w:tcMar>
          </w:tcPr>
          <w:p w14:paraId="19FCD80D" w14:textId="77777777" w:rsidR="00614664" w:rsidRDefault="00614664" w:rsidP="007408E0">
            <w:pPr>
              <w:pStyle w:val="A1FigTitle"/>
              <w:spacing w:before="0" w:line="160" w:lineRule="atLeast"/>
              <w:rPr>
                <w:b w:val="0"/>
                <w:bCs w:val="0"/>
                <w:sz w:val="16"/>
                <w:szCs w:val="16"/>
              </w:rPr>
            </w:pP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77DBFA" w14:textId="19E831CB" w:rsidR="00614664" w:rsidRPr="00940947" w:rsidRDefault="00614664" w:rsidP="003B6D9B">
            <w:pPr>
              <w:pStyle w:val="figuretext"/>
              <w:rPr>
                <w:w w:val="100"/>
              </w:rPr>
            </w:pPr>
            <w:r w:rsidRPr="00F277DB">
              <w:rPr>
                <w:w w:val="100"/>
              </w:rPr>
              <w:t xml:space="preserve">Max TX </w:t>
            </w:r>
            <w:r>
              <w:rPr>
                <w:w w:val="100"/>
              </w:rPr>
              <w:t xml:space="preserve">    </w:t>
            </w:r>
            <w:r w:rsidRPr="00F277DB">
              <w:rPr>
                <w:w w:val="100"/>
              </w:rPr>
              <w:t>HE-LTF Repetition</w:t>
            </w:r>
          </w:p>
        </w:tc>
        <w:tc>
          <w:tcPr>
            <w:tcW w:w="993" w:type="dxa"/>
            <w:tcBorders>
              <w:top w:val="single" w:sz="10" w:space="0" w:color="000000"/>
              <w:left w:val="single" w:sz="10" w:space="0" w:color="000000"/>
              <w:bottom w:val="single" w:sz="10" w:space="0" w:color="000000"/>
              <w:right w:val="single" w:sz="10" w:space="0" w:color="000000"/>
            </w:tcBorders>
            <w:vAlign w:val="center"/>
          </w:tcPr>
          <w:p w14:paraId="6FEF1562" w14:textId="7501545C" w:rsidR="00614664" w:rsidRDefault="00614664" w:rsidP="003B6D9B">
            <w:pPr>
              <w:pStyle w:val="figuretext"/>
              <w:rPr>
                <w:w w:val="100"/>
              </w:rPr>
            </w:pPr>
            <w:r w:rsidRPr="00F277DB">
              <w:rPr>
                <w:w w:val="100"/>
              </w:rPr>
              <w:t xml:space="preserve">Max </w:t>
            </w:r>
            <w:r>
              <w:rPr>
                <w:w w:val="100"/>
              </w:rPr>
              <w:t>R</w:t>
            </w:r>
            <w:r w:rsidRPr="00F277DB">
              <w:rPr>
                <w:w w:val="100"/>
              </w:rPr>
              <w:t xml:space="preserve">X </w:t>
            </w:r>
            <w:r>
              <w:rPr>
                <w:w w:val="100"/>
              </w:rPr>
              <w:t xml:space="preserve">    </w:t>
            </w:r>
            <w:r w:rsidRPr="00F277DB">
              <w:rPr>
                <w:w w:val="100"/>
              </w:rPr>
              <w:t>HE-LTF Repetition</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BA6F434" w14:textId="77777777" w:rsidR="00794ECD" w:rsidRPr="00794ECD" w:rsidRDefault="00794ECD" w:rsidP="003B6D9B">
            <w:pPr>
              <w:pStyle w:val="figuretext"/>
              <w:rPr>
                <w:w w:val="100"/>
              </w:rPr>
            </w:pPr>
            <w:r w:rsidRPr="00794ECD">
              <w:rPr>
                <w:w w:val="100"/>
              </w:rPr>
              <w:t>Max TX</w:t>
            </w:r>
          </w:p>
          <w:p w14:paraId="3EF34608" w14:textId="77777777" w:rsidR="00794ECD" w:rsidRPr="00794ECD" w:rsidRDefault="00794ECD" w:rsidP="003B6D9B">
            <w:pPr>
              <w:pStyle w:val="figuretext"/>
              <w:rPr>
                <w:w w:val="100"/>
              </w:rPr>
            </w:pPr>
            <w:r w:rsidRPr="00794ECD">
              <w:rPr>
                <w:w w:val="100"/>
              </w:rPr>
              <w:t>HE-LTF</w:t>
            </w:r>
          </w:p>
          <w:p w14:paraId="16D8896E" w14:textId="15D28444" w:rsidR="00614664" w:rsidRDefault="00794ECD" w:rsidP="003B6D9B">
            <w:pPr>
              <w:pStyle w:val="figuretext"/>
              <w:rPr>
                <w:w w:val="100"/>
              </w:rPr>
            </w:pPr>
            <w:r w:rsidRPr="00794ECD">
              <w:rPr>
                <w:w w:val="100"/>
              </w:rPr>
              <w:t>Total</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59A84841" w14:textId="77777777" w:rsidR="00794ECD" w:rsidRPr="00794ECD" w:rsidRDefault="00794ECD" w:rsidP="003B6D9B">
            <w:pPr>
              <w:pStyle w:val="figuretext"/>
              <w:rPr>
                <w:w w:val="100"/>
              </w:rPr>
            </w:pPr>
            <w:r w:rsidRPr="00794ECD">
              <w:rPr>
                <w:w w:val="100"/>
              </w:rPr>
              <w:t>Max RX</w:t>
            </w:r>
          </w:p>
          <w:p w14:paraId="27E8CD3E" w14:textId="77777777" w:rsidR="00794ECD" w:rsidRPr="00794ECD" w:rsidRDefault="00794ECD" w:rsidP="003B6D9B">
            <w:pPr>
              <w:pStyle w:val="figuretext"/>
              <w:rPr>
                <w:w w:val="100"/>
              </w:rPr>
            </w:pPr>
            <w:r w:rsidRPr="00794ECD">
              <w:rPr>
                <w:w w:val="100"/>
              </w:rPr>
              <w:t>HE-LTF</w:t>
            </w:r>
          </w:p>
          <w:p w14:paraId="21563478" w14:textId="29167F05" w:rsidR="00614664" w:rsidRDefault="00794ECD" w:rsidP="003B6D9B">
            <w:pPr>
              <w:pStyle w:val="figuretext"/>
              <w:rPr>
                <w:w w:val="100"/>
              </w:rPr>
            </w:pPr>
            <w:r w:rsidRPr="00794ECD">
              <w:rPr>
                <w:w w:val="100"/>
              </w:rPr>
              <w:t>Total</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3460F7C6" w14:textId="77777777" w:rsidR="00794ECD" w:rsidRPr="00794ECD" w:rsidRDefault="00794ECD" w:rsidP="003B6D9B">
            <w:pPr>
              <w:pStyle w:val="figuretext"/>
              <w:rPr>
                <w:w w:val="100"/>
              </w:rPr>
            </w:pPr>
            <w:r w:rsidRPr="00794ECD">
              <w:rPr>
                <w:w w:val="100"/>
              </w:rPr>
              <w:t>Max RX</w:t>
            </w:r>
          </w:p>
          <w:p w14:paraId="070E372F" w14:textId="77777777" w:rsidR="00794ECD" w:rsidRPr="00794ECD" w:rsidRDefault="00794ECD" w:rsidP="003B6D9B">
            <w:pPr>
              <w:pStyle w:val="figuretext"/>
              <w:rPr>
                <w:w w:val="100"/>
              </w:rPr>
            </w:pPr>
            <w:r w:rsidRPr="00794ECD">
              <w:rPr>
                <w:w w:val="100"/>
              </w:rPr>
              <w:t>EHT-LTF</w:t>
            </w:r>
          </w:p>
          <w:p w14:paraId="1FD6353F" w14:textId="4767A7CB" w:rsidR="00614664" w:rsidRDefault="00794ECD" w:rsidP="003B6D9B">
            <w:pPr>
              <w:pStyle w:val="figuretext"/>
              <w:rPr>
                <w:w w:val="100"/>
              </w:rPr>
            </w:pPr>
            <w:r w:rsidRPr="00794ECD">
              <w:rPr>
                <w:w w:val="100"/>
              </w:rPr>
              <w:t>Total</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08D057B8" w14:textId="77777777" w:rsidR="00794ECD" w:rsidRPr="00794ECD" w:rsidRDefault="00794ECD" w:rsidP="003B6D9B">
            <w:pPr>
              <w:pStyle w:val="figuretext"/>
              <w:rPr>
                <w:w w:val="100"/>
              </w:rPr>
            </w:pPr>
            <w:r w:rsidRPr="00794ECD">
              <w:rPr>
                <w:w w:val="100"/>
              </w:rPr>
              <w:t>Device</w:t>
            </w:r>
          </w:p>
          <w:p w14:paraId="1A792586" w14:textId="3BC1D269" w:rsidR="00614664" w:rsidRPr="00927CF9" w:rsidRDefault="00794ECD" w:rsidP="003B6D9B">
            <w:pPr>
              <w:pStyle w:val="figuretext"/>
              <w:rPr>
                <w:w w:val="100"/>
              </w:rPr>
            </w:pPr>
            <w:r w:rsidRPr="00794ECD">
              <w:rPr>
                <w:w w:val="100"/>
              </w:rPr>
              <w:t>Class</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4D4A84" w14:textId="77777777" w:rsidR="00794ECD" w:rsidRPr="00794ECD" w:rsidRDefault="00794ECD" w:rsidP="003B6D9B">
            <w:pPr>
              <w:pStyle w:val="figuretext"/>
              <w:rPr>
                <w:w w:val="100"/>
              </w:rPr>
            </w:pPr>
            <w:r w:rsidRPr="00794ECD">
              <w:rPr>
                <w:w w:val="100"/>
              </w:rPr>
              <w:t>Full</w:t>
            </w:r>
          </w:p>
          <w:p w14:paraId="07308B70" w14:textId="77777777" w:rsidR="00794ECD" w:rsidRPr="00794ECD" w:rsidRDefault="00794ECD" w:rsidP="003B6D9B">
            <w:pPr>
              <w:pStyle w:val="figuretext"/>
              <w:rPr>
                <w:w w:val="100"/>
              </w:rPr>
            </w:pPr>
            <w:r w:rsidRPr="00794ECD">
              <w:rPr>
                <w:w w:val="100"/>
              </w:rPr>
              <w:t>Bandwidth UL</w:t>
            </w:r>
          </w:p>
          <w:p w14:paraId="0C06B1B4" w14:textId="6C620739" w:rsidR="00614664" w:rsidRDefault="00794ECD" w:rsidP="003B6D9B">
            <w:pPr>
              <w:pStyle w:val="figuretext"/>
            </w:pPr>
            <w:r w:rsidRPr="00794ECD">
              <w:rPr>
                <w:w w:val="100"/>
              </w:rPr>
              <w:t>MU-MIMO</w:t>
            </w:r>
          </w:p>
        </w:tc>
        <w:tc>
          <w:tcPr>
            <w:tcW w:w="15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E46643" w14:textId="77777777" w:rsidR="003B6D9B" w:rsidRPr="003B6D9B" w:rsidRDefault="003B6D9B" w:rsidP="003B6D9B">
            <w:pPr>
              <w:pStyle w:val="figuretext"/>
              <w:rPr>
                <w:w w:val="100"/>
              </w:rPr>
            </w:pPr>
            <w:r w:rsidRPr="003B6D9B">
              <w:rPr>
                <w:w w:val="100"/>
              </w:rPr>
              <w:t>Max Number</w:t>
            </w:r>
          </w:p>
          <w:p w14:paraId="7433D122" w14:textId="77777777" w:rsidR="003B6D9B" w:rsidRPr="003B6D9B" w:rsidRDefault="003B6D9B" w:rsidP="003B6D9B">
            <w:pPr>
              <w:pStyle w:val="figuretext"/>
              <w:rPr>
                <w:w w:val="100"/>
              </w:rPr>
            </w:pPr>
            <w:r w:rsidRPr="003B6D9B">
              <w:rPr>
                <w:w w:val="100"/>
              </w:rPr>
              <w:t>of Supported</w:t>
            </w:r>
          </w:p>
          <w:p w14:paraId="02EAF96B" w14:textId="77777777" w:rsidR="003B6D9B" w:rsidRPr="003B6D9B" w:rsidRDefault="003B6D9B" w:rsidP="003B6D9B">
            <w:pPr>
              <w:pStyle w:val="figuretext"/>
              <w:rPr>
                <w:w w:val="100"/>
              </w:rPr>
            </w:pPr>
            <w:r w:rsidRPr="003B6D9B">
              <w:rPr>
                <w:w w:val="100"/>
              </w:rPr>
              <w:t>Setups as</w:t>
            </w:r>
          </w:p>
          <w:p w14:paraId="5E61DB3E" w14:textId="0B6F3F49" w:rsidR="00614664" w:rsidRDefault="003B6D9B" w:rsidP="003B6D9B">
            <w:pPr>
              <w:pStyle w:val="figuretext"/>
            </w:pPr>
            <w:r w:rsidRPr="003B6D9B">
              <w:rPr>
                <w:w w:val="100"/>
              </w:rPr>
              <w:t>Responder</w:t>
            </w:r>
          </w:p>
        </w:tc>
      </w:tr>
      <w:tr w:rsidR="003B6D9B" w14:paraId="39CD19D6" w14:textId="77777777" w:rsidTr="003B6D9B">
        <w:trPr>
          <w:trHeight w:val="320"/>
          <w:jc w:val="center"/>
        </w:trPr>
        <w:tc>
          <w:tcPr>
            <w:tcW w:w="709" w:type="dxa"/>
            <w:tcBorders>
              <w:top w:val="nil"/>
              <w:left w:val="nil"/>
              <w:right w:val="nil"/>
            </w:tcBorders>
            <w:tcMar>
              <w:top w:w="120" w:type="dxa"/>
              <w:left w:w="120" w:type="dxa"/>
              <w:bottom w:w="60" w:type="dxa"/>
              <w:right w:w="120" w:type="dxa"/>
            </w:tcMar>
          </w:tcPr>
          <w:p w14:paraId="7A3E25BD" w14:textId="77777777" w:rsidR="00614664" w:rsidRDefault="00614664" w:rsidP="007408E0">
            <w:pPr>
              <w:pStyle w:val="A1FigTitle"/>
              <w:spacing w:before="0" w:line="160" w:lineRule="atLeast"/>
              <w:rPr>
                <w:b w:val="0"/>
                <w:bCs w:val="0"/>
                <w:sz w:val="16"/>
                <w:szCs w:val="16"/>
              </w:rPr>
            </w:pPr>
            <w:r>
              <w:rPr>
                <w:b w:val="0"/>
                <w:bCs w:val="0"/>
                <w:w w:val="100"/>
                <w:sz w:val="16"/>
                <w:szCs w:val="16"/>
              </w:rPr>
              <w:t>Bits:</w:t>
            </w:r>
          </w:p>
        </w:tc>
        <w:tc>
          <w:tcPr>
            <w:tcW w:w="992" w:type="dxa"/>
            <w:tcBorders>
              <w:top w:val="nil"/>
              <w:left w:val="nil"/>
              <w:right w:val="nil"/>
            </w:tcBorders>
            <w:tcMar>
              <w:top w:w="120" w:type="dxa"/>
              <w:left w:w="120" w:type="dxa"/>
              <w:bottom w:w="60" w:type="dxa"/>
              <w:right w:w="120" w:type="dxa"/>
            </w:tcMar>
          </w:tcPr>
          <w:p w14:paraId="3D3AB9AC" w14:textId="280D20C9" w:rsidR="00614664" w:rsidRDefault="00B52489" w:rsidP="007408E0">
            <w:pPr>
              <w:pStyle w:val="A1FigTitle"/>
              <w:spacing w:before="0" w:line="160" w:lineRule="atLeast"/>
              <w:rPr>
                <w:b w:val="0"/>
                <w:bCs w:val="0"/>
                <w:sz w:val="16"/>
                <w:szCs w:val="16"/>
              </w:rPr>
            </w:pPr>
            <w:r>
              <w:rPr>
                <w:b w:val="0"/>
                <w:bCs w:val="0"/>
                <w:w w:val="100"/>
                <w:sz w:val="16"/>
                <w:szCs w:val="16"/>
              </w:rPr>
              <w:t>3</w:t>
            </w:r>
          </w:p>
        </w:tc>
        <w:tc>
          <w:tcPr>
            <w:tcW w:w="993" w:type="dxa"/>
            <w:tcBorders>
              <w:top w:val="nil"/>
              <w:left w:val="nil"/>
              <w:right w:val="nil"/>
            </w:tcBorders>
          </w:tcPr>
          <w:p w14:paraId="10F1D8A0"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29101D23" w14:textId="5D06A769"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851" w:type="dxa"/>
            <w:tcBorders>
              <w:top w:val="nil"/>
              <w:left w:val="nil"/>
              <w:right w:val="nil"/>
            </w:tcBorders>
          </w:tcPr>
          <w:p w14:paraId="6A3A853B" w14:textId="43F0FEC6"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992" w:type="dxa"/>
            <w:tcBorders>
              <w:top w:val="nil"/>
              <w:left w:val="nil"/>
              <w:right w:val="nil"/>
            </w:tcBorders>
          </w:tcPr>
          <w:p w14:paraId="62160724"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021CE0B3" w14:textId="0DBC45E4" w:rsidR="00614664" w:rsidRDefault="00B52489"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right w:val="nil"/>
            </w:tcBorders>
            <w:tcMar>
              <w:top w:w="120" w:type="dxa"/>
              <w:left w:w="120" w:type="dxa"/>
              <w:bottom w:w="60" w:type="dxa"/>
              <w:right w:w="120" w:type="dxa"/>
            </w:tcMar>
          </w:tcPr>
          <w:p w14:paraId="28E4E6BB" w14:textId="32C235EA" w:rsidR="00614664" w:rsidRDefault="00B52489" w:rsidP="007408E0">
            <w:pPr>
              <w:pStyle w:val="A1FigTitle"/>
              <w:spacing w:before="0" w:line="160" w:lineRule="atLeast"/>
              <w:rPr>
                <w:b w:val="0"/>
                <w:bCs w:val="0"/>
                <w:sz w:val="16"/>
                <w:szCs w:val="16"/>
              </w:rPr>
            </w:pPr>
            <w:r>
              <w:rPr>
                <w:b w:val="0"/>
                <w:bCs w:val="0"/>
                <w:w w:val="100"/>
                <w:sz w:val="16"/>
                <w:szCs w:val="16"/>
              </w:rPr>
              <w:t>1</w:t>
            </w:r>
          </w:p>
        </w:tc>
        <w:tc>
          <w:tcPr>
            <w:tcW w:w="1559" w:type="dxa"/>
            <w:tcBorders>
              <w:top w:val="nil"/>
              <w:left w:val="nil"/>
              <w:right w:val="nil"/>
            </w:tcBorders>
            <w:tcMar>
              <w:top w:w="120" w:type="dxa"/>
              <w:left w:w="120" w:type="dxa"/>
              <w:bottom w:w="60" w:type="dxa"/>
              <w:right w:w="120" w:type="dxa"/>
            </w:tcMar>
          </w:tcPr>
          <w:p w14:paraId="70745426" w14:textId="5D6FA6B4" w:rsidR="00614664" w:rsidRDefault="00B52489" w:rsidP="007408E0">
            <w:pPr>
              <w:pStyle w:val="A1FigTitle"/>
              <w:spacing w:before="0" w:line="160" w:lineRule="atLeast"/>
              <w:rPr>
                <w:b w:val="0"/>
                <w:bCs w:val="0"/>
                <w:sz w:val="16"/>
                <w:szCs w:val="16"/>
              </w:rPr>
            </w:pPr>
            <w:r>
              <w:rPr>
                <w:b w:val="0"/>
                <w:bCs w:val="0"/>
                <w:w w:val="100"/>
                <w:sz w:val="16"/>
                <w:szCs w:val="16"/>
              </w:rPr>
              <w:t>4</w:t>
            </w:r>
          </w:p>
        </w:tc>
      </w:tr>
    </w:tbl>
    <w:p w14:paraId="18462306" w14:textId="77777777" w:rsidR="00751822" w:rsidRDefault="003B6D9B" w:rsidP="00DF6B97">
      <w:pPr>
        <w:rPr>
          <w:rFonts w:eastAsia="Malgun Gothic"/>
          <w:b/>
          <w:bCs/>
          <w:iCs/>
          <w:lang w:eastAsia="ko-KR"/>
        </w:rPr>
      </w:pPr>
      <w:r>
        <w:rPr>
          <w:rFonts w:eastAsia="Malgun Gothic"/>
          <w:b/>
          <w:bCs/>
          <w:iCs/>
          <w:lang w:eastAsia="ko-KR"/>
        </w:rPr>
        <w:t xml:space="preserve"> </w:t>
      </w:r>
    </w:p>
    <w:tbl>
      <w:tblPr>
        <w:tblW w:w="8080" w:type="dxa"/>
        <w:jc w:val="center"/>
        <w:tblLayout w:type="fixed"/>
        <w:tblCellMar>
          <w:top w:w="120" w:type="dxa"/>
          <w:left w:w="120" w:type="dxa"/>
          <w:bottom w:w="60" w:type="dxa"/>
          <w:right w:w="120" w:type="dxa"/>
        </w:tblCellMar>
        <w:tblLook w:val="0000" w:firstRow="0" w:lastRow="0" w:firstColumn="0" w:lastColumn="0" w:noHBand="0" w:noVBand="0"/>
      </w:tblPr>
      <w:tblGrid>
        <w:gridCol w:w="567"/>
        <w:gridCol w:w="1418"/>
        <w:gridCol w:w="992"/>
        <w:gridCol w:w="1134"/>
        <w:gridCol w:w="851"/>
        <w:gridCol w:w="850"/>
        <w:gridCol w:w="1276"/>
        <w:gridCol w:w="992"/>
      </w:tblGrid>
      <w:tr w:rsidR="00A30F27" w14:paraId="288BFB28" w14:textId="77777777" w:rsidTr="0046014F">
        <w:trPr>
          <w:trHeight w:val="560"/>
          <w:jc w:val="center"/>
        </w:trPr>
        <w:tc>
          <w:tcPr>
            <w:tcW w:w="567" w:type="dxa"/>
            <w:tcBorders>
              <w:top w:val="nil"/>
              <w:left w:val="nil"/>
              <w:bottom w:val="nil"/>
              <w:right w:val="nil"/>
            </w:tcBorders>
            <w:tcMar>
              <w:top w:w="120" w:type="dxa"/>
              <w:left w:w="120" w:type="dxa"/>
              <w:bottom w:w="60" w:type="dxa"/>
              <w:right w:w="120" w:type="dxa"/>
            </w:tcMar>
          </w:tcPr>
          <w:p w14:paraId="55BA4C62" w14:textId="77777777" w:rsidR="00A30F27" w:rsidRDefault="00A30F27" w:rsidP="007408E0">
            <w:pPr>
              <w:pStyle w:val="A1FigTitle"/>
              <w:spacing w:before="0" w:line="160" w:lineRule="atLeast"/>
              <w:rPr>
                <w:b w:val="0"/>
                <w:bCs w:val="0"/>
                <w:sz w:val="16"/>
                <w:szCs w:val="16"/>
              </w:rPr>
            </w:pPr>
          </w:p>
        </w:tc>
        <w:tc>
          <w:tcPr>
            <w:tcW w:w="14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36AE73" w14:textId="77777777" w:rsidR="00A30F27" w:rsidRPr="00BF3EDF" w:rsidRDefault="00A30F27" w:rsidP="00BF3EDF">
            <w:pPr>
              <w:pStyle w:val="figuretext"/>
              <w:rPr>
                <w:w w:val="100"/>
              </w:rPr>
            </w:pPr>
            <w:r w:rsidRPr="00BF3EDF">
              <w:rPr>
                <w:w w:val="100"/>
              </w:rPr>
              <w:t>Min Time</w:t>
            </w:r>
          </w:p>
          <w:p w14:paraId="49CF4625" w14:textId="77777777" w:rsidR="00A30F27" w:rsidRPr="00BF3EDF" w:rsidRDefault="00A30F27" w:rsidP="00BF3EDF">
            <w:pPr>
              <w:pStyle w:val="figuretext"/>
              <w:rPr>
                <w:w w:val="100"/>
              </w:rPr>
            </w:pPr>
            <w:r w:rsidRPr="00BF3EDF">
              <w:rPr>
                <w:w w:val="100"/>
              </w:rPr>
              <w:t>Between</w:t>
            </w:r>
          </w:p>
          <w:p w14:paraId="67113613" w14:textId="2FC2E783" w:rsidR="00A30F27" w:rsidRPr="00940947" w:rsidRDefault="00A30F27" w:rsidP="00BF3EDF">
            <w:pPr>
              <w:pStyle w:val="figuretext"/>
              <w:rPr>
                <w:w w:val="100"/>
              </w:rPr>
            </w:pPr>
            <w:r w:rsidRPr="00BF3EDF">
              <w:rPr>
                <w:w w:val="100"/>
              </w:rPr>
              <w:t>Measurements</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66ACFF79" w14:textId="77777777" w:rsidR="00A30F27" w:rsidRPr="00BF3EDF" w:rsidRDefault="00A30F27" w:rsidP="00BF3EDF">
            <w:pPr>
              <w:pStyle w:val="figuretext"/>
              <w:rPr>
                <w:w w:val="100"/>
              </w:rPr>
            </w:pPr>
            <w:r w:rsidRPr="00BF3EDF">
              <w:rPr>
                <w:w w:val="100"/>
              </w:rPr>
              <w:t>Poll</w:t>
            </w:r>
          </w:p>
          <w:p w14:paraId="1A545504" w14:textId="15D1B3DB" w:rsidR="00A30F27" w:rsidRDefault="00A30F27" w:rsidP="00BF3EDF">
            <w:pPr>
              <w:pStyle w:val="figuretext"/>
              <w:rPr>
                <w:w w:val="100"/>
              </w:rPr>
            </w:pPr>
            <w:r w:rsidRPr="00BF3EDF">
              <w:rPr>
                <w:w w:val="100"/>
              </w:rPr>
              <w:t>Required</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0840D203" w14:textId="6DAAC275" w:rsidR="00A30F27" w:rsidRPr="00F13CB7" w:rsidRDefault="00A30F27" w:rsidP="00F13CB7">
            <w:pPr>
              <w:pStyle w:val="figuretext"/>
              <w:rPr>
                <w:w w:val="100"/>
              </w:rPr>
            </w:pPr>
            <w:r w:rsidRPr="00F13CB7">
              <w:rPr>
                <w:w w:val="100"/>
              </w:rPr>
              <w:t>Threshold</w:t>
            </w:r>
            <w:r>
              <w:rPr>
                <w:w w:val="100"/>
              </w:rPr>
              <w:t>-</w:t>
            </w:r>
            <w:r w:rsidRPr="00F13CB7">
              <w:rPr>
                <w:w w:val="100"/>
              </w:rPr>
              <w:t>based</w:t>
            </w:r>
          </w:p>
          <w:p w14:paraId="697F1ADE" w14:textId="39C56C98" w:rsidR="00A30F27" w:rsidRDefault="00A30F27" w:rsidP="00F13CB7">
            <w:pPr>
              <w:pStyle w:val="figuretext"/>
              <w:rPr>
                <w:w w:val="100"/>
              </w:rPr>
            </w:pPr>
            <w:r w:rsidRPr="00F13CB7">
              <w:rPr>
                <w:w w:val="100"/>
              </w:rPr>
              <w:t>Reporting</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1FE139C" w14:textId="0E17DB78" w:rsidR="00A30F27" w:rsidRDefault="00A30F27" w:rsidP="007408E0">
            <w:pPr>
              <w:pStyle w:val="figuretext"/>
              <w:rPr>
                <w:w w:val="100"/>
              </w:rPr>
            </w:pPr>
            <w:r w:rsidRPr="00943A17">
              <w:rPr>
                <w:w w:val="100"/>
              </w:rPr>
              <w:t>N</w:t>
            </w:r>
            <w:r w:rsidRPr="0046014F">
              <w:rPr>
                <w:w w:val="100"/>
                <w:sz w:val="12"/>
              </w:rPr>
              <w:t>g</w:t>
            </w:r>
            <w:r w:rsidRPr="00943A17">
              <w:rPr>
                <w:w w:val="100"/>
              </w:rPr>
              <w:t xml:space="preserve"> = 16</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69D52F8A" w14:textId="08E511C2" w:rsidR="00A30F27" w:rsidRPr="00A30F27" w:rsidRDefault="00A30F27" w:rsidP="00A30F27">
            <w:pPr>
              <w:autoSpaceDE w:val="0"/>
              <w:autoSpaceDN w:val="0"/>
              <w:adjustRightInd w:val="0"/>
              <w:rPr>
                <w:rFonts w:ascii="Arial" w:hAnsi="Arial" w:cs="Arial"/>
                <w:sz w:val="16"/>
                <w:szCs w:val="16"/>
                <w:lang w:val="en-US"/>
              </w:rPr>
            </w:pPr>
            <w:r>
              <w:rPr>
                <w:rFonts w:ascii="Arial" w:hAnsi="Arial" w:cs="Arial"/>
                <w:sz w:val="16"/>
                <w:szCs w:val="16"/>
                <w:lang w:val="en-US"/>
              </w:rPr>
              <w:t>SR2SR Support</w:t>
            </w:r>
          </w:p>
        </w:tc>
        <w:tc>
          <w:tcPr>
            <w:tcW w:w="1276" w:type="dxa"/>
            <w:tcBorders>
              <w:top w:val="single" w:sz="10" w:space="0" w:color="000000"/>
              <w:left w:val="single" w:sz="10" w:space="0" w:color="000000"/>
              <w:bottom w:val="single" w:sz="10" w:space="0" w:color="000000"/>
              <w:right w:val="single" w:sz="10" w:space="0" w:color="000000"/>
            </w:tcBorders>
            <w:vAlign w:val="center"/>
          </w:tcPr>
          <w:p w14:paraId="1C9246AA" w14:textId="77777777" w:rsidR="00A30F27" w:rsidRPr="00A30F27" w:rsidRDefault="00A30F27" w:rsidP="00A30F27">
            <w:pPr>
              <w:pStyle w:val="figuretext"/>
              <w:rPr>
                <w:w w:val="100"/>
              </w:rPr>
            </w:pPr>
            <w:r w:rsidRPr="00A30F27">
              <w:rPr>
                <w:w w:val="100"/>
              </w:rPr>
              <w:t>Maximum</w:t>
            </w:r>
          </w:p>
          <w:p w14:paraId="32ADA965" w14:textId="77777777" w:rsidR="00A30F27" w:rsidRPr="00A30F27" w:rsidRDefault="00A30F27" w:rsidP="00A30F27">
            <w:pPr>
              <w:pStyle w:val="figuretext"/>
              <w:rPr>
                <w:w w:val="100"/>
              </w:rPr>
            </w:pPr>
            <w:r w:rsidRPr="00A30F27">
              <w:rPr>
                <w:w w:val="100"/>
              </w:rPr>
              <w:t>Number of</w:t>
            </w:r>
          </w:p>
          <w:p w14:paraId="00B69F0B" w14:textId="4B486607" w:rsidR="00A30F27" w:rsidRPr="00927CF9" w:rsidRDefault="00A30F27" w:rsidP="00A30F27">
            <w:pPr>
              <w:pStyle w:val="figuretext"/>
              <w:rPr>
                <w:w w:val="100"/>
              </w:rPr>
            </w:pPr>
            <w:r w:rsidRPr="00A30F27">
              <w:rPr>
                <w:w w:val="100"/>
              </w:rPr>
              <w:t>RX Antennas</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4EDA3" w14:textId="63C42F6C" w:rsidR="00A30F27" w:rsidRDefault="00A30F27" w:rsidP="007408E0">
            <w:pPr>
              <w:pStyle w:val="figuretext"/>
            </w:pPr>
            <w:r>
              <w:t>Reserved</w:t>
            </w:r>
          </w:p>
        </w:tc>
      </w:tr>
      <w:tr w:rsidR="00A30F27" w14:paraId="0EDA6923" w14:textId="77777777" w:rsidTr="00717E92">
        <w:trPr>
          <w:trHeight w:val="320"/>
          <w:jc w:val="center"/>
        </w:trPr>
        <w:tc>
          <w:tcPr>
            <w:tcW w:w="567" w:type="dxa"/>
            <w:tcBorders>
              <w:top w:val="nil"/>
              <w:left w:val="nil"/>
              <w:bottom w:val="nil"/>
              <w:right w:val="nil"/>
            </w:tcBorders>
            <w:tcMar>
              <w:top w:w="120" w:type="dxa"/>
              <w:left w:w="120" w:type="dxa"/>
              <w:bottom w:w="60" w:type="dxa"/>
              <w:right w:w="120" w:type="dxa"/>
            </w:tcMar>
          </w:tcPr>
          <w:p w14:paraId="1D2F03C7" w14:textId="77777777" w:rsidR="00A30F27" w:rsidRDefault="00A30F27" w:rsidP="007408E0">
            <w:pPr>
              <w:pStyle w:val="A1FigTitle"/>
              <w:spacing w:before="0" w:line="160" w:lineRule="atLeast"/>
              <w:rPr>
                <w:b w:val="0"/>
                <w:bCs w:val="0"/>
                <w:sz w:val="16"/>
                <w:szCs w:val="16"/>
              </w:rPr>
            </w:pPr>
            <w:r>
              <w:rPr>
                <w:b w:val="0"/>
                <w:bCs w:val="0"/>
                <w:w w:val="100"/>
                <w:sz w:val="16"/>
                <w:szCs w:val="16"/>
              </w:rPr>
              <w:t>Bits:</w:t>
            </w:r>
          </w:p>
        </w:tc>
        <w:tc>
          <w:tcPr>
            <w:tcW w:w="1418" w:type="dxa"/>
            <w:tcBorders>
              <w:top w:val="nil"/>
              <w:left w:val="nil"/>
              <w:bottom w:val="nil"/>
              <w:right w:val="nil"/>
            </w:tcBorders>
            <w:tcMar>
              <w:top w:w="120" w:type="dxa"/>
              <w:left w:w="120" w:type="dxa"/>
              <w:bottom w:w="60" w:type="dxa"/>
              <w:right w:w="120" w:type="dxa"/>
            </w:tcMar>
          </w:tcPr>
          <w:p w14:paraId="2FB09F64" w14:textId="43455683" w:rsidR="00A30F27" w:rsidRDefault="007A105B" w:rsidP="007408E0">
            <w:pPr>
              <w:pStyle w:val="A1FigTitle"/>
              <w:spacing w:before="0" w:line="160" w:lineRule="atLeast"/>
              <w:rPr>
                <w:b w:val="0"/>
                <w:bCs w:val="0"/>
                <w:sz w:val="16"/>
                <w:szCs w:val="16"/>
              </w:rPr>
            </w:pPr>
            <w:r>
              <w:rPr>
                <w:b w:val="0"/>
                <w:bCs w:val="0"/>
                <w:w w:val="100"/>
                <w:sz w:val="16"/>
                <w:szCs w:val="16"/>
              </w:rPr>
              <w:t>23</w:t>
            </w:r>
          </w:p>
        </w:tc>
        <w:tc>
          <w:tcPr>
            <w:tcW w:w="992" w:type="dxa"/>
            <w:tcBorders>
              <w:top w:val="nil"/>
              <w:left w:val="nil"/>
              <w:bottom w:val="nil"/>
              <w:right w:val="nil"/>
            </w:tcBorders>
          </w:tcPr>
          <w:p w14:paraId="25DF9EB7" w14:textId="7484DDD8"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134" w:type="dxa"/>
            <w:tcBorders>
              <w:top w:val="nil"/>
              <w:left w:val="nil"/>
              <w:bottom w:val="nil"/>
              <w:right w:val="nil"/>
            </w:tcBorders>
          </w:tcPr>
          <w:p w14:paraId="0ED88EBA" w14:textId="2D246267"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1" w:type="dxa"/>
            <w:tcBorders>
              <w:top w:val="nil"/>
              <w:left w:val="nil"/>
              <w:bottom w:val="nil"/>
              <w:right w:val="nil"/>
            </w:tcBorders>
          </w:tcPr>
          <w:p w14:paraId="24E82A8C" w14:textId="10D0E72A"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0" w:type="dxa"/>
            <w:tcBorders>
              <w:top w:val="nil"/>
              <w:left w:val="nil"/>
              <w:bottom w:val="nil"/>
              <w:right w:val="nil"/>
            </w:tcBorders>
          </w:tcPr>
          <w:p w14:paraId="79B50071" w14:textId="0A620253"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bottom w:val="nil"/>
              <w:right w:val="nil"/>
            </w:tcBorders>
          </w:tcPr>
          <w:p w14:paraId="2FDEE91C" w14:textId="77777777" w:rsidR="00A30F27" w:rsidRDefault="00A30F27"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bottom w:val="nil"/>
              <w:right w:val="nil"/>
            </w:tcBorders>
            <w:tcMar>
              <w:top w:w="120" w:type="dxa"/>
              <w:left w:w="120" w:type="dxa"/>
              <w:bottom w:w="60" w:type="dxa"/>
              <w:right w:w="120" w:type="dxa"/>
            </w:tcMar>
          </w:tcPr>
          <w:p w14:paraId="15A1ACF8" w14:textId="317E3D49" w:rsidR="00A30F27" w:rsidRDefault="007A105B" w:rsidP="007408E0">
            <w:pPr>
              <w:pStyle w:val="A1FigTitle"/>
              <w:spacing w:before="0" w:line="160" w:lineRule="atLeast"/>
              <w:rPr>
                <w:b w:val="0"/>
                <w:bCs w:val="0"/>
                <w:sz w:val="16"/>
                <w:szCs w:val="16"/>
              </w:rPr>
            </w:pPr>
            <w:r>
              <w:rPr>
                <w:b w:val="0"/>
                <w:bCs w:val="0"/>
                <w:w w:val="100"/>
                <w:sz w:val="16"/>
                <w:szCs w:val="16"/>
              </w:rPr>
              <w:t>1</w:t>
            </w:r>
          </w:p>
        </w:tc>
      </w:tr>
      <w:tr w:rsidR="00717E92" w14:paraId="1A05C07F" w14:textId="77777777" w:rsidTr="002E1063">
        <w:trPr>
          <w:trHeight w:val="320"/>
          <w:jc w:val="center"/>
        </w:trPr>
        <w:tc>
          <w:tcPr>
            <w:tcW w:w="8080" w:type="dxa"/>
            <w:gridSpan w:val="8"/>
            <w:tcBorders>
              <w:top w:val="nil"/>
              <w:left w:val="nil"/>
              <w:right w:val="nil"/>
            </w:tcBorders>
            <w:tcMar>
              <w:top w:w="120" w:type="dxa"/>
              <w:left w:w="120" w:type="dxa"/>
              <w:bottom w:w="60" w:type="dxa"/>
              <w:right w:w="120" w:type="dxa"/>
            </w:tcMar>
          </w:tcPr>
          <w:p w14:paraId="58F715A2" w14:textId="3B121582" w:rsidR="00717E92" w:rsidRPr="00511A52" w:rsidRDefault="00AB3858" w:rsidP="007408E0">
            <w:pPr>
              <w:pStyle w:val="A1FigTitle"/>
              <w:spacing w:before="0" w:line="160" w:lineRule="atLeast"/>
              <w:rPr>
                <w:bCs w:val="0"/>
                <w:w w:val="100"/>
              </w:rPr>
            </w:pPr>
            <w:r w:rsidRPr="00511A52">
              <w:rPr>
                <w:bCs w:val="0"/>
                <w:w w:val="100"/>
              </w:rPr>
              <w:t>Figure 9-1002bb—Sensing field format</w:t>
            </w:r>
            <w:r w:rsidR="002006D0" w:rsidRPr="00511A52">
              <w:rPr>
                <w:bCs w:val="0"/>
                <w:w w:val="100"/>
              </w:rPr>
              <w:t xml:space="preserve"> </w:t>
            </w:r>
            <w:r w:rsidR="002006D0" w:rsidRPr="00511A52">
              <w:rPr>
                <w:rFonts w:eastAsia="Malgun Gothic"/>
                <w:i/>
                <w:iCs/>
                <w:highlight w:val="yellow"/>
                <w:lang w:eastAsia="ko-KR"/>
              </w:rPr>
              <w:t>(</w:t>
            </w:r>
            <w:r w:rsidR="002006D0" w:rsidRPr="00511A52">
              <w:rPr>
                <w:rFonts w:eastAsia="Malgun Gothic"/>
                <w:bCs w:val="0"/>
                <w:i/>
                <w:iCs/>
                <w:highlight w:val="yellow"/>
                <w:lang w:eastAsia="ko-KR"/>
              </w:rPr>
              <w:t>1555</w:t>
            </w:r>
            <w:r w:rsidR="002006D0" w:rsidRPr="00511A52">
              <w:rPr>
                <w:rFonts w:eastAsia="Malgun Gothic"/>
                <w:i/>
                <w:iCs/>
                <w:highlight w:val="yellow"/>
                <w:lang w:eastAsia="ko-KR"/>
              </w:rPr>
              <w:t>)</w:t>
            </w:r>
          </w:p>
        </w:tc>
      </w:tr>
    </w:tbl>
    <w:p w14:paraId="26F9FBEC" w14:textId="4018C67E" w:rsidR="00614664" w:rsidRPr="001B5374" w:rsidRDefault="001B286B" w:rsidP="001B286B">
      <w:pPr>
        <w:rPr>
          <w:rFonts w:eastAsia="Malgun Gothic"/>
          <w:bCs/>
          <w:iCs/>
          <w:szCs w:val="24"/>
          <w:lang w:eastAsia="ko-KR"/>
        </w:rPr>
      </w:pPr>
      <w:r w:rsidRPr="001B5374">
        <w:rPr>
          <w:rFonts w:eastAsia="Malgun Gothic"/>
          <w:bCs/>
          <w:iCs/>
          <w:szCs w:val="24"/>
          <w:lang w:eastAsia="ko-KR"/>
        </w:rPr>
        <w:t xml:space="preserve">The </w:t>
      </w:r>
      <w:r w:rsidRPr="001B5374">
        <w:rPr>
          <w:rFonts w:eastAsia="Malgun Gothic"/>
          <w:bCs/>
          <w:iCs/>
          <w:strike/>
          <w:szCs w:val="24"/>
          <w:lang w:eastAsia="ko-KR"/>
        </w:rPr>
        <w:t>Responders</w:t>
      </w:r>
      <w:r w:rsidRPr="001B5374">
        <w:rPr>
          <w:rFonts w:eastAsia="Malgun Gothic"/>
          <w:bCs/>
          <w:iCs/>
          <w:szCs w:val="24"/>
          <w:lang w:eastAsia="ko-KR"/>
        </w:rPr>
        <w:t xml:space="preserve"> </w:t>
      </w:r>
      <w:r w:rsidR="001B5374" w:rsidRPr="001B5374">
        <w:rPr>
          <w:rFonts w:eastAsia="Malgun Gothic"/>
          <w:bCs/>
          <w:iCs/>
          <w:szCs w:val="24"/>
          <w:u w:val="single"/>
          <w:lang w:eastAsia="ko-KR"/>
        </w:rPr>
        <w:t>Responder</w:t>
      </w:r>
      <w:r w:rsidR="001B5374" w:rsidRPr="00F901CD">
        <w:rPr>
          <w:rFonts w:eastAsia="Malgun Gothic"/>
          <w:bCs/>
          <w:iCs/>
          <w:szCs w:val="24"/>
          <w:lang w:eastAsia="ko-KR"/>
        </w:rPr>
        <w:t xml:space="preserve"> </w:t>
      </w:r>
      <w:r w:rsidRPr="001B5374">
        <w:rPr>
          <w:rFonts w:eastAsia="Malgun Gothic"/>
          <w:bCs/>
          <w:iCs/>
          <w:szCs w:val="24"/>
          <w:lang w:eastAsia="ko-KR"/>
        </w:rPr>
        <w:t xml:space="preserve">Needed </w:t>
      </w:r>
      <w:r w:rsidR="001B5374" w:rsidRPr="009872FD">
        <w:rPr>
          <w:rFonts w:eastAsia="Malgun Gothic"/>
          <w:bCs/>
          <w:iCs/>
          <w:strike/>
          <w:szCs w:val="24"/>
          <w:lang w:eastAsia="ko-KR"/>
        </w:rPr>
        <w:t>subfield</w:t>
      </w:r>
      <w:r w:rsidR="001B5374" w:rsidRPr="00F901CD">
        <w:rPr>
          <w:rFonts w:eastAsia="Malgun Gothic"/>
          <w:bCs/>
          <w:iCs/>
          <w:szCs w:val="24"/>
          <w:lang w:eastAsia="ko-KR"/>
        </w:rPr>
        <w:t xml:space="preserve"> </w:t>
      </w:r>
      <w:r w:rsidR="001B5374" w:rsidRPr="009872FD">
        <w:rPr>
          <w:rFonts w:eastAsia="Malgun Gothic"/>
          <w:bCs/>
          <w:iCs/>
          <w:szCs w:val="24"/>
          <w:u w:val="single"/>
          <w:lang w:eastAsia="ko-KR"/>
        </w:rPr>
        <w:t>field</w:t>
      </w:r>
      <w:r w:rsidR="001B5374">
        <w:rPr>
          <w:rFonts w:eastAsia="Malgun Gothic"/>
          <w:bCs/>
          <w:iCs/>
          <w:szCs w:val="24"/>
          <w:lang w:eastAsia="ko-KR"/>
        </w:rPr>
        <w:t xml:space="preserve"> </w:t>
      </w:r>
      <w:r w:rsidRPr="001B5374">
        <w:rPr>
          <w:rFonts w:eastAsia="Malgun Gothic"/>
          <w:bCs/>
          <w:iCs/>
          <w:szCs w:val="24"/>
          <w:lang w:eastAsia="ko-KR"/>
        </w:rPr>
        <w:t>is set to 1 to indicate the need for new sensing responders, and is set to 0 to indicate that new sensing responders are not needed.</w:t>
      </w:r>
      <w:r w:rsidR="004837AC" w:rsidRPr="004837AC">
        <w:rPr>
          <w:rFonts w:eastAsia="Malgun Gothic"/>
          <w:bCs/>
          <w:i/>
          <w:iCs/>
          <w:szCs w:val="24"/>
          <w:lang w:eastAsia="ko-KR"/>
        </w:rPr>
        <w:t xml:space="preserve"> </w:t>
      </w:r>
      <w:r w:rsidR="00160D2F" w:rsidRPr="008167DD">
        <w:rPr>
          <w:rFonts w:eastAsia="Malgun Gothic"/>
          <w:bCs/>
          <w:i/>
          <w:iCs/>
          <w:szCs w:val="24"/>
          <w:highlight w:val="yellow"/>
          <w:lang w:eastAsia="ko-KR"/>
        </w:rPr>
        <w:t>(</w:t>
      </w:r>
      <w:r w:rsidR="00160D2F">
        <w:rPr>
          <w:rFonts w:eastAsia="Malgun Gothic"/>
          <w:bCs/>
          <w:i/>
          <w:iCs/>
          <w:szCs w:val="24"/>
          <w:highlight w:val="yellow"/>
          <w:lang w:eastAsia="ko-KR"/>
        </w:rPr>
        <w:t>1555</w:t>
      </w:r>
      <w:r w:rsidR="00160D2F" w:rsidRPr="008167DD">
        <w:rPr>
          <w:rFonts w:eastAsia="Malgun Gothic"/>
          <w:bCs/>
          <w:i/>
          <w:iCs/>
          <w:szCs w:val="24"/>
          <w:highlight w:val="yellow"/>
          <w:lang w:eastAsia="ko-KR"/>
        </w:rPr>
        <w:t>)</w:t>
      </w:r>
    </w:p>
    <w:p w14:paraId="23A5B1A9" w14:textId="77777777" w:rsidR="00BC7110" w:rsidRDefault="00BC7110" w:rsidP="00DF6B97">
      <w:pPr>
        <w:rPr>
          <w:rFonts w:eastAsia="Malgun Gothic"/>
          <w:b/>
          <w:bCs/>
          <w:iCs/>
          <w:lang w:eastAsia="ko-KR"/>
        </w:rPr>
      </w:pPr>
    </w:p>
    <w:p w14:paraId="5518C199" w14:textId="166BF62A" w:rsidR="00C177D3" w:rsidRDefault="00C177D3" w:rsidP="00C177D3">
      <w:pPr>
        <w:rPr>
          <w:b/>
          <w:highlight w:val="yellow"/>
        </w:rPr>
      </w:pPr>
    </w:p>
    <w:p w14:paraId="46CF79E1" w14:textId="3D1F7CB9" w:rsidR="00950F21" w:rsidRPr="00147897" w:rsidRDefault="00950F21" w:rsidP="00C177D3">
      <w:pPr>
        <w:rPr>
          <w:b/>
          <w:highlight w:val="yellow"/>
        </w:rPr>
      </w:pPr>
      <w:r w:rsidRPr="00950F21">
        <w:rPr>
          <w:b/>
        </w:rPr>
        <w:t>11.55.1.3 Sensing session setup</w:t>
      </w:r>
    </w:p>
    <w:p w14:paraId="31C7E373" w14:textId="77777777" w:rsidR="00C177D3" w:rsidRDefault="00C177D3" w:rsidP="00C177D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P170L49 as follows</w:t>
      </w:r>
      <w:r w:rsidRPr="00BE7840">
        <w:rPr>
          <w:i/>
          <w:highlight w:val="yellow"/>
        </w:rPr>
        <w:t>:</w:t>
      </w:r>
    </w:p>
    <w:p w14:paraId="5C6D7696" w14:textId="0A6000E7" w:rsidR="00C177D3" w:rsidRPr="00F901CD" w:rsidRDefault="00C177D3" w:rsidP="0091361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009872FD" w:rsidRPr="009872FD">
        <w:rPr>
          <w:rFonts w:eastAsia="Malgun Gothic"/>
          <w:bCs/>
          <w:iCs/>
          <w:szCs w:val="24"/>
          <w:u w:val="single"/>
          <w:lang w:eastAsia="ko-KR"/>
        </w:rPr>
        <w:t>field</w:t>
      </w:r>
      <w:r w:rsidR="009872FD">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0061143D" w:rsidRPr="009872FD">
        <w:rPr>
          <w:rFonts w:eastAsia="Malgun Gothic"/>
          <w:bCs/>
          <w:iCs/>
          <w:szCs w:val="24"/>
          <w:u w:val="single"/>
          <w:lang w:eastAsia="ko-KR"/>
        </w:rPr>
        <w:t>The</w:t>
      </w:r>
      <w:r w:rsidR="00A104EB" w:rsidRPr="009872FD">
        <w:rPr>
          <w:rFonts w:eastAsia="Malgun Gothic"/>
          <w:bCs/>
          <w:iCs/>
          <w:szCs w:val="24"/>
          <w:u w:val="single"/>
          <w:lang w:eastAsia="ko-KR"/>
        </w:rPr>
        <w:t xml:space="preserve"> Responder Needed field in the Sensing element within </w:t>
      </w:r>
      <w:r w:rsidR="0091361C" w:rsidRPr="009872FD">
        <w:rPr>
          <w:rFonts w:eastAsia="Malgun Gothic"/>
          <w:bCs/>
          <w:iCs/>
          <w:szCs w:val="24"/>
          <w:u w:val="single"/>
          <w:lang w:eastAsia="ko-KR"/>
        </w:rPr>
        <w:t>Association Request, Association Response, Reassociation</w:t>
      </w:r>
      <w:r w:rsidR="00A104EB" w:rsidRPr="009872FD">
        <w:rPr>
          <w:rFonts w:eastAsia="Malgun Gothic"/>
          <w:bCs/>
          <w:iCs/>
          <w:szCs w:val="24"/>
          <w:u w:val="single"/>
          <w:lang w:eastAsia="ko-KR"/>
        </w:rPr>
        <w:t xml:space="preserve"> </w:t>
      </w:r>
      <w:r w:rsidR="0091361C" w:rsidRPr="009872FD">
        <w:rPr>
          <w:rFonts w:eastAsia="Malgun Gothic"/>
          <w:bCs/>
          <w:iCs/>
          <w:szCs w:val="24"/>
          <w:u w:val="single"/>
          <w:lang w:eastAsia="ko-KR"/>
        </w:rPr>
        <w:t>Request, Reassociation Response, and Sensing Measurement Setup Query frames</w:t>
      </w:r>
      <w:r w:rsidR="00A104EB" w:rsidRPr="009872FD">
        <w:rPr>
          <w:rFonts w:eastAsia="Malgun Gothic"/>
          <w:bCs/>
          <w:iCs/>
          <w:szCs w:val="24"/>
          <w:u w:val="single"/>
          <w:lang w:eastAsia="ko-KR"/>
        </w:rPr>
        <w:t xml:space="preserve"> </w:t>
      </w:r>
      <w:r w:rsidR="0061143D" w:rsidRPr="009872FD">
        <w:rPr>
          <w:rFonts w:eastAsia="Malgun Gothic"/>
          <w:bCs/>
          <w:iCs/>
          <w:szCs w:val="24"/>
          <w:u w:val="single"/>
          <w:lang w:eastAsia="ko-KR"/>
        </w:rPr>
        <w:t xml:space="preserve">shall </w:t>
      </w:r>
      <w:r w:rsidR="00A104EB" w:rsidRPr="009872FD">
        <w:rPr>
          <w:rFonts w:eastAsia="Malgun Gothic"/>
          <w:bCs/>
          <w:iCs/>
          <w:szCs w:val="24"/>
          <w:u w:val="single"/>
          <w:lang w:eastAsia="ko-KR"/>
        </w:rPr>
        <w:t>be set to the reserved value</w:t>
      </w:r>
      <w:r w:rsidR="0091361C" w:rsidRPr="009872FD">
        <w:rPr>
          <w:rFonts w:eastAsia="Malgun Gothic"/>
          <w:bCs/>
          <w:iCs/>
          <w:szCs w:val="24"/>
          <w:u w:val="single"/>
          <w:lang w:eastAsia="ko-KR"/>
        </w:rPr>
        <w:t>.</w:t>
      </w:r>
      <w:r w:rsidR="0091361C"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w:t>
      </w:r>
      <w:r w:rsidR="008167DD" w:rsidRPr="008167DD">
        <w:rPr>
          <w:rFonts w:eastAsia="Malgun Gothic"/>
          <w:bCs/>
          <w:i/>
          <w:iCs/>
          <w:szCs w:val="24"/>
          <w:highlight w:val="yellow"/>
          <w:lang w:eastAsia="ko-KR"/>
        </w:rPr>
        <w:t>1083, 1526, 1556</w:t>
      </w:r>
      <w:r w:rsidRPr="008167DD">
        <w:rPr>
          <w:rFonts w:eastAsia="Malgun Gothic"/>
          <w:bCs/>
          <w:i/>
          <w:iCs/>
          <w:szCs w:val="24"/>
          <w:highlight w:val="yellow"/>
          <w:lang w:eastAsia="ko-KR"/>
        </w:rPr>
        <w:t xml:space="preserve">) </w:t>
      </w:r>
    </w:p>
    <w:p w14:paraId="6E6B4117" w14:textId="39154BCB" w:rsidR="00C177D3" w:rsidRPr="0084292B" w:rsidRDefault="00207D79" w:rsidP="00C177D3">
      <w:pPr>
        <w:rPr>
          <w:rFonts w:eastAsia="Malgun Gothic"/>
          <w:bCs/>
          <w:i/>
          <w:iCs/>
          <w:szCs w:val="24"/>
          <w:u w:val="single"/>
          <w:lang w:eastAsia="ko-KR"/>
        </w:rPr>
      </w:pPr>
      <w:r w:rsidRPr="0084292B">
        <w:rPr>
          <w:rFonts w:eastAsia="Malgun Gothic"/>
          <w:bCs/>
          <w:i/>
          <w:iCs/>
          <w:szCs w:val="24"/>
          <w:u w:val="single"/>
          <w:lang w:eastAsia="ko-KR"/>
        </w:rPr>
        <w:t>Note – Upon receiving</w:t>
      </w:r>
      <w:r w:rsidR="00A8380E">
        <w:rPr>
          <w:rFonts w:eastAsia="Malgun Gothic"/>
          <w:bCs/>
          <w:i/>
          <w:iCs/>
          <w:szCs w:val="24"/>
          <w:u w:val="single"/>
          <w:lang w:eastAsia="ko-KR"/>
        </w:rPr>
        <w:t xml:space="preserve"> a</w:t>
      </w:r>
      <w:r w:rsidRPr="0084292B">
        <w:rPr>
          <w:rFonts w:eastAsia="Malgun Gothic"/>
          <w:bCs/>
          <w:i/>
          <w:iCs/>
          <w:szCs w:val="24"/>
          <w:u w:val="single"/>
          <w:lang w:eastAsia="ko-KR"/>
        </w:rPr>
        <w:t xml:space="preserve"> Probe Response</w:t>
      </w:r>
      <w:r w:rsidR="00A8380E">
        <w:rPr>
          <w:rFonts w:eastAsia="Malgun Gothic"/>
          <w:bCs/>
          <w:i/>
          <w:iCs/>
          <w:szCs w:val="24"/>
          <w:u w:val="single"/>
          <w:lang w:eastAsia="ko-KR"/>
        </w:rPr>
        <w:t xml:space="preserve"> </w:t>
      </w:r>
      <w:r w:rsidR="00EE6DD4">
        <w:rPr>
          <w:rFonts w:eastAsia="Malgun Gothic"/>
          <w:bCs/>
          <w:i/>
          <w:iCs/>
          <w:szCs w:val="24"/>
          <w:u w:val="single"/>
          <w:lang w:eastAsia="ko-KR"/>
        </w:rPr>
        <w:t xml:space="preserve">frame </w:t>
      </w:r>
      <w:r w:rsidR="00A8380E">
        <w:rPr>
          <w:rFonts w:eastAsia="Malgun Gothic"/>
          <w:bCs/>
          <w:i/>
          <w:iCs/>
          <w:szCs w:val="24"/>
          <w:u w:val="single"/>
          <w:lang w:eastAsia="ko-KR"/>
        </w:rPr>
        <w:t xml:space="preserve">with </w:t>
      </w:r>
      <w:r w:rsidR="00A8380E" w:rsidRPr="00A8380E">
        <w:rPr>
          <w:rFonts w:eastAsia="Malgun Gothic"/>
          <w:bCs/>
          <w:i/>
          <w:iCs/>
          <w:szCs w:val="24"/>
          <w:u w:val="single"/>
          <w:lang w:eastAsia="ko-KR"/>
        </w:rPr>
        <w:t>Responder Needed</w:t>
      </w:r>
      <w:r w:rsidR="00A8380E">
        <w:rPr>
          <w:rFonts w:eastAsia="Malgun Gothic"/>
          <w:bCs/>
          <w:i/>
          <w:iCs/>
          <w:szCs w:val="24"/>
          <w:u w:val="single"/>
          <w:lang w:eastAsia="ko-KR"/>
        </w:rPr>
        <w:t xml:space="preserve"> field set to 1</w:t>
      </w:r>
      <w:r w:rsidRPr="0084292B">
        <w:rPr>
          <w:rFonts w:eastAsia="Malgun Gothic"/>
          <w:bCs/>
          <w:i/>
          <w:iCs/>
          <w:szCs w:val="24"/>
          <w:u w:val="single"/>
          <w:lang w:eastAsia="ko-KR"/>
        </w:rPr>
        <w:t xml:space="preserve">, </w:t>
      </w:r>
      <w:r w:rsidR="00417FEB">
        <w:rPr>
          <w:rFonts w:eastAsia="Malgun Gothic"/>
          <w:bCs/>
          <w:i/>
          <w:iCs/>
          <w:szCs w:val="24"/>
          <w:u w:val="single"/>
          <w:lang w:eastAsia="ko-KR"/>
        </w:rPr>
        <w:t>a</w:t>
      </w:r>
      <w:r w:rsidR="0001604F">
        <w:rPr>
          <w:rFonts w:eastAsia="Malgun Gothic"/>
          <w:bCs/>
          <w:i/>
          <w:iCs/>
          <w:szCs w:val="24"/>
          <w:u w:val="single"/>
          <w:lang w:eastAsia="ko-KR"/>
        </w:rPr>
        <w:t>n</w:t>
      </w:r>
      <w:r w:rsidRPr="0084292B">
        <w:rPr>
          <w:rFonts w:eastAsia="Malgun Gothic"/>
          <w:bCs/>
          <w:i/>
          <w:iCs/>
          <w:szCs w:val="24"/>
          <w:u w:val="single"/>
          <w:lang w:eastAsia="ko-KR"/>
        </w:rPr>
        <w:t xml:space="preserve"> unassociated non-AP STA</w:t>
      </w:r>
      <w:r w:rsidR="00A73A61" w:rsidRPr="0084292B">
        <w:rPr>
          <w:rFonts w:eastAsia="Malgun Gothic"/>
          <w:bCs/>
          <w:i/>
          <w:iCs/>
          <w:szCs w:val="24"/>
          <w:u w:val="single"/>
          <w:lang w:eastAsia="ko-KR"/>
        </w:rPr>
        <w:t xml:space="preserve">, </w:t>
      </w:r>
      <w:r w:rsidR="006E28DB">
        <w:rPr>
          <w:rFonts w:eastAsia="Malgun Gothic"/>
          <w:bCs/>
          <w:i/>
          <w:iCs/>
          <w:szCs w:val="24"/>
          <w:u w:val="single"/>
          <w:lang w:eastAsia="ko-KR"/>
        </w:rPr>
        <w:t>that</w:t>
      </w:r>
      <w:r w:rsidR="00A73A61" w:rsidRPr="0084292B">
        <w:rPr>
          <w:rFonts w:eastAsia="Malgun Gothic"/>
          <w:bCs/>
          <w:i/>
          <w:iCs/>
          <w:szCs w:val="24"/>
          <w:u w:val="single"/>
          <w:lang w:eastAsia="ko-KR"/>
        </w:rPr>
        <w:t xml:space="preserve"> intends to participate in </w:t>
      </w:r>
      <w:r w:rsidR="00AC2225" w:rsidRPr="0084292B">
        <w:rPr>
          <w:rFonts w:eastAsia="Malgun Gothic"/>
          <w:bCs/>
          <w:i/>
          <w:iCs/>
          <w:szCs w:val="24"/>
          <w:u w:val="single"/>
          <w:lang w:eastAsia="ko-KR"/>
        </w:rPr>
        <w:t>a WLAN sensing procedure</w:t>
      </w:r>
      <w:r w:rsidR="00A73A61" w:rsidRPr="0084292B">
        <w:rPr>
          <w:rFonts w:eastAsia="Malgun Gothic"/>
          <w:bCs/>
          <w:i/>
          <w:iCs/>
          <w:szCs w:val="24"/>
          <w:u w:val="single"/>
          <w:lang w:eastAsia="ko-KR"/>
        </w:rPr>
        <w:t>,</w:t>
      </w:r>
      <w:r w:rsidRPr="0084292B">
        <w:rPr>
          <w:rFonts w:eastAsia="Malgun Gothic"/>
          <w:bCs/>
          <w:i/>
          <w:iCs/>
          <w:szCs w:val="24"/>
          <w:u w:val="single"/>
          <w:lang w:eastAsia="ko-KR"/>
        </w:rPr>
        <w:t xml:space="preserve"> is expected to send a Sensing Measurement Setup Query frame to the AP to solicit a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ensing </w:t>
      </w:r>
      <w:r w:rsidR="00F2245F" w:rsidRPr="0084292B">
        <w:rPr>
          <w:rFonts w:eastAsia="Malgun Gothic"/>
          <w:bCs/>
          <w:i/>
          <w:iCs/>
          <w:szCs w:val="24"/>
          <w:u w:val="single"/>
          <w:lang w:eastAsia="ko-KR"/>
        </w:rPr>
        <w:t>m</w:t>
      </w:r>
      <w:r w:rsidRPr="0084292B">
        <w:rPr>
          <w:rFonts w:eastAsia="Malgun Gothic"/>
          <w:bCs/>
          <w:i/>
          <w:iCs/>
          <w:szCs w:val="24"/>
          <w:u w:val="single"/>
          <w:lang w:eastAsia="ko-KR"/>
        </w:rPr>
        <w:t xml:space="preserve">easurement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etup </w:t>
      </w:r>
      <w:r w:rsidR="00F2245F" w:rsidRPr="0084292B">
        <w:rPr>
          <w:rFonts w:eastAsia="Malgun Gothic"/>
          <w:bCs/>
          <w:i/>
          <w:iCs/>
          <w:szCs w:val="24"/>
          <w:u w:val="single"/>
          <w:lang w:eastAsia="ko-KR"/>
        </w:rPr>
        <w:t>r</w:t>
      </w:r>
      <w:r w:rsidRPr="0084292B">
        <w:rPr>
          <w:rFonts w:eastAsia="Malgun Gothic"/>
          <w:bCs/>
          <w:i/>
          <w:iCs/>
          <w:szCs w:val="24"/>
          <w:u w:val="single"/>
          <w:lang w:eastAsia="ko-KR"/>
        </w:rPr>
        <w:t>equest.</w:t>
      </w:r>
      <w:r w:rsidR="00BC52A1">
        <w:rPr>
          <w:rFonts w:eastAsia="Malgun Gothic"/>
          <w:bCs/>
          <w:i/>
          <w:iCs/>
          <w:szCs w:val="24"/>
          <w:u w:val="single"/>
          <w:lang w:eastAsia="ko-KR"/>
        </w:rPr>
        <w:t xml:space="preserve"> A</w:t>
      </w:r>
      <w:r w:rsidR="00B037F5">
        <w:rPr>
          <w:rFonts w:eastAsia="Malgun Gothic"/>
          <w:bCs/>
          <w:i/>
          <w:iCs/>
          <w:szCs w:val="24"/>
          <w:u w:val="single"/>
          <w:lang w:eastAsia="ko-KR"/>
        </w:rPr>
        <w:t>n</w:t>
      </w:r>
      <w:r w:rsidR="00BC52A1">
        <w:rPr>
          <w:rFonts w:eastAsia="Malgun Gothic"/>
          <w:bCs/>
          <w:i/>
          <w:iCs/>
          <w:szCs w:val="24"/>
          <w:u w:val="single"/>
          <w:lang w:eastAsia="ko-KR"/>
        </w:rPr>
        <w:t xml:space="preserve"> associ</w:t>
      </w:r>
      <w:r w:rsidR="00B037F5">
        <w:rPr>
          <w:rFonts w:eastAsia="Malgun Gothic"/>
          <w:bCs/>
          <w:i/>
          <w:iCs/>
          <w:szCs w:val="24"/>
          <w:u w:val="single"/>
          <w:lang w:eastAsia="ko-KR"/>
        </w:rPr>
        <w:t xml:space="preserve">ated non-AP </w:t>
      </w:r>
      <w:r w:rsidR="00285EE0">
        <w:rPr>
          <w:rFonts w:eastAsia="Malgun Gothic"/>
          <w:bCs/>
          <w:i/>
          <w:iCs/>
          <w:szCs w:val="24"/>
          <w:u w:val="single"/>
          <w:lang w:eastAsia="ko-KR"/>
        </w:rPr>
        <w:t xml:space="preserve">STA </w:t>
      </w:r>
      <w:r w:rsidR="00B037F5">
        <w:rPr>
          <w:rFonts w:eastAsia="Malgun Gothic"/>
          <w:bCs/>
          <w:i/>
          <w:iCs/>
          <w:szCs w:val="24"/>
          <w:u w:val="single"/>
          <w:lang w:eastAsia="ko-KR"/>
        </w:rPr>
        <w:t>ignore</w:t>
      </w:r>
      <w:r w:rsidR="007C369E">
        <w:rPr>
          <w:rFonts w:eastAsia="Malgun Gothic"/>
          <w:bCs/>
          <w:i/>
          <w:iCs/>
          <w:szCs w:val="24"/>
          <w:u w:val="single"/>
          <w:lang w:eastAsia="ko-KR"/>
        </w:rPr>
        <w:t>s</w:t>
      </w:r>
      <w:r w:rsidR="00161676">
        <w:rPr>
          <w:rFonts w:eastAsia="Malgun Gothic"/>
          <w:bCs/>
          <w:i/>
          <w:iCs/>
          <w:szCs w:val="24"/>
          <w:u w:val="single"/>
          <w:lang w:eastAsia="ko-KR"/>
        </w:rPr>
        <w:t xml:space="preserve"> this</w:t>
      </w:r>
      <w:r w:rsidR="008C54F8">
        <w:rPr>
          <w:rFonts w:eastAsia="Malgun Gothic"/>
          <w:bCs/>
          <w:i/>
          <w:iCs/>
          <w:szCs w:val="24"/>
          <w:u w:val="single"/>
          <w:lang w:eastAsia="ko-KR"/>
        </w:rPr>
        <w:t xml:space="preserve"> </w:t>
      </w:r>
      <w:r w:rsidR="008C54F8" w:rsidRPr="008C54F8">
        <w:rPr>
          <w:rFonts w:eastAsia="Malgun Gothic"/>
          <w:bCs/>
          <w:i/>
          <w:iCs/>
          <w:szCs w:val="24"/>
          <w:u w:val="single"/>
          <w:lang w:eastAsia="ko-KR"/>
        </w:rPr>
        <w:t>Responder Needed</w:t>
      </w:r>
      <w:r w:rsidR="00161676">
        <w:rPr>
          <w:rFonts w:eastAsia="Malgun Gothic"/>
          <w:bCs/>
          <w:i/>
          <w:iCs/>
          <w:szCs w:val="24"/>
          <w:u w:val="single"/>
          <w:lang w:eastAsia="ko-KR"/>
        </w:rPr>
        <w:t xml:space="preserve"> field</w:t>
      </w:r>
      <w:r w:rsidR="00EC56E2">
        <w:rPr>
          <w:rFonts w:eastAsia="Malgun Gothic"/>
          <w:bCs/>
          <w:i/>
          <w:iCs/>
          <w:szCs w:val="24"/>
          <w:u w:val="single"/>
          <w:lang w:eastAsia="ko-KR"/>
        </w:rPr>
        <w:t xml:space="preserve"> in a Probe Response frame</w:t>
      </w:r>
      <w:r w:rsidR="00161676">
        <w:rPr>
          <w:rFonts w:eastAsia="Malgun Gothic"/>
          <w:bCs/>
          <w:i/>
          <w:iCs/>
          <w:szCs w:val="24"/>
          <w:u w:val="single"/>
          <w:lang w:eastAsia="ko-KR"/>
        </w:rPr>
        <w:t>.</w:t>
      </w:r>
      <w:r w:rsidR="00B037F5">
        <w:rPr>
          <w:rFonts w:eastAsia="Malgun Gothic"/>
          <w:bCs/>
          <w:i/>
          <w:iCs/>
          <w:szCs w:val="24"/>
          <w:u w:val="single"/>
          <w:lang w:eastAsia="ko-KR"/>
        </w:rPr>
        <w:t xml:space="preserve">  </w:t>
      </w:r>
      <w:r w:rsidR="00046511" w:rsidRPr="00046511">
        <w:rPr>
          <w:rFonts w:eastAsia="Malgun Gothic"/>
          <w:bCs/>
          <w:i/>
          <w:iCs/>
          <w:szCs w:val="24"/>
          <w:highlight w:val="yellow"/>
          <w:lang w:eastAsia="ko-KR"/>
        </w:rPr>
        <w:t xml:space="preserve"> </w:t>
      </w:r>
      <w:r w:rsidR="00046511" w:rsidRPr="008167DD">
        <w:rPr>
          <w:rFonts w:eastAsia="Malgun Gothic"/>
          <w:bCs/>
          <w:i/>
          <w:iCs/>
          <w:szCs w:val="24"/>
          <w:highlight w:val="yellow"/>
          <w:lang w:eastAsia="ko-KR"/>
        </w:rPr>
        <w:t>(1082)</w:t>
      </w:r>
    </w:p>
    <w:p w14:paraId="23ACFF13" w14:textId="77777777" w:rsidR="00C177D3" w:rsidRDefault="00C177D3" w:rsidP="00C177D3">
      <w:pPr>
        <w:pStyle w:val="a7"/>
        <w:ind w:left="0"/>
      </w:pPr>
      <w:r>
        <w:rPr>
          <w:i/>
          <w:highlight w:val="yellow"/>
        </w:rPr>
        <w:t xml:space="preserve">  </w:t>
      </w:r>
    </w:p>
    <w:p w14:paraId="7191258B" w14:textId="3EC24F26" w:rsidR="00DF6B97" w:rsidRPr="00D50113" w:rsidRDefault="00DF6B97">
      <w:pPr>
        <w:rPr>
          <w:lang w:val="en-US"/>
        </w:rPr>
      </w:pPr>
    </w:p>
    <w:p w14:paraId="3FEAC27D" w14:textId="77777777" w:rsidR="00500CCD" w:rsidRDefault="00500CCD" w:rsidP="00500CCD">
      <w:pPr>
        <w:rPr>
          <w:rFonts w:eastAsia="Malgun Gothic"/>
          <w:b/>
          <w:bCs/>
          <w:iCs/>
          <w:lang w:eastAsia="ko-KR"/>
        </w:rPr>
      </w:pPr>
    </w:p>
    <w:p w14:paraId="2C34067C" w14:textId="77777777" w:rsidR="00500CCD" w:rsidRDefault="00500CCD" w:rsidP="00500CCD">
      <w:pPr>
        <w:rPr>
          <w:lang w:val="en-US"/>
        </w:rPr>
      </w:pPr>
    </w:p>
    <w:p w14:paraId="62E98B0D" w14:textId="55F0CE87" w:rsidR="00500CCD" w:rsidRDefault="001B3994" w:rsidP="00500CCD">
      <w:pPr>
        <w:pStyle w:val="1"/>
      </w:pPr>
      <w:r>
        <w:t>Misc</w:t>
      </w:r>
      <w:r w:rsidR="00500CCD">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00CCD" w:rsidRPr="00FB46B3" w14:paraId="1909F5D0" w14:textId="77777777" w:rsidTr="008B6D63">
        <w:trPr>
          <w:trHeight w:val="362"/>
        </w:trPr>
        <w:tc>
          <w:tcPr>
            <w:tcW w:w="704" w:type="dxa"/>
            <w:hideMark/>
          </w:tcPr>
          <w:p w14:paraId="348860E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6EFAE020"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97513C7" w14:textId="77777777" w:rsidR="00500CCD" w:rsidRPr="00FB46B3" w:rsidRDefault="00500CCD"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0B847F5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516732A"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94CF96E"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Resolution</w:t>
            </w:r>
          </w:p>
        </w:tc>
      </w:tr>
      <w:tr w:rsidR="00500CCD" w:rsidRPr="00FB46B3" w14:paraId="2FF0343A" w14:textId="77777777" w:rsidTr="008B6D63">
        <w:trPr>
          <w:trHeight w:val="995"/>
        </w:trPr>
        <w:tc>
          <w:tcPr>
            <w:tcW w:w="704" w:type="dxa"/>
          </w:tcPr>
          <w:p w14:paraId="2E27E1FD" w14:textId="77777777" w:rsidR="00500CCD" w:rsidRPr="00420BB2" w:rsidRDefault="00500CCD" w:rsidP="007408E0">
            <w:pPr>
              <w:rPr>
                <w:rFonts w:ascii="Arial" w:hAnsi="Arial" w:cs="Arial"/>
                <w:sz w:val="20"/>
                <w:lang w:val="en-US"/>
              </w:rPr>
            </w:pPr>
            <w:r>
              <w:rPr>
                <w:rFonts w:ascii="Arial" w:hAnsi="Arial" w:cs="Arial"/>
                <w:sz w:val="20"/>
              </w:rPr>
              <w:t>1702</w:t>
            </w:r>
          </w:p>
        </w:tc>
        <w:tc>
          <w:tcPr>
            <w:tcW w:w="1418" w:type="dxa"/>
          </w:tcPr>
          <w:p w14:paraId="4B156DF1" w14:textId="77777777" w:rsidR="00500CCD" w:rsidRDefault="00500CCD" w:rsidP="007408E0">
            <w:pPr>
              <w:rPr>
                <w:rFonts w:ascii="Arial" w:hAnsi="Arial" w:cs="Arial"/>
                <w:sz w:val="20"/>
              </w:rPr>
            </w:pPr>
            <w:r>
              <w:rPr>
                <w:rFonts w:ascii="Arial" w:hAnsi="Arial" w:cs="Arial"/>
                <w:sz w:val="20"/>
              </w:rPr>
              <w:t>Alireza Raissinia</w:t>
            </w:r>
          </w:p>
        </w:tc>
        <w:tc>
          <w:tcPr>
            <w:tcW w:w="928" w:type="dxa"/>
            <w:shd w:val="clear" w:color="auto" w:fill="auto"/>
          </w:tcPr>
          <w:p w14:paraId="102797E3" w14:textId="77777777" w:rsidR="00500CCD" w:rsidRDefault="00500CCD" w:rsidP="007408E0">
            <w:pPr>
              <w:rPr>
                <w:rFonts w:ascii="Arial" w:hAnsi="Arial" w:cs="Arial"/>
                <w:sz w:val="20"/>
              </w:rPr>
            </w:pPr>
            <w:r>
              <w:rPr>
                <w:rFonts w:ascii="Arial" w:hAnsi="Arial" w:cs="Arial"/>
                <w:sz w:val="20"/>
              </w:rPr>
              <w:t>164.64</w:t>
            </w:r>
          </w:p>
        </w:tc>
        <w:tc>
          <w:tcPr>
            <w:tcW w:w="2048" w:type="dxa"/>
          </w:tcPr>
          <w:p w14:paraId="59FA9111" w14:textId="77777777" w:rsidR="00500CCD" w:rsidRDefault="00500CCD" w:rsidP="007408E0">
            <w:pPr>
              <w:rPr>
                <w:rFonts w:ascii="Arial" w:hAnsi="Arial" w:cs="Arial"/>
                <w:sz w:val="20"/>
              </w:rPr>
            </w:pPr>
            <w:r>
              <w:rPr>
                <w:rFonts w:ascii="Arial" w:hAnsi="Arial" w:cs="Arial"/>
                <w:sz w:val="20"/>
              </w:rPr>
              <w:t>Change the text "an Action or an Action No Ack frame of category Protected" to</w:t>
            </w:r>
          </w:p>
        </w:tc>
        <w:tc>
          <w:tcPr>
            <w:tcW w:w="2127" w:type="dxa"/>
          </w:tcPr>
          <w:p w14:paraId="7C9C1C74" w14:textId="77777777" w:rsidR="00500CCD" w:rsidRDefault="00500CCD" w:rsidP="007408E0">
            <w:pPr>
              <w:rPr>
                <w:rFonts w:ascii="Arial" w:hAnsi="Arial" w:cs="Arial"/>
                <w:sz w:val="20"/>
              </w:rPr>
            </w:pPr>
            <w:r>
              <w:rPr>
                <w:rFonts w:ascii="Arial" w:hAnsi="Arial" w:cs="Arial"/>
                <w:sz w:val="20"/>
              </w:rPr>
              <w:t>"an Action No Ack frame of category Protected"</w:t>
            </w:r>
            <w:r>
              <w:rPr>
                <w:rFonts w:ascii="Arial" w:hAnsi="Arial" w:cs="Arial"/>
                <w:sz w:val="20"/>
              </w:rPr>
              <w:br/>
            </w:r>
            <w:r>
              <w:rPr>
                <w:rFonts w:ascii="Arial" w:hAnsi="Arial" w:cs="Arial"/>
                <w:sz w:val="20"/>
              </w:rPr>
              <w:br/>
              <w:t>since the Protected Sensing Measurement frame is only protected sensing frame and not protected dual of public action frame</w:t>
            </w:r>
          </w:p>
        </w:tc>
        <w:tc>
          <w:tcPr>
            <w:tcW w:w="2125" w:type="dxa"/>
          </w:tcPr>
          <w:p w14:paraId="0BFC81D5"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710D8D3C" w14:textId="77777777" w:rsidR="00500CCD" w:rsidRDefault="00500CCD" w:rsidP="007408E0">
            <w:pPr>
              <w:rPr>
                <w:rFonts w:ascii="Arial" w:hAnsi="Arial" w:cs="Arial"/>
                <w:b/>
                <w:bCs/>
                <w:i/>
                <w:iCs/>
                <w:color w:val="FF0000"/>
                <w:sz w:val="20"/>
                <w:lang w:val="en-SG" w:eastAsia="en-SG"/>
              </w:rPr>
            </w:pPr>
          </w:p>
        </w:tc>
      </w:tr>
      <w:tr w:rsidR="00500CCD" w:rsidRPr="006733CA" w14:paraId="1E6CB097" w14:textId="77777777" w:rsidTr="008B6D63">
        <w:trPr>
          <w:trHeight w:val="995"/>
        </w:trPr>
        <w:tc>
          <w:tcPr>
            <w:tcW w:w="704" w:type="dxa"/>
          </w:tcPr>
          <w:p w14:paraId="2D10719C" w14:textId="77777777" w:rsidR="00500CCD" w:rsidRDefault="00500CCD" w:rsidP="007408E0">
            <w:pPr>
              <w:rPr>
                <w:rFonts w:ascii="Arial" w:hAnsi="Arial" w:cs="Arial"/>
                <w:sz w:val="20"/>
              </w:rPr>
            </w:pPr>
            <w:r>
              <w:rPr>
                <w:rFonts w:ascii="Arial" w:hAnsi="Arial" w:cs="Arial"/>
                <w:sz w:val="20"/>
              </w:rPr>
              <w:t>1844</w:t>
            </w:r>
          </w:p>
        </w:tc>
        <w:tc>
          <w:tcPr>
            <w:tcW w:w="1418" w:type="dxa"/>
          </w:tcPr>
          <w:p w14:paraId="6AE32DA9" w14:textId="77777777" w:rsidR="00500CCD" w:rsidRDefault="00500CCD" w:rsidP="007408E0">
            <w:pPr>
              <w:rPr>
                <w:rFonts w:ascii="Arial" w:hAnsi="Arial" w:cs="Arial"/>
                <w:sz w:val="20"/>
              </w:rPr>
            </w:pPr>
            <w:r>
              <w:rPr>
                <w:rFonts w:ascii="Arial" w:hAnsi="Arial" w:cs="Arial"/>
                <w:sz w:val="20"/>
              </w:rPr>
              <w:t>Michael Montemurro</w:t>
            </w:r>
          </w:p>
        </w:tc>
        <w:tc>
          <w:tcPr>
            <w:tcW w:w="928" w:type="dxa"/>
            <w:shd w:val="clear" w:color="auto" w:fill="auto"/>
          </w:tcPr>
          <w:p w14:paraId="285B8AE2" w14:textId="77777777" w:rsidR="00500CCD" w:rsidRDefault="00500CCD" w:rsidP="007408E0">
            <w:pPr>
              <w:rPr>
                <w:rFonts w:ascii="Arial" w:hAnsi="Arial" w:cs="Arial"/>
                <w:sz w:val="20"/>
              </w:rPr>
            </w:pPr>
            <w:r>
              <w:rPr>
                <w:rFonts w:ascii="Arial" w:hAnsi="Arial" w:cs="Arial"/>
                <w:sz w:val="20"/>
              </w:rPr>
              <w:t>166.13</w:t>
            </w:r>
          </w:p>
        </w:tc>
        <w:tc>
          <w:tcPr>
            <w:tcW w:w="2048" w:type="dxa"/>
          </w:tcPr>
          <w:p w14:paraId="5AEBB586" w14:textId="77777777" w:rsidR="00500CCD" w:rsidRDefault="00500CCD" w:rsidP="007408E0">
            <w:pPr>
              <w:rPr>
                <w:rFonts w:ascii="Arial" w:hAnsi="Arial" w:cs="Arial"/>
                <w:sz w:val="20"/>
              </w:rPr>
            </w:pPr>
            <w:r>
              <w:rPr>
                <w:rFonts w:ascii="Arial" w:hAnsi="Arial" w:cs="Arial"/>
                <w:sz w:val="20"/>
              </w:rPr>
              <w:t>The sentence should be clearly worded to descrobe that the PTKSA is the result of PASSN authentication.</w:t>
            </w:r>
          </w:p>
        </w:tc>
        <w:tc>
          <w:tcPr>
            <w:tcW w:w="2127" w:type="dxa"/>
          </w:tcPr>
          <w:p w14:paraId="1F9FC314" w14:textId="77777777" w:rsidR="00500CCD" w:rsidRDefault="00500CCD" w:rsidP="007408E0">
            <w:pPr>
              <w:rPr>
                <w:rFonts w:ascii="Arial" w:hAnsi="Arial" w:cs="Arial"/>
                <w:sz w:val="20"/>
              </w:rPr>
            </w:pPr>
            <w:r>
              <w:rPr>
                <w:rFonts w:ascii="Arial" w:hAnsi="Arial" w:cs="Arial"/>
                <w:sz w:val="20"/>
              </w:rPr>
              <w:t>Change "when PTKSA from PASN authentication exists" to ""when a PTKSA is established through PASN authentication."</w:t>
            </w:r>
          </w:p>
        </w:tc>
        <w:tc>
          <w:tcPr>
            <w:tcW w:w="2125" w:type="dxa"/>
          </w:tcPr>
          <w:p w14:paraId="4F0B913C"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09CF82C4" w14:textId="77777777" w:rsidR="00500CCD" w:rsidRDefault="00500CCD" w:rsidP="007408E0">
            <w:pPr>
              <w:rPr>
                <w:rFonts w:ascii="Arial" w:hAnsi="Arial" w:cs="Arial"/>
                <w:b/>
                <w:bCs/>
                <w:i/>
                <w:iCs/>
                <w:color w:val="000000" w:themeColor="text1"/>
                <w:sz w:val="20"/>
                <w:highlight w:val="green"/>
                <w:lang w:val="en-SG" w:eastAsia="en-SG"/>
              </w:rPr>
            </w:pPr>
          </w:p>
          <w:p w14:paraId="78D8561E" w14:textId="77777777" w:rsidR="00500CCD" w:rsidRPr="00CE4E5A" w:rsidRDefault="00500CCD" w:rsidP="007408E0">
            <w:pPr>
              <w:rPr>
                <w:rFonts w:ascii="Arial" w:hAnsi="Arial" w:cs="Arial"/>
                <w:sz w:val="20"/>
                <w:highlight w:val="green"/>
                <w:lang w:val="en-SG" w:eastAsia="en-SG"/>
              </w:rPr>
            </w:pPr>
            <w:r w:rsidRPr="00CE4E5A">
              <w:rPr>
                <w:rFonts w:ascii="Arial" w:hAnsi="Arial" w:cs="Arial"/>
                <w:sz w:val="20"/>
                <w:lang w:val="en-SG" w:eastAsia="en-SG"/>
              </w:rPr>
              <w:t xml:space="preserve">Note: </w:t>
            </w:r>
            <w:r>
              <w:rPr>
                <w:rFonts w:ascii="Arial" w:hAnsi="Arial" w:cs="Arial"/>
                <w:sz w:val="20"/>
                <w:lang w:val="en-SG" w:eastAsia="en-SG"/>
              </w:rPr>
              <w:t>The commented text is existing 11az text, not new text adding by 11bf.</w:t>
            </w:r>
          </w:p>
        </w:tc>
      </w:tr>
      <w:tr w:rsidR="00500CCD" w:rsidRPr="006733CA" w14:paraId="6EF3AA46" w14:textId="77777777" w:rsidTr="008B6D63">
        <w:trPr>
          <w:trHeight w:val="995"/>
        </w:trPr>
        <w:tc>
          <w:tcPr>
            <w:tcW w:w="704" w:type="dxa"/>
          </w:tcPr>
          <w:p w14:paraId="4ABF55B7" w14:textId="77777777" w:rsidR="00500CCD" w:rsidRDefault="00500CCD" w:rsidP="007408E0">
            <w:pPr>
              <w:rPr>
                <w:rFonts w:ascii="Arial" w:hAnsi="Arial" w:cs="Arial"/>
                <w:sz w:val="20"/>
              </w:rPr>
            </w:pPr>
            <w:r>
              <w:rPr>
                <w:rFonts w:ascii="Arial" w:hAnsi="Arial" w:cs="Arial"/>
                <w:sz w:val="20"/>
              </w:rPr>
              <w:t>1341</w:t>
            </w:r>
          </w:p>
        </w:tc>
        <w:tc>
          <w:tcPr>
            <w:tcW w:w="1418" w:type="dxa"/>
          </w:tcPr>
          <w:p w14:paraId="2948248D" w14:textId="77777777" w:rsidR="00500CCD" w:rsidRDefault="00500CCD" w:rsidP="007408E0">
            <w:pPr>
              <w:rPr>
                <w:rFonts w:ascii="Arial" w:hAnsi="Arial" w:cs="Arial"/>
                <w:sz w:val="20"/>
              </w:rPr>
            </w:pPr>
            <w:r>
              <w:rPr>
                <w:rFonts w:ascii="Arial" w:hAnsi="Arial" w:cs="Arial"/>
                <w:sz w:val="20"/>
              </w:rPr>
              <w:t>Osama Aboulmagd</w:t>
            </w:r>
          </w:p>
        </w:tc>
        <w:tc>
          <w:tcPr>
            <w:tcW w:w="928" w:type="dxa"/>
            <w:shd w:val="clear" w:color="auto" w:fill="auto"/>
          </w:tcPr>
          <w:p w14:paraId="4FAEEB3F" w14:textId="77777777" w:rsidR="00500CCD" w:rsidRDefault="00500CCD" w:rsidP="007408E0">
            <w:pPr>
              <w:rPr>
                <w:rFonts w:ascii="Arial" w:hAnsi="Arial" w:cs="Arial"/>
                <w:sz w:val="20"/>
              </w:rPr>
            </w:pPr>
            <w:r>
              <w:rPr>
                <w:rFonts w:ascii="Arial" w:hAnsi="Arial" w:cs="Arial"/>
                <w:sz w:val="20"/>
              </w:rPr>
              <w:t>166.50</w:t>
            </w:r>
          </w:p>
        </w:tc>
        <w:tc>
          <w:tcPr>
            <w:tcW w:w="2048" w:type="dxa"/>
          </w:tcPr>
          <w:p w14:paraId="0483A84E" w14:textId="77777777" w:rsidR="00500CCD" w:rsidRDefault="00500CCD" w:rsidP="007408E0">
            <w:pPr>
              <w:rPr>
                <w:rFonts w:ascii="Arial" w:hAnsi="Arial" w:cs="Arial"/>
                <w:sz w:val="20"/>
              </w:rPr>
            </w:pPr>
            <w:r>
              <w:rPr>
                <w:rFonts w:ascii="Arial" w:hAnsi="Arial" w:cs="Arial"/>
                <w:sz w:val="20"/>
              </w:rPr>
              <w:t xml:space="preserve">What is the rationale for assigning AC-VO for Public Action Sensing frame? Is sensing a real-time process that requires high priority. What if </w:t>
            </w:r>
            <w:proofErr w:type="gramStart"/>
            <w:r>
              <w:rPr>
                <w:rFonts w:ascii="Arial" w:hAnsi="Arial" w:cs="Arial"/>
                <w:sz w:val="20"/>
              </w:rPr>
              <w:t>there</w:t>
            </w:r>
            <w:proofErr w:type="gramEnd"/>
            <w:r>
              <w:rPr>
                <w:rFonts w:ascii="Arial" w:hAnsi="Arial" w:cs="Arial"/>
                <w:sz w:val="20"/>
              </w:rPr>
              <w:t xml:space="preserve"> real-time service such as voice with small frames and is delayed due to the trasnmission of a Sensing Measurement frame which can be a long frame.</w:t>
            </w:r>
          </w:p>
        </w:tc>
        <w:tc>
          <w:tcPr>
            <w:tcW w:w="2127" w:type="dxa"/>
          </w:tcPr>
          <w:p w14:paraId="49DC78B3" w14:textId="77777777" w:rsidR="00500CCD" w:rsidRDefault="00500CCD" w:rsidP="007408E0">
            <w:pPr>
              <w:rPr>
                <w:rFonts w:ascii="Arial" w:hAnsi="Arial" w:cs="Arial"/>
                <w:sz w:val="20"/>
              </w:rPr>
            </w:pPr>
            <w:r>
              <w:rPr>
                <w:rFonts w:ascii="Arial" w:hAnsi="Arial" w:cs="Arial"/>
                <w:sz w:val="20"/>
              </w:rPr>
              <w:t>As in comment. Justify why assigning AC-VO to Public Sensing Action frames.</w:t>
            </w:r>
          </w:p>
        </w:tc>
        <w:tc>
          <w:tcPr>
            <w:tcW w:w="2125" w:type="dxa"/>
          </w:tcPr>
          <w:p w14:paraId="2A0F45FE"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26FCE862" w14:textId="77777777" w:rsidR="00500CCD" w:rsidRDefault="00500CCD" w:rsidP="007408E0">
            <w:pPr>
              <w:rPr>
                <w:rFonts w:ascii="Arial" w:hAnsi="Arial" w:cs="Arial"/>
                <w:b/>
                <w:bCs/>
                <w:i/>
                <w:iCs/>
                <w:color w:val="000000" w:themeColor="text1"/>
                <w:sz w:val="20"/>
                <w:highlight w:val="green"/>
                <w:lang w:val="en-SG" w:eastAsia="en-SG"/>
              </w:rPr>
            </w:pPr>
          </w:p>
          <w:p w14:paraId="4F6BB98A" w14:textId="08B465D8"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The ‘long’ frame in sensing is measurement report frame, which is sent during the dedicated TXOP used for sensing and shall be sent via SIFS interval. Other sensing frames are considerably short</w:t>
            </w:r>
            <w:r w:rsidR="008B6D63">
              <w:rPr>
                <w:rFonts w:ascii="Arial" w:hAnsi="Arial" w:cs="Arial"/>
                <w:bCs/>
                <w:iCs/>
                <w:color w:val="000000" w:themeColor="text1"/>
                <w:sz w:val="20"/>
                <w:lang w:val="en-SG" w:eastAsia="en-SG"/>
              </w:rPr>
              <w:t>.</w:t>
            </w:r>
            <w:r>
              <w:rPr>
                <w:rFonts w:ascii="Arial" w:hAnsi="Arial" w:cs="Arial"/>
                <w:bCs/>
                <w:iCs/>
                <w:color w:val="000000" w:themeColor="text1"/>
                <w:sz w:val="20"/>
                <w:lang w:val="en-SG" w:eastAsia="en-SG"/>
              </w:rPr>
              <w:t xml:space="preserve"> </w:t>
            </w:r>
            <w:r w:rsidR="008B6D63">
              <w:rPr>
                <w:rFonts w:ascii="Arial" w:hAnsi="Arial" w:cs="Arial"/>
                <w:bCs/>
                <w:iCs/>
                <w:color w:val="000000" w:themeColor="text1"/>
                <w:sz w:val="20"/>
                <w:lang w:val="en-SG" w:eastAsia="en-SG"/>
              </w:rPr>
              <w:t>AC-VO ensures that</w:t>
            </w:r>
            <w:r w:rsidR="00FE07FC">
              <w:rPr>
                <w:rFonts w:ascii="Arial" w:hAnsi="Arial" w:cs="Arial"/>
                <w:bCs/>
                <w:iCs/>
                <w:color w:val="000000" w:themeColor="text1"/>
                <w:sz w:val="20"/>
                <w:lang w:val="en-SG" w:eastAsia="en-SG"/>
              </w:rPr>
              <w:t xml:space="preserve"> </w:t>
            </w:r>
            <w:r w:rsidR="008B6D63" w:rsidRPr="00674213">
              <w:rPr>
                <w:rFonts w:ascii="Arial" w:hAnsi="Arial" w:cs="Arial"/>
                <w:bCs/>
                <w:iCs/>
                <w:color w:val="000000" w:themeColor="text1"/>
                <w:sz w:val="20"/>
                <w:lang w:val="en-SG" w:eastAsia="en-SG"/>
              </w:rPr>
              <w:t xml:space="preserve"> STA scan period is not impacted by delayed response from AP</w:t>
            </w:r>
            <w:r>
              <w:rPr>
                <w:rFonts w:ascii="Arial" w:hAnsi="Arial" w:cs="Arial"/>
                <w:bCs/>
                <w:iCs/>
                <w:color w:val="000000" w:themeColor="text1"/>
                <w:sz w:val="20"/>
                <w:lang w:val="en-SG" w:eastAsia="en-SG"/>
              </w:rPr>
              <w:t xml:space="preserve">. </w:t>
            </w:r>
          </w:p>
          <w:p w14:paraId="72B9B6FA" w14:textId="77777777"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lastRenderedPageBreak/>
              <w:t xml:space="preserve"> </w:t>
            </w:r>
          </w:p>
          <w:p w14:paraId="59AD7879" w14:textId="77777777" w:rsidR="00500CCD" w:rsidRPr="003373AF"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Furthermore, t</w:t>
            </w:r>
            <w:r w:rsidRPr="003373AF">
              <w:rPr>
                <w:rFonts w:ascii="Arial" w:hAnsi="Arial" w:cs="Arial"/>
                <w:bCs/>
                <w:iCs/>
                <w:color w:val="000000" w:themeColor="text1"/>
                <w:sz w:val="20"/>
                <w:lang w:val="en-SG" w:eastAsia="en-SG"/>
              </w:rPr>
              <w:t>he</w:t>
            </w:r>
            <w:r>
              <w:rPr>
                <w:rFonts w:ascii="Arial" w:hAnsi="Arial" w:cs="Arial"/>
                <w:bCs/>
                <w:iCs/>
                <w:color w:val="000000" w:themeColor="text1"/>
                <w:sz w:val="20"/>
                <w:lang w:val="en-SG" w:eastAsia="en-SG"/>
              </w:rPr>
              <w:t xml:space="preserve"> comment does not propose any change to the spec.</w:t>
            </w:r>
          </w:p>
        </w:tc>
      </w:tr>
      <w:tr w:rsidR="00500CCD" w:rsidRPr="006733CA" w14:paraId="0AA077F8" w14:textId="77777777" w:rsidTr="008B6D63">
        <w:trPr>
          <w:trHeight w:val="995"/>
        </w:trPr>
        <w:tc>
          <w:tcPr>
            <w:tcW w:w="704" w:type="dxa"/>
          </w:tcPr>
          <w:p w14:paraId="14D823FD" w14:textId="77777777" w:rsidR="00500CCD" w:rsidRDefault="00500CCD" w:rsidP="007408E0">
            <w:pPr>
              <w:rPr>
                <w:rFonts w:ascii="Arial" w:hAnsi="Arial" w:cs="Arial"/>
                <w:sz w:val="20"/>
              </w:rPr>
            </w:pPr>
            <w:r>
              <w:rPr>
                <w:rFonts w:ascii="Arial" w:hAnsi="Arial" w:cs="Arial"/>
                <w:sz w:val="20"/>
              </w:rPr>
              <w:lastRenderedPageBreak/>
              <w:t>1501</w:t>
            </w:r>
          </w:p>
        </w:tc>
        <w:tc>
          <w:tcPr>
            <w:tcW w:w="1418" w:type="dxa"/>
          </w:tcPr>
          <w:p w14:paraId="42E94B65" w14:textId="77777777" w:rsidR="00500CCD" w:rsidRDefault="00500CCD" w:rsidP="007408E0">
            <w:pPr>
              <w:rPr>
                <w:rFonts w:ascii="Arial" w:hAnsi="Arial" w:cs="Arial"/>
                <w:sz w:val="20"/>
              </w:rPr>
            </w:pPr>
            <w:r>
              <w:rPr>
                <w:rFonts w:ascii="Arial" w:hAnsi="Arial" w:cs="Arial"/>
                <w:sz w:val="20"/>
              </w:rPr>
              <w:t>Albert Petrick</w:t>
            </w:r>
          </w:p>
        </w:tc>
        <w:tc>
          <w:tcPr>
            <w:tcW w:w="928" w:type="dxa"/>
            <w:shd w:val="clear" w:color="auto" w:fill="auto"/>
          </w:tcPr>
          <w:p w14:paraId="0AFE3B29" w14:textId="77777777" w:rsidR="00500CCD" w:rsidRDefault="00500CCD" w:rsidP="007408E0">
            <w:pPr>
              <w:rPr>
                <w:rFonts w:ascii="Arial" w:hAnsi="Arial" w:cs="Arial"/>
                <w:sz w:val="20"/>
              </w:rPr>
            </w:pPr>
            <w:r>
              <w:rPr>
                <w:rFonts w:ascii="Arial" w:hAnsi="Arial" w:cs="Arial"/>
                <w:sz w:val="20"/>
              </w:rPr>
              <w:t>168.06</w:t>
            </w:r>
          </w:p>
        </w:tc>
        <w:tc>
          <w:tcPr>
            <w:tcW w:w="2048" w:type="dxa"/>
          </w:tcPr>
          <w:p w14:paraId="563042B9" w14:textId="77777777" w:rsidR="00500CCD" w:rsidRDefault="00500CCD" w:rsidP="007408E0">
            <w:pPr>
              <w:rPr>
                <w:rFonts w:ascii="Arial" w:hAnsi="Arial" w:cs="Arial"/>
                <w:sz w:val="20"/>
              </w:rPr>
            </w:pPr>
            <w:r>
              <w:rPr>
                <w:rFonts w:ascii="Arial" w:hAnsi="Arial" w:cs="Arial"/>
                <w:sz w:val="20"/>
              </w:rPr>
              <w:t>Table 11-29a Sensing Frame Exchange Timeout is a value of 20 msec. What is the timeout value duration of 20 ms based on?  Add Note clarifying why the timout value is 20 ms.</w:t>
            </w:r>
          </w:p>
        </w:tc>
        <w:tc>
          <w:tcPr>
            <w:tcW w:w="2127" w:type="dxa"/>
          </w:tcPr>
          <w:p w14:paraId="147CA134" w14:textId="77777777" w:rsidR="00500CCD" w:rsidRDefault="00500CCD" w:rsidP="007408E0">
            <w:pPr>
              <w:rPr>
                <w:rFonts w:ascii="Arial" w:hAnsi="Arial" w:cs="Arial"/>
                <w:sz w:val="20"/>
              </w:rPr>
            </w:pPr>
            <w:r>
              <w:rPr>
                <w:rFonts w:ascii="Arial" w:hAnsi="Arial" w:cs="Arial"/>
                <w:sz w:val="20"/>
              </w:rPr>
              <w:t>As commented</w:t>
            </w:r>
          </w:p>
        </w:tc>
        <w:tc>
          <w:tcPr>
            <w:tcW w:w="2125" w:type="dxa"/>
          </w:tcPr>
          <w:p w14:paraId="0C41143F"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37B26BE3" w14:textId="77777777" w:rsidR="00500CCD" w:rsidRDefault="00500CCD" w:rsidP="007408E0">
            <w:pPr>
              <w:rPr>
                <w:rFonts w:ascii="Arial" w:hAnsi="Arial" w:cs="Arial"/>
                <w:b/>
                <w:bCs/>
                <w:i/>
                <w:iCs/>
                <w:color w:val="000000" w:themeColor="text1"/>
                <w:sz w:val="20"/>
                <w:highlight w:val="red"/>
                <w:lang w:val="en-SG" w:eastAsia="en-SG"/>
              </w:rPr>
            </w:pPr>
          </w:p>
          <w:p w14:paraId="100B08FE" w14:textId="0DB78061" w:rsidR="00D402F2" w:rsidRDefault="00D402F2" w:rsidP="00D402F2">
            <w:pPr>
              <w:rPr>
                <w:rFonts w:ascii="Arial" w:hAnsi="Arial" w:cs="Arial"/>
                <w:b/>
                <w:bCs/>
                <w:i/>
                <w:iCs/>
                <w:color w:val="000000" w:themeColor="text1"/>
                <w:sz w:val="20"/>
                <w:highlight w:val="red"/>
                <w:lang w:val="en-SG" w:eastAsia="en-SG"/>
              </w:rPr>
            </w:pPr>
            <w:r w:rsidRPr="00674213">
              <w:rPr>
                <w:rFonts w:ascii="Arial" w:hAnsi="Arial" w:cs="Arial"/>
                <w:bCs/>
                <w:iCs/>
                <w:color w:val="000000" w:themeColor="text1"/>
                <w:sz w:val="20"/>
                <w:lang w:val="en-SG" w:eastAsia="en-SG"/>
              </w:rPr>
              <w:t xml:space="preserve">20ms </w:t>
            </w:r>
            <w:r w:rsidR="00A3094B">
              <w:rPr>
                <w:rFonts w:ascii="Arial" w:hAnsi="Arial" w:cs="Arial"/>
                <w:bCs/>
                <w:iCs/>
                <w:color w:val="000000" w:themeColor="text1"/>
                <w:sz w:val="20"/>
                <w:lang w:val="en-SG" w:eastAsia="en-SG"/>
              </w:rPr>
              <w:t>timeout</w:t>
            </w:r>
            <w:r w:rsidRPr="00674213">
              <w:rPr>
                <w:rFonts w:ascii="Arial" w:hAnsi="Arial" w:cs="Arial"/>
                <w:bCs/>
                <w:iCs/>
                <w:color w:val="000000" w:themeColor="text1"/>
                <w:sz w:val="20"/>
                <w:lang w:val="en-SG" w:eastAsia="en-SG"/>
              </w:rPr>
              <w:t xml:space="preserve"> value is chosen so that the unassociated STA scan period is not impacted by delayed response from AP</w:t>
            </w:r>
            <w:r>
              <w:rPr>
                <w:rFonts w:ascii="Arial" w:hAnsi="Arial" w:cs="Arial"/>
                <w:bCs/>
                <w:iCs/>
                <w:color w:val="000000" w:themeColor="text1"/>
                <w:sz w:val="20"/>
                <w:lang w:val="en-SG" w:eastAsia="en-SG"/>
              </w:rPr>
              <w:t>.</w:t>
            </w:r>
          </w:p>
          <w:p w14:paraId="354597C1" w14:textId="77777777" w:rsidR="00500CCD" w:rsidRPr="00533781" w:rsidRDefault="00500CCD" w:rsidP="007408E0">
            <w:pPr>
              <w:rPr>
                <w:rFonts w:ascii="Arial" w:hAnsi="Arial" w:cs="Arial"/>
                <w:b/>
                <w:bCs/>
                <w:iCs/>
                <w:color w:val="000000" w:themeColor="text1"/>
                <w:sz w:val="20"/>
                <w:highlight w:val="red"/>
                <w:lang w:val="en-SG" w:eastAsia="en-SG"/>
              </w:rPr>
            </w:pPr>
          </w:p>
          <w:p w14:paraId="49DBA6F2" w14:textId="77777777" w:rsidR="00500CCD" w:rsidRPr="000B0D71" w:rsidRDefault="00500CCD" w:rsidP="007408E0">
            <w:pPr>
              <w:rPr>
                <w:rFonts w:ascii="Arial" w:hAnsi="Arial" w:cs="Arial"/>
                <w:bCs/>
                <w:iCs/>
                <w:color w:val="000000" w:themeColor="text1"/>
                <w:sz w:val="20"/>
                <w:highlight w:val="red"/>
                <w:lang w:val="en-SG" w:eastAsia="en-SG"/>
              </w:rPr>
            </w:pPr>
            <w:r>
              <w:rPr>
                <w:rFonts w:ascii="Arial" w:hAnsi="Arial" w:cs="Arial"/>
                <w:bCs/>
                <w:iCs/>
                <w:color w:val="000000" w:themeColor="text1"/>
                <w:sz w:val="20"/>
                <w:lang w:val="en-SG" w:eastAsia="en-SG"/>
              </w:rPr>
              <w:t>Furthermore, t</w:t>
            </w:r>
            <w:r w:rsidRPr="000B0D71">
              <w:rPr>
                <w:rFonts w:ascii="Arial" w:hAnsi="Arial" w:cs="Arial"/>
                <w:bCs/>
                <w:iCs/>
                <w:color w:val="000000" w:themeColor="text1"/>
                <w:sz w:val="20"/>
                <w:lang w:val="en-SG" w:eastAsia="en-SG"/>
              </w:rPr>
              <w:t>he comment is asking a question</w:t>
            </w:r>
            <w:r>
              <w:rPr>
                <w:rFonts w:ascii="Arial" w:hAnsi="Arial" w:cs="Arial"/>
                <w:bCs/>
                <w:iCs/>
                <w:color w:val="000000" w:themeColor="text1"/>
                <w:sz w:val="20"/>
                <w:lang w:val="en-SG" w:eastAsia="en-SG"/>
              </w:rPr>
              <w:t xml:space="preserve"> and not providing specific change.</w:t>
            </w:r>
          </w:p>
        </w:tc>
      </w:tr>
    </w:tbl>
    <w:p w14:paraId="492727B4" w14:textId="77777777" w:rsidR="00500CCD" w:rsidRPr="00AD582F" w:rsidRDefault="00500CCD" w:rsidP="00500CCD">
      <w:pPr>
        <w:rPr>
          <w:lang w:val="en-US"/>
        </w:rPr>
      </w:pPr>
    </w:p>
    <w:p w14:paraId="7E2B1095" w14:textId="77777777" w:rsidR="00500CCD" w:rsidRDefault="00500CCD" w:rsidP="00500CCD">
      <w:pPr>
        <w:rPr>
          <w:b/>
          <w:sz w:val="28"/>
        </w:rPr>
      </w:pPr>
    </w:p>
    <w:p w14:paraId="55282F6B" w14:textId="77777777" w:rsidR="00500CCD" w:rsidRDefault="00500CCD" w:rsidP="00500CCD">
      <w:pPr>
        <w:rPr>
          <w:rFonts w:eastAsia="Malgun Gothic"/>
          <w:b/>
          <w:bCs/>
          <w:iCs/>
          <w:sz w:val="28"/>
          <w:lang w:eastAsia="ko-KR"/>
        </w:rPr>
      </w:pPr>
    </w:p>
    <w:p w14:paraId="3F633714" w14:textId="77777777" w:rsidR="00C177D3" w:rsidRDefault="00C177D3"/>
    <w:p w14:paraId="427E9FEC" w14:textId="77777777" w:rsidR="00892BE1" w:rsidRDefault="00892BE1"/>
    <w:p w14:paraId="5E803EB9" w14:textId="77777777" w:rsidR="009200C3" w:rsidRDefault="009200C3"/>
    <w:p w14:paraId="78F32AF3" w14:textId="6DF4F1C2" w:rsidR="009200C3" w:rsidRDefault="009200C3" w:rsidP="00866896">
      <w:pPr>
        <w:pStyle w:val="1"/>
      </w:pPr>
      <w:r>
        <w:t>SP</w:t>
      </w:r>
    </w:p>
    <w:p w14:paraId="524B0AF6" w14:textId="52F0D8CE" w:rsidR="003C26ED" w:rsidRDefault="005B5399" w:rsidP="003C26ED">
      <w:r>
        <w:t>D</w:t>
      </w:r>
      <w:r w:rsidR="003C26ED">
        <w:t xml:space="preserve">o you support resolutions to the </w:t>
      </w:r>
      <w:r w:rsidR="00875FD8">
        <w:t>following</w:t>
      </w:r>
      <w:r w:rsidR="0031076A">
        <w:t xml:space="preserve"> 9</w:t>
      </w:r>
      <w:r w:rsidR="00875FD8">
        <w:t xml:space="preserve"> </w:t>
      </w:r>
      <w:r w:rsidR="003C26ED">
        <w:t>CIDs</w:t>
      </w:r>
      <w:r w:rsidR="00875FD8">
        <w:t xml:space="preserve"> and incorporate the text changes into the latest TGbf draft</w:t>
      </w:r>
      <w:r w:rsidR="003C26ED">
        <w:t>:</w:t>
      </w:r>
      <w:r>
        <w:t xml:space="preserve"> </w:t>
      </w:r>
      <w:r w:rsidR="00D64DE8" w:rsidRPr="00557117">
        <w:t>1082, 1083, 1526, 1555, 1556, 1702, 1844, 1341, 1501</w:t>
      </w:r>
      <w:r w:rsidR="00AD4EF3" w:rsidRPr="00AD4EF3">
        <w:t xml:space="preserve">, </w:t>
      </w:r>
      <w:r w:rsidR="003E20CC">
        <w:t xml:space="preserve"> in 11-2</w:t>
      </w:r>
      <w:r w:rsidR="00AD4EF3">
        <w:t>3</w:t>
      </w:r>
      <w:r w:rsidR="003E20CC">
        <w:t>/</w:t>
      </w:r>
      <w:r w:rsidR="003E3FA0">
        <w:t>0476</w:t>
      </w:r>
      <w:r w:rsidR="00922C49">
        <w:t>r</w:t>
      </w:r>
      <w:r w:rsidR="0041367B">
        <w:t>2</w:t>
      </w:r>
      <w:r w:rsidR="00EB2287">
        <w:t>.</w:t>
      </w:r>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4567" w14:textId="77777777" w:rsidR="007D647D" w:rsidRDefault="007D647D">
      <w:r>
        <w:separator/>
      </w:r>
    </w:p>
  </w:endnote>
  <w:endnote w:type="continuationSeparator" w:id="0">
    <w:p w14:paraId="0C33FF1A" w14:textId="77777777" w:rsidR="007D647D" w:rsidRDefault="007D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7D647D">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401C0" w14:textId="77777777" w:rsidR="007D647D" w:rsidRDefault="007D647D">
      <w:r>
        <w:separator/>
      </w:r>
    </w:p>
  </w:footnote>
  <w:footnote w:type="continuationSeparator" w:id="0">
    <w:p w14:paraId="09E95281" w14:textId="77777777" w:rsidR="007D647D" w:rsidRDefault="007D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C7E9B31"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DB22B6">
          <w:rPr>
            <w:lang w:val="en-US" w:eastAsia="zh-CN"/>
          </w:rPr>
          <w:t>0476</w:t>
        </w:r>
        <w:r>
          <w:rPr>
            <w:rFonts w:hint="eastAsia"/>
            <w:lang w:eastAsia="zh-CN"/>
          </w:rPr>
          <w:t>r</w:t>
        </w:r>
        <w:r w:rsidR="00870710">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04F"/>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AFD"/>
    <w:rsid w:val="000844D6"/>
    <w:rsid w:val="00085E03"/>
    <w:rsid w:val="00086A61"/>
    <w:rsid w:val="00090047"/>
    <w:rsid w:val="00090A83"/>
    <w:rsid w:val="00093A45"/>
    <w:rsid w:val="0009478C"/>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791D"/>
    <w:rsid w:val="001979FF"/>
    <w:rsid w:val="001A1F4F"/>
    <w:rsid w:val="001A2C5F"/>
    <w:rsid w:val="001A2FB7"/>
    <w:rsid w:val="001A368E"/>
    <w:rsid w:val="001A50AA"/>
    <w:rsid w:val="001A6A1A"/>
    <w:rsid w:val="001A74D8"/>
    <w:rsid w:val="001A7BD7"/>
    <w:rsid w:val="001B0013"/>
    <w:rsid w:val="001B00DB"/>
    <w:rsid w:val="001B18E9"/>
    <w:rsid w:val="001B286B"/>
    <w:rsid w:val="001B28A9"/>
    <w:rsid w:val="001B3994"/>
    <w:rsid w:val="001B4674"/>
    <w:rsid w:val="001B5374"/>
    <w:rsid w:val="001B7BC4"/>
    <w:rsid w:val="001C1C30"/>
    <w:rsid w:val="001C2178"/>
    <w:rsid w:val="001C5170"/>
    <w:rsid w:val="001D033B"/>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1BB3"/>
    <w:rsid w:val="00211FBF"/>
    <w:rsid w:val="00213BAB"/>
    <w:rsid w:val="002204B1"/>
    <w:rsid w:val="00220B7B"/>
    <w:rsid w:val="0022466E"/>
    <w:rsid w:val="0022615E"/>
    <w:rsid w:val="00231515"/>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AB6"/>
    <w:rsid w:val="00254E2E"/>
    <w:rsid w:val="00256078"/>
    <w:rsid w:val="0025782B"/>
    <w:rsid w:val="00270C9D"/>
    <w:rsid w:val="002712B4"/>
    <w:rsid w:val="0027267A"/>
    <w:rsid w:val="00274C59"/>
    <w:rsid w:val="00274DD8"/>
    <w:rsid w:val="00280EA9"/>
    <w:rsid w:val="00281266"/>
    <w:rsid w:val="00283EDD"/>
    <w:rsid w:val="002858B3"/>
    <w:rsid w:val="00285EE0"/>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FE"/>
    <w:rsid w:val="002B7865"/>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555B"/>
    <w:rsid w:val="00305D3C"/>
    <w:rsid w:val="003065EB"/>
    <w:rsid w:val="00306C74"/>
    <w:rsid w:val="00307331"/>
    <w:rsid w:val="00307C12"/>
    <w:rsid w:val="0031076A"/>
    <w:rsid w:val="003117B6"/>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68C"/>
    <w:rsid w:val="003A5A0C"/>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367B"/>
    <w:rsid w:val="00414EFD"/>
    <w:rsid w:val="004175D6"/>
    <w:rsid w:val="00417FEB"/>
    <w:rsid w:val="00420BB2"/>
    <w:rsid w:val="00421BCA"/>
    <w:rsid w:val="00423557"/>
    <w:rsid w:val="004247C0"/>
    <w:rsid w:val="00425193"/>
    <w:rsid w:val="004256AF"/>
    <w:rsid w:val="00425C0A"/>
    <w:rsid w:val="00426B8E"/>
    <w:rsid w:val="00427B65"/>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618E"/>
    <w:rsid w:val="0049633E"/>
    <w:rsid w:val="0049643D"/>
    <w:rsid w:val="004964D9"/>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27F1"/>
    <w:rsid w:val="004C4D1B"/>
    <w:rsid w:val="004C4D4E"/>
    <w:rsid w:val="004C5772"/>
    <w:rsid w:val="004C7968"/>
    <w:rsid w:val="004D11E5"/>
    <w:rsid w:val="004D180A"/>
    <w:rsid w:val="004D23C6"/>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303E"/>
    <w:rsid w:val="0051543D"/>
    <w:rsid w:val="005168E8"/>
    <w:rsid w:val="005224B6"/>
    <w:rsid w:val="00524BD2"/>
    <w:rsid w:val="0052570C"/>
    <w:rsid w:val="00527D32"/>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651C"/>
    <w:rsid w:val="00577BE0"/>
    <w:rsid w:val="005805D3"/>
    <w:rsid w:val="00580BAB"/>
    <w:rsid w:val="0058261B"/>
    <w:rsid w:val="00585770"/>
    <w:rsid w:val="00587E3F"/>
    <w:rsid w:val="00590185"/>
    <w:rsid w:val="00590D4D"/>
    <w:rsid w:val="00591866"/>
    <w:rsid w:val="00591CF5"/>
    <w:rsid w:val="00593204"/>
    <w:rsid w:val="005942AA"/>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3137"/>
    <w:rsid w:val="005D178A"/>
    <w:rsid w:val="005D1999"/>
    <w:rsid w:val="005D1F5E"/>
    <w:rsid w:val="005D31FD"/>
    <w:rsid w:val="005D5441"/>
    <w:rsid w:val="005D679A"/>
    <w:rsid w:val="005E0F1E"/>
    <w:rsid w:val="005E3738"/>
    <w:rsid w:val="005E3D63"/>
    <w:rsid w:val="005E5D2C"/>
    <w:rsid w:val="005E6479"/>
    <w:rsid w:val="005F0F7D"/>
    <w:rsid w:val="005F1CDD"/>
    <w:rsid w:val="005F2742"/>
    <w:rsid w:val="005F2F0A"/>
    <w:rsid w:val="005F7693"/>
    <w:rsid w:val="005F76C4"/>
    <w:rsid w:val="005F7A64"/>
    <w:rsid w:val="005F7F65"/>
    <w:rsid w:val="00601AA4"/>
    <w:rsid w:val="00601F78"/>
    <w:rsid w:val="006032A4"/>
    <w:rsid w:val="006039C9"/>
    <w:rsid w:val="00604B89"/>
    <w:rsid w:val="00610585"/>
    <w:rsid w:val="00610672"/>
    <w:rsid w:val="0061143D"/>
    <w:rsid w:val="00612619"/>
    <w:rsid w:val="00614664"/>
    <w:rsid w:val="006167FB"/>
    <w:rsid w:val="0062085E"/>
    <w:rsid w:val="006230DA"/>
    <w:rsid w:val="00623A98"/>
    <w:rsid w:val="006242B4"/>
    <w:rsid w:val="0062440B"/>
    <w:rsid w:val="00625B71"/>
    <w:rsid w:val="00631F22"/>
    <w:rsid w:val="00632530"/>
    <w:rsid w:val="00633847"/>
    <w:rsid w:val="00635E93"/>
    <w:rsid w:val="00636D03"/>
    <w:rsid w:val="006426D2"/>
    <w:rsid w:val="0064290F"/>
    <w:rsid w:val="00643874"/>
    <w:rsid w:val="00643905"/>
    <w:rsid w:val="00643A28"/>
    <w:rsid w:val="00643B22"/>
    <w:rsid w:val="006444C1"/>
    <w:rsid w:val="006453E1"/>
    <w:rsid w:val="00646E24"/>
    <w:rsid w:val="00650F19"/>
    <w:rsid w:val="00651218"/>
    <w:rsid w:val="00652008"/>
    <w:rsid w:val="0065234F"/>
    <w:rsid w:val="00652592"/>
    <w:rsid w:val="0065600F"/>
    <w:rsid w:val="006575B7"/>
    <w:rsid w:val="00657659"/>
    <w:rsid w:val="0066054C"/>
    <w:rsid w:val="00661021"/>
    <w:rsid w:val="00661C3F"/>
    <w:rsid w:val="00662D97"/>
    <w:rsid w:val="00663373"/>
    <w:rsid w:val="00664616"/>
    <w:rsid w:val="00667573"/>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31BA"/>
    <w:rsid w:val="006B5A68"/>
    <w:rsid w:val="006C0727"/>
    <w:rsid w:val="006C1116"/>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5793"/>
    <w:rsid w:val="00725E00"/>
    <w:rsid w:val="00725E55"/>
    <w:rsid w:val="00730896"/>
    <w:rsid w:val="00731001"/>
    <w:rsid w:val="00733C48"/>
    <w:rsid w:val="00735E68"/>
    <w:rsid w:val="007372C6"/>
    <w:rsid w:val="007411EF"/>
    <w:rsid w:val="00741A12"/>
    <w:rsid w:val="007422F8"/>
    <w:rsid w:val="00743535"/>
    <w:rsid w:val="00743E53"/>
    <w:rsid w:val="007441A4"/>
    <w:rsid w:val="00746093"/>
    <w:rsid w:val="00746E46"/>
    <w:rsid w:val="00747749"/>
    <w:rsid w:val="00747A2B"/>
    <w:rsid w:val="00750F7F"/>
    <w:rsid w:val="00751822"/>
    <w:rsid w:val="00751E46"/>
    <w:rsid w:val="00752311"/>
    <w:rsid w:val="00752344"/>
    <w:rsid w:val="00753D1F"/>
    <w:rsid w:val="00754479"/>
    <w:rsid w:val="00754F77"/>
    <w:rsid w:val="00755B07"/>
    <w:rsid w:val="00755B44"/>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369E"/>
    <w:rsid w:val="007C4EFB"/>
    <w:rsid w:val="007C7B06"/>
    <w:rsid w:val="007D1276"/>
    <w:rsid w:val="007D1605"/>
    <w:rsid w:val="007D16C1"/>
    <w:rsid w:val="007D17B5"/>
    <w:rsid w:val="007D1D3E"/>
    <w:rsid w:val="007D40D2"/>
    <w:rsid w:val="007D647D"/>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50FE2"/>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0710"/>
    <w:rsid w:val="00871503"/>
    <w:rsid w:val="008721C5"/>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594"/>
    <w:rsid w:val="008B2DB2"/>
    <w:rsid w:val="008B3629"/>
    <w:rsid w:val="008B6D63"/>
    <w:rsid w:val="008B7736"/>
    <w:rsid w:val="008B7F8C"/>
    <w:rsid w:val="008C0512"/>
    <w:rsid w:val="008C0C37"/>
    <w:rsid w:val="008C1976"/>
    <w:rsid w:val="008C3E58"/>
    <w:rsid w:val="008C3EB0"/>
    <w:rsid w:val="008C517D"/>
    <w:rsid w:val="008C54F8"/>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2F60"/>
    <w:rsid w:val="008F4475"/>
    <w:rsid w:val="008F5AE8"/>
    <w:rsid w:val="008F605D"/>
    <w:rsid w:val="008F60E8"/>
    <w:rsid w:val="00900FAD"/>
    <w:rsid w:val="00901625"/>
    <w:rsid w:val="0090241B"/>
    <w:rsid w:val="00904F80"/>
    <w:rsid w:val="00905B06"/>
    <w:rsid w:val="00906297"/>
    <w:rsid w:val="00907B30"/>
    <w:rsid w:val="0091289F"/>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D9D"/>
    <w:rsid w:val="009C1E8B"/>
    <w:rsid w:val="009C418B"/>
    <w:rsid w:val="009C46E5"/>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EF6"/>
    <w:rsid w:val="00A1757C"/>
    <w:rsid w:val="00A17A9C"/>
    <w:rsid w:val="00A20195"/>
    <w:rsid w:val="00A20804"/>
    <w:rsid w:val="00A21CBB"/>
    <w:rsid w:val="00A21DD9"/>
    <w:rsid w:val="00A22B05"/>
    <w:rsid w:val="00A22FD1"/>
    <w:rsid w:val="00A23113"/>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C2C"/>
    <w:rsid w:val="00A547F7"/>
    <w:rsid w:val="00A603C4"/>
    <w:rsid w:val="00A60AD5"/>
    <w:rsid w:val="00A6116C"/>
    <w:rsid w:val="00A61A13"/>
    <w:rsid w:val="00A64488"/>
    <w:rsid w:val="00A65017"/>
    <w:rsid w:val="00A651DD"/>
    <w:rsid w:val="00A667FC"/>
    <w:rsid w:val="00A66A8A"/>
    <w:rsid w:val="00A66C31"/>
    <w:rsid w:val="00A673FE"/>
    <w:rsid w:val="00A67F69"/>
    <w:rsid w:val="00A73A61"/>
    <w:rsid w:val="00A73CFE"/>
    <w:rsid w:val="00A74206"/>
    <w:rsid w:val="00A74398"/>
    <w:rsid w:val="00A74E7B"/>
    <w:rsid w:val="00A75BB5"/>
    <w:rsid w:val="00A77B42"/>
    <w:rsid w:val="00A802FA"/>
    <w:rsid w:val="00A8269A"/>
    <w:rsid w:val="00A8367A"/>
    <w:rsid w:val="00A8380E"/>
    <w:rsid w:val="00A83C51"/>
    <w:rsid w:val="00A84D49"/>
    <w:rsid w:val="00A8549C"/>
    <w:rsid w:val="00A874D0"/>
    <w:rsid w:val="00A87CBF"/>
    <w:rsid w:val="00A87F5D"/>
    <w:rsid w:val="00A91220"/>
    <w:rsid w:val="00A91A04"/>
    <w:rsid w:val="00A938CB"/>
    <w:rsid w:val="00A93E77"/>
    <w:rsid w:val="00A94242"/>
    <w:rsid w:val="00A96545"/>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37F5"/>
    <w:rsid w:val="00B0469E"/>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592"/>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A0D9E"/>
    <w:rsid w:val="00BA2A6B"/>
    <w:rsid w:val="00BA3197"/>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2A1"/>
    <w:rsid w:val="00BC5816"/>
    <w:rsid w:val="00BC7110"/>
    <w:rsid w:val="00BD04E5"/>
    <w:rsid w:val="00BD195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75C8"/>
    <w:rsid w:val="00BF7A19"/>
    <w:rsid w:val="00C0034E"/>
    <w:rsid w:val="00C006AD"/>
    <w:rsid w:val="00C009DD"/>
    <w:rsid w:val="00C011C1"/>
    <w:rsid w:val="00C01D6F"/>
    <w:rsid w:val="00C108EA"/>
    <w:rsid w:val="00C10900"/>
    <w:rsid w:val="00C10A27"/>
    <w:rsid w:val="00C118C8"/>
    <w:rsid w:val="00C11AEE"/>
    <w:rsid w:val="00C11F49"/>
    <w:rsid w:val="00C13996"/>
    <w:rsid w:val="00C14FBB"/>
    <w:rsid w:val="00C15472"/>
    <w:rsid w:val="00C1692A"/>
    <w:rsid w:val="00C177D3"/>
    <w:rsid w:val="00C20111"/>
    <w:rsid w:val="00C20FF9"/>
    <w:rsid w:val="00C21784"/>
    <w:rsid w:val="00C21C07"/>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FE"/>
    <w:rsid w:val="00CD1034"/>
    <w:rsid w:val="00CD1472"/>
    <w:rsid w:val="00CD26D8"/>
    <w:rsid w:val="00CD4089"/>
    <w:rsid w:val="00CD5660"/>
    <w:rsid w:val="00CD68DB"/>
    <w:rsid w:val="00CD6A68"/>
    <w:rsid w:val="00CD6CD7"/>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5D34"/>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5C8C"/>
    <w:rsid w:val="00E27016"/>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6DD4"/>
    <w:rsid w:val="00EE77DA"/>
    <w:rsid w:val="00EF0F4E"/>
    <w:rsid w:val="00EF216A"/>
    <w:rsid w:val="00EF3BD1"/>
    <w:rsid w:val="00EF4138"/>
    <w:rsid w:val="00EF594E"/>
    <w:rsid w:val="00F00A5B"/>
    <w:rsid w:val="00F01B60"/>
    <w:rsid w:val="00F0571C"/>
    <w:rsid w:val="00F05E8A"/>
    <w:rsid w:val="00F108A7"/>
    <w:rsid w:val="00F10904"/>
    <w:rsid w:val="00F11171"/>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56BC"/>
    <w:rsid w:val="00F55B3D"/>
    <w:rsid w:val="00F56607"/>
    <w:rsid w:val="00F57A5F"/>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A76"/>
    <w:rsid w:val="00FD7714"/>
    <w:rsid w:val="00FE07FC"/>
    <w:rsid w:val="00FE0D2F"/>
    <w:rsid w:val="00FE1DA9"/>
    <w:rsid w:val="00FE2318"/>
    <w:rsid w:val="00FE31C2"/>
    <w:rsid w:val="00FE4129"/>
    <w:rsid w:val="00FE4293"/>
    <w:rsid w:val="00FE4F54"/>
    <w:rsid w:val="00FE69AA"/>
    <w:rsid w:val="00FF046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6D30"/>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F0E00"/>
    <w:rsid w:val="00A07500"/>
    <w:rsid w:val="00A40458"/>
    <w:rsid w:val="00A93C93"/>
    <w:rsid w:val="00AB3E40"/>
    <w:rsid w:val="00AD5799"/>
    <w:rsid w:val="00BD3784"/>
    <w:rsid w:val="00C06C3A"/>
    <w:rsid w:val="00CB25CE"/>
    <w:rsid w:val="00CB5737"/>
    <w:rsid w:val="00CE3336"/>
    <w:rsid w:val="00D80779"/>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B4F1-432D-4FEC-9662-B9ACE5A8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3214</TotalTime>
  <Pages>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0476r2</dc:title>
  <dc:subject>Submission</dc:subject>
  <dc:creator>Chaoming Luo</dc:creator>
  <cp:keywords>xxxxr0</cp:keywords>
  <dc:description/>
  <cp:lastModifiedBy>luochaoming</cp:lastModifiedBy>
  <cp:revision>1884</cp:revision>
  <cp:lastPrinted>1900-01-01T08:00:00Z</cp:lastPrinted>
  <dcterms:created xsi:type="dcterms:W3CDTF">2021-12-13T23:51:00Z</dcterms:created>
  <dcterms:modified xsi:type="dcterms:W3CDTF">2023-03-24T04:25:00Z</dcterms:modified>
</cp:coreProperties>
</file>