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19B93B6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210E1C">
              <w:rPr>
                <w:lang w:eastAsia="zh-CN"/>
              </w:rPr>
              <w:t>TWT</w:t>
            </w:r>
            <w:r w:rsidR="00642364">
              <w:rPr>
                <w:lang w:eastAsia="zh-CN"/>
              </w:rPr>
              <w:t xml:space="preserve"> </w:t>
            </w:r>
            <w:r w:rsidR="00345D81">
              <w:rPr>
                <w:lang w:eastAsia="zh-CN"/>
              </w:rPr>
              <w:t>Info Frame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4A65128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2F13FD9D" w:rsidR="003F6F4A" w:rsidRDefault="00345D81" w:rsidP="003F6F4A"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16201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16998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345D81">
                              <w:rPr>
                                <w:rFonts w:eastAsia="Malgun Gothic"/>
                                <w:lang w:eastAsia="ko-KR"/>
                              </w:rPr>
                              <w:t>17847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r w:rsidR="00DA7C51">
                              <w:t>3</w:t>
                            </w:r>
                            <w:r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7B308E72" w14:textId="706674C0" w:rsidR="00DD0719" w:rsidRDefault="00DD0719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change normative text to a note</w:t>
                            </w:r>
                            <w:r w:rsidR="00CB7E86">
                              <w:t xml:space="preserve"> based on offline discussion</w:t>
                            </w:r>
                            <w:r w:rsidR="00890069">
                              <w:t xml:space="preserve"> and remove an unrelated CID 16200 from this document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4A65128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2F13FD9D" w:rsidR="003F6F4A" w:rsidRDefault="00345D81" w:rsidP="003F6F4A">
                      <w:r w:rsidRPr="00345D81">
                        <w:rPr>
                          <w:rFonts w:eastAsia="Malgun Gothic"/>
                          <w:lang w:eastAsia="ko-KR"/>
                        </w:rPr>
                        <w:t>16201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16998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345D81">
                        <w:rPr>
                          <w:rFonts w:eastAsia="Malgun Gothic"/>
                          <w:lang w:eastAsia="ko-KR"/>
                        </w:rPr>
                        <w:t>17847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r w:rsidR="00DA7C51">
                        <w:t>3</w:t>
                      </w:r>
                      <w:r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7B308E72" w14:textId="706674C0" w:rsidR="00DD0719" w:rsidRDefault="00DD0719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change normative text to a note</w:t>
                      </w:r>
                      <w:r w:rsidR="00CB7E86">
                        <w:t xml:space="preserve"> based on offline discussion</w:t>
                      </w:r>
                      <w:r w:rsidR="00890069">
                        <w:t xml:space="preserve"> and remove an unrelated CID 16200 from this document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18"/>
        <w:gridCol w:w="1062"/>
        <w:gridCol w:w="881"/>
        <w:gridCol w:w="2494"/>
        <w:gridCol w:w="2273"/>
        <w:gridCol w:w="201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25320F" w:rsidRPr="0025320F" w14:paraId="50E7D018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C9BB0" w14:textId="77777777" w:rsidR="0025320F" w:rsidRPr="0025320F" w:rsidRDefault="0025320F" w:rsidP="0025320F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16201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1D969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5F42C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4F801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802.11be should allow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TWT Information frame to control available links of the MLTWT flows. For instance, a STA that has TWT flow operating in links 1 and 2 should be able to temporarily suspend TWT Flow on link2.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B04CB" w14:textId="77777777" w:rsidR="0025320F" w:rsidRPr="0025320F" w:rsidRDefault="0025320F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add rules for TWT Information frame use when a STA has TWT Flow operating on multiple links. Please allow STA to suspend or resume a set of links/ all links by using TWT Information frame.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D60F" w14:textId="335A6BEC" w:rsidR="0025320F" w:rsidRPr="008779AD" w:rsidRDefault="00B72191" w:rsidP="0025320F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Agree with the comment in principle.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8779AD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#16201 in this document.</w:t>
            </w:r>
          </w:p>
        </w:tc>
      </w:tr>
      <w:tr w:rsidR="00B72191" w:rsidRPr="0025320F" w14:paraId="618993AC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270FF8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16998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C8279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62C95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585.16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914AF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TWT, which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link,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then the STA" should be "Between an AP MLD and a non-AP MLD associated with the AP MLD, if an individually addressed TWT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information frame for individual TWT that is intended for one STA affiliated with the associated MLD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with a setup link is transmitted to another STA affiliated with the associated MLD with a setup link and an</w:t>
            </w: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br/>
              <w:t>acknowledgement in response to the TWT information frame is received, the STA"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B857E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 Ditto for paras at line 27 and 39 and 47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D1FCC" w14:textId="4C58A366" w:rsidR="00B72191" w:rsidRPr="0025320F" w:rsidRDefault="00B72191" w:rsidP="00DD0719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 Apply the changes marked as #1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6998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 </w:t>
            </w:r>
          </w:p>
        </w:tc>
      </w:tr>
      <w:tr w:rsidR="00B72191" w:rsidRPr="0025320F" w14:paraId="080F7BB4" w14:textId="77777777" w:rsidTr="0025320F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32105" w14:textId="77777777" w:rsidR="00B72191" w:rsidRPr="0025320F" w:rsidRDefault="00B72191" w:rsidP="00B72191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6C078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35.3.24.2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2749D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586.23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08DA4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Currently, TWT Information frame cannot operate on an MLD level. A multi-link device (MLD) may want to suspend TWT schedules on multiple links to save power. Same argument for schedule resumption. There should be a way to indicate for which link(s) among the multiple links between the AP MLD and the non-AP MLD the TWT Information frame is intended.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6A7EA" w14:textId="77777777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25320F">
              <w:rPr>
                <w:rFonts w:ascii="Arial" w:eastAsia="宋体" w:hAnsi="Arial" w:cs="Arial"/>
                <w:sz w:val="20"/>
                <w:lang w:val="en-US" w:eastAsia="zh-CN"/>
              </w:rPr>
              <w:t>Please provide text to enhance functionality of TWT Information frame to indicate multiple intended links.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74A5F6" w14:textId="075E6A29" w:rsidR="00B72191" w:rsidRPr="0025320F" w:rsidRDefault="00B72191" w:rsidP="00B72191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br/>
              <w:t>Agree with the comment in princip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le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  <w:r w:rsidR="00DD0719">
              <w:rPr>
                <w:rFonts w:ascii="Arial" w:eastAsia="宋体" w:hAnsi="Arial" w:cs="Arial"/>
                <w:sz w:val="20"/>
                <w:lang w:val="en-US" w:eastAsia="zh-CN"/>
              </w:rPr>
              <w:t>A note about the u</w:t>
            </w:r>
            <w:r w:rsidR="00DD0719" w:rsidRPr="003F6F4A">
              <w:rPr>
                <w:rFonts w:ascii="Arial" w:eastAsia="宋体" w:hAnsi="Arial" w:cs="Arial"/>
                <w:sz w:val="20"/>
                <w:lang w:val="en-US" w:eastAsia="zh-CN"/>
              </w:rPr>
              <w:t>se of TWT Information frames in multi-link operation is added.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Apply the changes marked as #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17847</w:t>
            </w:r>
            <w:r w:rsidRPr="003F6F4A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document.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12B95873" w14:textId="5174AB39" w:rsidR="00890069" w:rsidRPr="00C547A4" w:rsidRDefault="00890069" w:rsidP="00890069">
      <w:pPr>
        <w:rPr>
          <w:b/>
          <w:i/>
          <w:highlight w:val="yellow"/>
        </w:rPr>
      </w:pPr>
      <w:proofErr w:type="spellStart"/>
      <w:r w:rsidRPr="00B0542A">
        <w:rPr>
          <w:b/>
          <w:i/>
          <w:highlight w:val="yellow"/>
        </w:rPr>
        <w:t>TGbe</w:t>
      </w:r>
      <w:proofErr w:type="spellEnd"/>
      <w:r w:rsidRPr="00B0542A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please </w:t>
      </w:r>
      <w:r>
        <w:rPr>
          <w:rFonts w:hint="eastAsia"/>
          <w:b/>
          <w:i/>
          <w:highlight w:val="yellow"/>
        </w:rPr>
        <w:t>add</w:t>
      </w:r>
      <w:r>
        <w:rPr>
          <w:b/>
          <w:i/>
          <w:highlight w:val="yellow"/>
        </w:rPr>
        <w:t xml:space="preserve"> the following note </w:t>
      </w:r>
      <w:r>
        <w:rPr>
          <w:rFonts w:hint="eastAsia"/>
          <w:b/>
          <w:i/>
          <w:highlight w:val="yellow"/>
        </w:rPr>
        <w:t>after</w:t>
      </w:r>
      <w:r>
        <w:rPr>
          <w:b/>
          <w:i/>
          <w:highlight w:val="yellow"/>
        </w:rPr>
        <w:t xml:space="preserve"> the first paragraph in </w:t>
      </w:r>
      <w:proofErr w:type="spellStart"/>
      <w:r>
        <w:rPr>
          <w:b/>
          <w:i/>
          <w:highlight w:val="yellow"/>
        </w:rPr>
        <w:t>subclause</w:t>
      </w:r>
      <w:proofErr w:type="spellEnd"/>
      <w:r>
        <w:rPr>
          <w:b/>
          <w:i/>
          <w:highlight w:val="yellow"/>
        </w:rPr>
        <w:t xml:space="preserve"> </w:t>
      </w:r>
      <w:r w:rsidRPr="00890069">
        <w:rPr>
          <w:b/>
          <w:i/>
          <w:highlight w:val="yellow"/>
        </w:rPr>
        <w:t>35.3.24.2 (Individual TWT agreements</w:t>
      </w:r>
      <w:proofErr w:type="gramStart"/>
      <w:r w:rsidRPr="00890069">
        <w:rPr>
          <w:b/>
          <w:i/>
          <w:highlight w:val="yellow"/>
        </w:rPr>
        <w:t xml:space="preserve">) </w:t>
      </w:r>
      <w:r>
        <w:rPr>
          <w:b/>
          <w:i/>
          <w:highlight w:val="yellow"/>
        </w:rPr>
        <w:t>:</w:t>
      </w:r>
      <w:proofErr w:type="gramEnd"/>
      <w:r>
        <w:rPr>
          <w:b/>
          <w:i/>
          <w:highlight w:val="yellow"/>
        </w:rPr>
        <w:t xml:space="preserve"> </w:t>
      </w:r>
      <w:ins w:id="5" w:author="Ming Gan" w:date="2023-06-27T08:15:00Z">
        <w:r w:rsidR="00B47394" w:rsidRPr="00B47394">
          <w:rPr>
            <w:b/>
            <w:i/>
          </w:rPr>
          <w:t>(#</w:t>
        </w:r>
        <w:r w:rsidR="00B47394" w:rsidRPr="00B47394">
          <w:rPr>
            <w:rFonts w:eastAsia="Malgun Gothic"/>
            <w:lang w:eastAsia="ko-KR"/>
          </w:rPr>
          <w:t>162</w:t>
        </w:r>
        <w:r w:rsidR="00B47394" w:rsidRPr="00345D81">
          <w:rPr>
            <w:rFonts w:eastAsia="Malgun Gothic"/>
            <w:lang w:eastAsia="ko-KR"/>
          </w:rPr>
          <w:t>01</w:t>
        </w:r>
        <w:r w:rsidR="00B47394">
          <w:rPr>
            <w:rFonts w:eastAsia="Malgun Gothic"/>
            <w:lang w:eastAsia="ko-KR"/>
          </w:rPr>
          <w:t xml:space="preserve"> </w:t>
        </w:r>
        <w:r w:rsidR="00B47394" w:rsidRPr="00345D81">
          <w:rPr>
            <w:rFonts w:eastAsia="Malgun Gothic"/>
            <w:lang w:eastAsia="ko-KR"/>
          </w:rPr>
          <w:t>16998</w:t>
        </w:r>
        <w:r w:rsidR="00B47394">
          <w:rPr>
            <w:rFonts w:eastAsia="Malgun Gothic"/>
            <w:lang w:eastAsia="ko-KR"/>
          </w:rPr>
          <w:t xml:space="preserve"> </w:t>
        </w:r>
        <w:r w:rsidR="00B47394" w:rsidRPr="00345D81">
          <w:rPr>
            <w:rFonts w:eastAsia="Malgun Gothic"/>
            <w:lang w:eastAsia="ko-KR"/>
          </w:rPr>
          <w:t>17847</w:t>
        </w:r>
        <w:r w:rsidR="00B47394">
          <w:rPr>
            <w:b/>
            <w:i/>
            <w:highlight w:val="yellow"/>
          </w:rPr>
          <w:t>)</w:t>
        </w:r>
      </w:ins>
    </w:p>
    <w:p w14:paraId="23D501C2" w14:textId="0A6EDECA" w:rsidR="00890069" w:rsidDel="00890069" w:rsidRDefault="00890069" w:rsidP="00C77B7B">
      <w:pPr>
        <w:pStyle w:val="T"/>
        <w:rPr>
          <w:del w:id="6" w:author="Ming Gan" w:date="2023-05-10T13:28:00Z"/>
          <w:rFonts w:ascii="TimesNewRomanPSMT" w:cs="TimesNewRomanPSMT"/>
          <w:lang w:val="en-GB" w:eastAsia="zh-CN"/>
        </w:rPr>
      </w:pPr>
    </w:p>
    <w:p w14:paraId="11C1E323" w14:textId="17924875" w:rsidR="00890069" w:rsidRPr="00890069" w:rsidDel="00890069" w:rsidRDefault="00890069" w:rsidP="00890069">
      <w:pPr>
        <w:pStyle w:val="T"/>
        <w:rPr>
          <w:del w:id="7" w:author="Ming Gan" w:date="2023-05-10T13:26:00Z"/>
          <w:rFonts w:ascii="TimesNewRomanPSMT" w:cs="TimesNewRomanPSMT"/>
          <w:lang w:val="en-GB" w:eastAsia="zh-CN"/>
        </w:rPr>
      </w:pPr>
      <w:ins w:id="8" w:author="Ming Gan" w:date="2023-05-10T13:26:00Z">
        <w:r>
          <w:rPr>
            <w:rStyle w:val="SC21323592"/>
          </w:rPr>
          <w:t>NOTE—</w:t>
        </w:r>
      </w:ins>
      <w:ins w:id="9" w:author="Ming Gan" w:date="2023-05-10T13:27:00Z">
        <w:r>
          <w:rPr>
            <w:rStyle w:val="SC21323592"/>
          </w:rPr>
          <w:t xml:space="preserve">When an </w:t>
        </w:r>
        <w:r w:rsidRPr="00890069">
          <w:rPr>
            <w:rStyle w:val="SC21323592"/>
          </w:rPr>
          <w:t>MLO Link Information element</w:t>
        </w:r>
        <w:r>
          <w:rPr>
            <w:rStyle w:val="SC21323592"/>
          </w:rPr>
          <w:t xml:space="preserve"> is present in </w:t>
        </w:r>
        <w:r>
          <w:rPr>
            <w:rStyle w:val="SC21323592"/>
            <w:rFonts w:hint="eastAsia"/>
            <w:lang w:eastAsia="zh-CN"/>
          </w:rPr>
          <w:t>a</w:t>
        </w:r>
        <w:r>
          <w:rPr>
            <w:rStyle w:val="SC21323592"/>
          </w:rPr>
          <w:t xml:space="preserve"> TWT </w:t>
        </w:r>
        <w:r w:rsidRPr="00890069">
          <w:rPr>
            <w:rStyle w:val="SC21323592"/>
          </w:rPr>
          <w:t>Information frame</w:t>
        </w:r>
        <w:r>
          <w:rPr>
            <w:rStyle w:val="SC21323592"/>
          </w:rPr>
          <w:t xml:space="preserve"> sent by </w:t>
        </w:r>
      </w:ins>
      <w:ins w:id="10" w:author="Ming Gan" w:date="2023-05-10T13:28:00Z">
        <w:r>
          <w:rPr>
            <w:rStyle w:val="SC21323592"/>
            <w:rFonts w:hint="eastAsia"/>
            <w:lang w:eastAsia="zh-CN"/>
          </w:rPr>
          <w:t>a</w:t>
        </w:r>
        <w:r w:rsidRPr="00890069">
          <w:rPr>
            <w:rStyle w:val="SC21323592"/>
          </w:rPr>
          <w:t xml:space="preserve"> STA affiliated with an MLD</w:t>
        </w:r>
        <w:r>
          <w:rPr>
            <w:rStyle w:val="SC21323592"/>
            <w:rFonts w:hint="eastAsia"/>
            <w:lang w:eastAsia="zh-CN"/>
          </w:rPr>
          <w:t>,</w:t>
        </w:r>
        <w:r>
          <w:rPr>
            <w:rStyle w:val="SC21323592"/>
            <w:lang w:eastAsia="zh-CN"/>
          </w:rPr>
          <w:t xml:space="preserve"> </w:t>
        </w:r>
        <w:r w:rsidRPr="00890069">
          <w:rPr>
            <w:rStyle w:val="SC21323592"/>
            <w:lang w:eastAsia="zh-CN"/>
          </w:rPr>
          <w:t>the Next TWT subfield (if present) is in reference to the TSF of the link indicated by the Link ID Bitmap subfield</w:t>
        </w:r>
      </w:ins>
      <w:ins w:id="11" w:author="Ming Gan" w:date="2023-05-10T13:29:00Z">
        <w:r>
          <w:rPr>
            <w:rStyle w:val="SC21323592"/>
            <w:lang w:eastAsia="zh-CN"/>
          </w:rPr>
          <w:t xml:space="preserve"> in the</w:t>
        </w:r>
        <w:r w:rsidRPr="00890069">
          <w:rPr>
            <w:rStyle w:val="SC21323592"/>
          </w:rPr>
          <w:t xml:space="preserve"> MLO Link Information element</w:t>
        </w:r>
      </w:ins>
      <w:ins w:id="12" w:author="Ming Gan" w:date="2023-05-10T13:28:00Z">
        <w:r>
          <w:rPr>
            <w:rStyle w:val="SC21323592"/>
            <w:lang w:eastAsia="zh-CN"/>
          </w:rPr>
          <w:t>.</w:t>
        </w:r>
      </w:ins>
    </w:p>
    <w:p w14:paraId="475A7737" w14:textId="61267BAF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13" w:author="Ganming(Ming Gan)" w:date="2023-03-08T22:54:00Z"/>
          <w:del w:id="14" w:author="Ming Gan" w:date="2023-05-10T13:28:00Z"/>
          <w:rFonts w:ascii="TimesNewRoman" w:cs="TimesNewRoman"/>
          <w:sz w:val="20"/>
          <w:lang w:val="en-US" w:eastAsia="zh-CN"/>
        </w:rPr>
      </w:pPr>
      <w:ins w:id="15" w:author="Ganming(Ming Gan)" w:date="2023-03-08T22:54:00Z">
        <w:del w:id="16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35.3.24.</w:delText>
          </w:r>
        </w:del>
      </w:ins>
      <w:ins w:id="17" w:author="Ganming(Ming Gan)" w:date="2023-03-08T22:55:00Z">
        <w:del w:id="18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5</w:delText>
          </w:r>
        </w:del>
      </w:ins>
      <w:ins w:id="19" w:author="Ganming(Ming Gan)" w:date="2023-03-08T22:54:00Z">
        <w:del w:id="20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 xml:space="preserve"> Use of TWT Information frames in multi-link operation (#</w:delText>
          </w:r>
        </w:del>
      </w:ins>
      <w:ins w:id="21" w:author="Ganming(Ming Gan)" w:date="2023-03-08T22:55:00Z">
        <w:del w:id="22" w:author="Ming Gan" w:date="2023-05-10T13:28:00Z">
          <w:r w:rsidRPr="00345D81" w:rsidDel="00890069">
            <w:rPr>
              <w:rFonts w:eastAsia="Malgun Gothic"/>
              <w:lang w:eastAsia="ko-KR"/>
            </w:rPr>
            <w:delText>16200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16201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16998</w:delText>
          </w:r>
          <w:r w:rsidDel="00890069">
            <w:rPr>
              <w:rFonts w:eastAsia="Malgun Gothic"/>
              <w:lang w:eastAsia="ko-KR"/>
            </w:rPr>
            <w:delText xml:space="preserve"> </w:delText>
          </w:r>
          <w:r w:rsidRPr="00345D81" w:rsidDel="00890069">
            <w:rPr>
              <w:rFonts w:eastAsia="Malgun Gothic"/>
              <w:lang w:eastAsia="ko-KR"/>
            </w:rPr>
            <w:delText>17847</w:delText>
          </w:r>
        </w:del>
      </w:ins>
      <w:ins w:id="23" w:author="Ganming(Ming Gan)" w:date="2023-03-08T22:54:00Z">
        <w:del w:id="24" w:author="Ming Gan" w:date="2023-05-10T13:28:00Z">
          <w:r w:rsidDel="00890069">
            <w:rPr>
              <w:rFonts w:ascii="Arial,Bold" w:eastAsia="Arial,Bold" w:cs="Arial,Bold"/>
              <w:b/>
              <w:bCs/>
              <w:sz w:val="20"/>
              <w:lang w:val="en-US"/>
            </w:rPr>
            <w:delText>)</w:delText>
          </w:r>
        </w:del>
      </w:ins>
    </w:p>
    <w:p w14:paraId="749C48A0" w14:textId="1C63C2CA" w:rsidR="00345D81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25" w:author="Ganming(Ming Gan)" w:date="2023-03-08T22:54:00Z"/>
          <w:del w:id="26" w:author="Ming Gan" w:date="2023-05-10T13:28:00Z"/>
          <w:rFonts w:ascii="TimesNewRoman" w:cs="TimesNewRoman"/>
          <w:sz w:val="20"/>
          <w:lang w:val="en-US" w:eastAsia="zh-CN"/>
        </w:rPr>
      </w:pPr>
    </w:p>
    <w:p w14:paraId="2A9B258D" w14:textId="5F124CE8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27" w:author="Ganming(Ming Gan)" w:date="2023-03-08T22:54:00Z"/>
          <w:del w:id="28" w:author="Ming Gan" w:date="2023-05-10T13:28:00Z"/>
          <w:rFonts w:ascii="TimesNewRoman" w:eastAsia="TimesNewRoman" w:cs="TimesNewRoman"/>
          <w:sz w:val="20"/>
          <w:lang w:val="en-US"/>
        </w:rPr>
      </w:pPr>
      <w:ins w:id="29" w:author="Ganming(Ming Gan)" w:date="2023-03-08T22:54:00Z">
        <w:del w:id="30" w:author="Ming Gan" w:date="2023-05-10T13:28:00Z">
          <w:r w:rsidRPr="00C04C9D" w:rsidDel="00890069">
            <w:rPr>
              <w:rFonts w:ascii="TimesNewRoman" w:cs="TimesNewRoman" w:hint="eastAsia"/>
              <w:sz w:val="20"/>
              <w:lang w:val="en-US" w:eastAsia="zh-CN"/>
            </w:rPr>
            <w:delText>A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STA affiliated with an MLD may transmit a TWT Information frame with </w:delText>
          </w:r>
          <w:r w:rsidRPr="002236F1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</w:delText>
          </w:r>
          <w:bookmarkStart w:id="31" w:name="_GoBack"/>
          <w:bookmarkEnd w:id="31"/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existing individual TWT agreements 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26.8.4.2 (TWT Information frame exchange for individual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existing individual TWT agreements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CFC5CC7" w14:textId="5C1D4A14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2" w:author="Ganming(Ming Gan)" w:date="2023-03-08T22:54:00Z"/>
          <w:del w:id="33" w:author="Ming Gan" w:date="2023-05-10T13:28:00Z"/>
          <w:rFonts w:ascii="TimesNewRoman" w:eastAsia="TimesNewRoman" w:cs="TimesNewRoman"/>
          <w:sz w:val="20"/>
          <w:lang w:val="en-US"/>
        </w:rPr>
      </w:pPr>
    </w:p>
    <w:p w14:paraId="18800DDF" w14:textId="57F8A63D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4" w:author="Ganming(Ming Gan)" w:date="2023-03-08T22:54:00Z"/>
          <w:del w:id="35" w:author="Ming Gan" w:date="2023-05-10T13:28:00Z"/>
          <w:rFonts w:ascii="TimesNewRoman" w:eastAsia="TimesNewRoman" w:cs="TimesNewRoman"/>
          <w:sz w:val="20"/>
          <w:lang w:val="en-US"/>
        </w:rPr>
      </w:pPr>
      <w:ins w:id="36" w:author="Ganming(Ming Gan)" w:date="2023-03-08T22:54:00Z">
        <w:del w:id="37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existing broadcast 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described in 26.8.4.3 (TWT Information frame exchange for broadcast TWT) except 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that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broadcast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03A0D3BF" w14:textId="790E688B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38" w:author="Ganming(Ming Gan)" w:date="2023-03-08T22:54:00Z"/>
          <w:del w:id="39" w:author="Ming Gan" w:date="2023-05-10T13:28:00Z"/>
          <w:rFonts w:ascii="TimesNewRoman" w:eastAsia="TimesNewRoman" w:cs="TimesNewRoman"/>
          <w:sz w:val="20"/>
          <w:lang w:val="en-US"/>
        </w:rPr>
      </w:pPr>
    </w:p>
    <w:p w14:paraId="4BE7EE8C" w14:textId="29636F1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0" w:author="Ganming(Ming Gan)" w:date="2023-03-08T22:54:00Z"/>
          <w:del w:id="41" w:author="Ming Gan" w:date="2023-05-10T13:28:00Z"/>
          <w:rFonts w:ascii="TimesNewRoman" w:eastAsia="TimesNewRoman" w:cs="TimesNewRoman"/>
          <w:sz w:val="20"/>
          <w:lang w:val="en-US"/>
        </w:rPr>
      </w:pPr>
      <w:ins w:id="42" w:author="Ganming(Ming Gan)" w:date="2023-03-08T22:54:00Z">
        <w:del w:id="43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provid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e a flexible TWT that is independent of any existing TWT agreements or TWT schedules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described in 26.8.4.4 (TWT Information frame exchange for flexible wake time)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the flexible 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BB7587D" w14:textId="66AAD35F" w:rsidR="00345D81" w:rsidRPr="00C04C9D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4" w:author="Ganming(Ming Gan)" w:date="2023-03-08T22:54:00Z"/>
          <w:del w:id="45" w:author="Ming Gan" w:date="2023-05-10T13:28:00Z"/>
          <w:rFonts w:ascii="TimesNewRoman" w:eastAsia="TimesNewRoman" w:cs="TimesNewRoman"/>
          <w:sz w:val="20"/>
          <w:lang w:val="en-US"/>
        </w:rPr>
      </w:pPr>
    </w:p>
    <w:p w14:paraId="63CA6EE7" w14:textId="1BADFD31" w:rsidR="00345D81" w:rsidRPr="00775906" w:rsidDel="00890069" w:rsidRDefault="00345D81" w:rsidP="00345D81">
      <w:pPr>
        <w:widowControl w:val="0"/>
        <w:autoSpaceDE w:val="0"/>
        <w:autoSpaceDN w:val="0"/>
        <w:adjustRightInd w:val="0"/>
        <w:jc w:val="left"/>
        <w:rPr>
          <w:ins w:id="46" w:author="Ganming(Ming Gan)" w:date="2023-03-08T22:54:00Z"/>
          <w:del w:id="47" w:author="Ming Gan" w:date="2023-05-10T13:28:00Z"/>
          <w:rFonts w:ascii="TimesNewRoman" w:eastAsia="TimesNewRoman" w:cs="TimesNewRoman"/>
          <w:sz w:val="20"/>
          <w:lang w:val="en-US"/>
        </w:rPr>
      </w:pPr>
      <w:ins w:id="48" w:author="Ganming(Ming Gan)" w:date="2023-03-08T22:54:00Z">
        <w:del w:id="49" w:author="Ming Gan" w:date="2023-05-10T13:28:00Z"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A STA affiliated with an MLD may transmit a TWT Information frame with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to its peer STA affiliated with another MLD to suspend and/or resume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existing </w:delText>
          </w:r>
          <w:r w:rsidRPr="00775906" w:rsidDel="00890069">
            <w:rPr>
              <w:sz w:val="20"/>
              <w:lang w:val="en-US" w:eastAsia="zh-CN"/>
            </w:rPr>
            <w:delText>R-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TWT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schedules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 xml:space="preserve">as 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>described in 35.8.6 (</w:delText>
          </w:r>
          <w:r w:rsidRPr="006A7179" w:rsidDel="00890069">
            <w:rPr>
              <w:rFonts w:ascii="TimesNewRoman" w:eastAsia="TimesNewRoman" w:cs="TimesNewRoman"/>
              <w:sz w:val="20"/>
              <w:lang w:val="en-US"/>
            </w:rPr>
            <w:delText>TWT Information frame exchange for R-TWT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) except</w:delText>
          </w:r>
          <w:r w:rsidDel="00890069">
            <w:rPr>
              <w:rFonts w:ascii="TimesNewRoman" w:eastAsia="TimesNewRoman" w:cs="TimesNewRoman"/>
              <w:sz w:val="20"/>
              <w:lang w:val="en-US"/>
            </w:rPr>
            <w:delText xml:space="preserve"> that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existing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 R-TWT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schedules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 xml:space="preserve"> are setup for the link indicated by the Link ID Bitmap subfield of 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>MLO Link Information element and the Next TWT subfiel</w:delText>
          </w:r>
          <w:r w:rsidRPr="00C04C9D" w:rsidDel="00890069">
            <w:rPr>
              <w:rFonts w:ascii="TimesNewRoman" w:cs="TimesNewRoman"/>
              <w:sz w:val="20"/>
              <w:lang w:val="en-US" w:eastAsia="zh-CN"/>
            </w:rPr>
            <w:delText>d (if present) is i</w:delText>
          </w:r>
          <w:r w:rsidRPr="00C04C9D" w:rsidDel="00890069">
            <w:rPr>
              <w:rFonts w:ascii="TimesNewRoman" w:eastAsia="TimesNewRoman" w:cs="TimesNewRoman"/>
              <w:sz w:val="20"/>
              <w:lang w:val="en-US"/>
            </w:rPr>
            <w:delText xml:space="preserve">n reference to the TSF of the link </w:delText>
          </w:r>
          <w:r w:rsidRPr="00775906" w:rsidDel="00890069">
            <w:rPr>
              <w:rFonts w:ascii="TimesNewRoman" w:cs="TimesNewRoman"/>
              <w:sz w:val="20"/>
              <w:lang w:val="en-US" w:eastAsia="zh-CN"/>
            </w:rPr>
            <w:delText>indicated by the Link ID Bitmap subfield</w:delText>
          </w:r>
          <w:r w:rsidRPr="00775906" w:rsidDel="00890069">
            <w:rPr>
              <w:rFonts w:ascii="TimesNewRoman" w:eastAsia="TimesNewRoman" w:cs="TimesNewRoman"/>
              <w:sz w:val="20"/>
              <w:lang w:val="en-US"/>
            </w:rPr>
            <w:delText xml:space="preserve">. </w:delText>
          </w:r>
        </w:del>
      </w:ins>
    </w:p>
    <w:p w14:paraId="17ECAC5C" w14:textId="7CD70E33" w:rsidR="00952139" w:rsidDel="00890069" w:rsidRDefault="00952139" w:rsidP="00DD39E6">
      <w:pPr>
        <w:widowControl w:val="0"/>
        <w:autoSpaceDE w:val="0"/>
        <w:autoSpaceDN w:val="0"/>
        <w:adjustRightInd w:val="0"/>
        <w:jc w:val="left"/>
        <w:rPr>
          <w:del w:id="50" w:author="Ming Gan" w:date="2023-05-10T13:28:00Z"/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51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DF35" w14:textId="77777777" w:rsidR="00322D4B" w:rsidRDefault="00322D4B">
      <w:r>
        <w:separator/>
      </w:r>
    </w:p>
  </w:endnote>
  <w:endnote w:type="continuationSeparator" w:id="0">
    <w:p w14:paraId="16CEEB54" w14:textId="77777777" w:rsidR="00322D4B" w:rsidRDefault="003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2931E3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B47394">
      <w:rPr>
        <w:noProof/>
      </w:rPr>
      <w:t>4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C99C" w14:textId="77777777" w:rsidR="00322D4B" w:rsidRDefault="00322D4B">
      <w:r>
        <w:separator/>
      </w:r>
    </w:p>
  </w:footnote>
  <w:footnote w:type="continuationSeparator" w:id="0">
    <w:p w14:paraId="676D776C" w14:textId="77777777" w:rsidR="00322D4B" w:rsidRDefault="003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58CF146" w:rsidR="007205AE" w:rsidRDefault="00345D81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</w:t>
    </w:r>
    <w:r w:rsidR="007205AE">
      <w:t>. 202</w:t>
    </w:r>
    <w:r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852162">
      <w:rPr>
        <w:lang w:eastAsia="zh-CN"/>
      </w:rPr>
      <w:t>0384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 w:rsidR="00B47394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3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4BD9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2D4B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069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86D0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47394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7E86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A7C51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0719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9006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89006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87708FB-F58A-413F-B8E8-AD1A355B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2023-06-27T00:14:00Z</dcterms:created>
  <dcterms:modified xsi:type="dcterms:W3CDTF">2023-06-27T00:16:00Z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(3)7lfoDU7qnETw6bzwGZL+rgvuO3bJWhE9Kmmz7kJmmGWd8/OEBBalTmO7JqjrhPR/br0OY/HT
rKfXAX3VJElHdDqAGZf1KePpNi89lBVj0OweIS7VNMB6JBV3r/pXLsQgPWiwC6E1r1IgA/5y
kYt2g+dyUZVNcnOT/K48hcMqcSqA/hRgMwID7mWwi8ZRUWBLR9K1H2LgXtm2NrACse1hP/Yu
9tvzNUoeZQuDFj8Mt/</vt:lpwstr>
  </property>
  <property fmtid="{D5CDD505-2E9C-101B-9397-08002B2CF9AE}" pid="7" name="_2015_ms_pID_7253431">
    <vt:lpwstr>ECCil+z7lOCAMIS9i9BigOWq73nP1gdOHgpAqLyQ6lmX+3uRZ7JVMP
PV/jVmPS9BdPWkszyA3cEJNNFUZX5y0fh6AtJGcAj6/EQbMYxAUwtKfHI1UL+PQMhzOES4po
eEE4b4vDqe2lK0hh/FFQeqXW8A2Op3JM2d34vPHycunwbwjMh1MRTKzUfj4SCwIc9JHE5A5K
34/+Iwxk7mhXtcZuknxUv9Lx1XMbMgcZUwzb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+CrpcL9oK5AA0fBVKmuOXVU=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