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137"/>
        <w:gridCol w:w="2265"/>
        <w:gridCol w:w="1560"/>
        <w:gridCol w:w="2351"/>
      </w:tblGrid>
      <w:tr w:rsidR="00CA09B2" w:rsidTr="00A22F91">
        <w:trPr>
          <w:trHeight w:val="485"/>
          <w:jc w:val="center"/>
        </w:trPr>
        <w:tc>
          <w:tcPr>
            <w:tcW w:w="9576" w:type="dxa"/>
            <w:gridSpan w:val="5"/>
            <w:vAlign w:val="center"/>
          </w:tcPr>
          <w:p w:rsidR="00CA09B2" w:rsidRDefault="00656206" w:rsidP="00ED7E46">
            <w:pPr>
              <w:pStyle w:val="T2"/>
            </w:pPr>
            <w:r>
              <w:rPr>
                <w:rFonts w:hint="eastAsia"/>
                <w:lang w:eastAsia="ja-JP"/>
              </w:rPr>
              <w:t>LB2</w:t>
            </w:r>
            <w:r w:rsidR="00AE7083">
              <w:rPr>
                <w:rFonts w:hint="eastAsia"/>
                <w:lang w:eastAsia="ja-JP"/>
              </w:rPr>
              <w:t>70</w:t>
            </w:r>
            <w:r>
              <w:rPr>
                <w:lang w:eastAsia="ja-JP"/>
              </w:rPr>
              <w:t>: Resol</w:t>
            </w:r>
            <w:r w:rsidR="00635B52">
              <w:rPr>
                <w:lang w:eastAsia="ja-JP"/>
              </w:rPr>
              <w:t>u</w:t>
            </w:r>
            <w:r>
              <w:rPr>
                <w:lang w:eastAsia="ja-JP"/>
              </w:rPr>
              <w:t xml:space="preserve">tion for CID </w:t>
            </w:r>
            <w:r w:rsidR="00AE7083">
              <w:rPr>
                <w:lang w:eastAsia="ja-JP"/>
              </w:rPr>
              <w:t>3820</w:t>
            </w:r>
          </w:p>
        </w:tc>
      </w:tr>
      <w:tr w:rsidR="00CA09B2" w:rsidTr="00A22F91">
        <w:trPr>
          <w:trHeight w:val="359"/>
          <w:jc w:val="center"/>
        </w:trPr>
        <w:tc>
          <w:tcPr>
            <w:tcW w:w="9576" w:type="dxa"/>
            <w:gridSpan w:val="5"/>
            <w:vAlign w:val="center"/>
          </w:tcPr>
          <w:p w:rsidR="00CA09B2" w:rsidRDefault="00CA09B2" w:rsidP="006446B6">
            <w:pPr>
              <w:pStyle w:val="T2"/>
              <w:ind w:left="0"/>
              <w:rPr>
                <w:sz w:val="20"/>
              </w:rPr>
            </w:pPr>
            <w:r>
              <w:rPr>
                <w:sz w:val="20"/>
              </w:rPr>
              <w:t>Date:</w:t>
            </w:r>
            <w:r>
              <w:rPr>
                <w:b w:val="0"/>
                <w:sz w:val="20"/>
              </w:rPr>
              <w:t xml:space="preserve">  </w:t>
            </w:r>
            <w:r w:rsidR="00656206">
              <w:rPr>
                <w:b w:val="0"/>
                <w:sz w:val="20"/>
              </w:rPr>
              <w:t>202</w:t>
            </w:r>
            <w:r w:rsidR="00895F44">
              <w:rPr>
                <w:b w:val="0"/>
                <w:sz w:val="20"/>
              </w:rPr>
              <w:t>3</w:t>
            </w:r>
            <w:r>
              <w:rPr>
                <w:b w:val="0"/>
                <w:sz w:val="20"/>
              </w:rPr>
              <w:t>-</w:t>
            </w:r>
            <w:r w:rsidR="00656206">
              <w:rPr>
                <w:b w:val="0"/>
                <w:sz w:val="20"/>
              </w:rPr>
              <w:t>0</w:t>
            </w:r>
            <w:r w:rsidR="00895F44">
              <w:rPr>
                <w:b w:val="0"/>
                <w:sz w:val="20"/>
              </w:rPr>
              <w:t>3</w:t>
            </w:r>
            <w:r>
              <w:rPr>
                <w:b w:val="0"/>
                <w:sz w:val="20"/>
              </w:rPr>
              <w:t>-</w:t>
            </w:r>
            <w:r w:rsidR="00F61893">
              <w:rPr>
                <w:b w:val="0"/>
                <w:sz w:val="20"/>
              </w:rPr>
              <w:t>0</w:t>
            </w:r>
            <w:r w:rsidR="00514EE6">
              <w:rPr>
                <w:rFonts w:hint="eastAsia"/>
                <w:b w:val="0"/>
                <w:sz w:val="20"/>
                <w:lang w:eastAsia="ja-JP"/>
              </w:rPr>
              <w:t>9</w:t>
            </w:r>
          </w:p>
        </w:tc>
      </w:tr>
      <w:tr w:rsidR="00CA09B2" w:rsidTr="00A22F91">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22F91">
        <w:trPr>
          <w:jc w:val="center"/>
        </w:trPr>
        <w:tc>
          <w:tcPr>
            <w:tcW w:w="2263" w:type="dxa"/>
            <w:vAlign w:val="center"/>
          </w:tcPr>
          <w:p w:rsidR="00CA09B2" w:rsidRDefault="00CA09B2">
            <w:pPr>
              <w:pStyle w:val="T2"/>
              <w:spacing w:after="0"/>
              <w:ind w:left="0" w:right="0"/>
              <w:jc w:val="left"/>
              <w:rPr>
                <w:sz w:val="20"/>
              </w:rPr>
            </w:pPr>
            <w:r>
              <w:rPr>
                <w:sz w:val="20"/>
              </w:rPr>
              <w:t>Name</w:t>
            </w:r>
          </w:p>
        </w:tc>
        <w:tc>
          <w:tcPr>
            <w:tcW w:w="1137" w:type="dxa"/>
            <w:vAlign w:val="center"/>
          </w:tcPr>
          <w:p w:rsidR="00CA09B2" w:rsidRDefault="0062440B">
            <w:pPr>
              <w:pStyle w:val="T2"/>
              <w:spacing w:after="0"/>
              <w:ind w:left="0" w:right="0"/>
              <w:jc w:val="left"/>
              <w:rPr>
                <w:sz w:val="20"/>
              </w:rPr>
            </w:pPr>
            <w:r>
              <w:rPr>
                <w:sz w:val="20"/>
              </w:rPr>
              <w:t>Affiliation</w:t>
            </w:r>
          </w:p>
        </w:tc>
        <w:tc>
          <w:tcPr>
            <w:tcW w:w="2265" w:type="dxa"/>
            <w:vAlign w:val="center"/>
          </w:tcPr>
          <w:p w:rsidR="00CA09B2" w:rsidRDefault="00CA09B2">
            <w:pPr>
              <w:pStyle w:val="T2"/>
              <w:spacing w:after="0"/>
              <w:ind w:left="0" w:right="0"/>
              <w:jc w:val="left"/>
              <w:rPr>
                <w:sz w:val="20"/>
              </w:rPr>
            </w:pPr>
            <w:r>
              <w:rPr>
                <w:sz w:val="20"/>
              </w:rPr>
              <w:t>Address</w:t>
            </w:r>
          </w:p>
        </w:tc>
        <w:tc>
          <w:tcPr>
            <w:tcW w:w="1560" w:type="dxa"/>
            <w:vAlign w:val="center"/>
          </w:tcPr>
          <w:p w:rsidR="00CA09B2" w:rsidRDefault="00CA09B2">
            <w:pPr>
              <w:pStyle w:val="T2"/>
              <w:spacing w:after="0"/>
              <w:ind w:left="0" w:right="0"/>
              <w:jc w:val="left"/>
              <w:rPr>
                <w:sz w:val="20"/>
              </w:rPr>
            </w:pPr>
            <w:r>
              <w:rPr>
                <w:sz w:val="20"/>
              </w:rPr>
              <w:t>Phone</w:t>
            </w:r>
          </w:p>
        </w:tc>
        <w:tc>
          <w:tcPr>
            <w:tcW w:w="2351" w:type="dxa"/>
            <w:vAlign w:val="center"/>
          </w:tcPr>
          <w:p w:rsidR="00CA09B2" w:rsidRDefault="00CA09B2">
            <w:pPr>
              <w:pStyle w:val="T2"/>
              <w:spacing w:after="0"/>
              <w:ind w:left="0" w:right="0"/>
              <w:jc w:val="left"/>
              <w:rPr>
                <w:sz w:val="20"/>
              </w:rPr>
            </w:pPr>
            <w:r>
              <w:rPr>
                <w:sz w:val="20"/>
              </w:rPr>
              <w:t>email</w:t>
            </w:r>
          </w:p>
        </w:tc>
      </w:tr>
      <w:tr w:rsidR="00656206" w:rsidTr="00A22F91">
        <w:trPr>
          <w:jc w:val="center"/>
        </w:trPr>
        <w:tc>
          <w:tcPr>
            <w:tcW w:w="2263" w:type="dxa"/>
            <w:vAlign w:val="center"/>
          </w:tcPr>
          <w:p w:rsidR="00656206" w:rsidRDefault="00895F44" w:rsidP="00656206">
            <w:pPr>
              <w:pStyle w:val="T2"/>
              <w:spacing w:after="0"/>
              <w:ind w:left="0" w:right="0"/>
              <w:rPr>
                <w:b w:val="0"/>
                <w:sz w:val="20"/>
              </w:rPr>
            </w:pPr>
            <w:r>
              <w:rPr>
                <w:b w:val="0"/>
                <w:sz w:val="20"/>
                <w:lang w:eastAsia="ja-JP"/>
              </w:rPr>
              <w:t>Yusuke Asai</w:t>
            </w:r>
          </w:p>
        </w:tc>
        <w:tc>
          <w:tcPr>
            <w:tcW w:w="1137" w:type="dxa"/>
            <w:vAlign w:val="center"/>
          </w:tcPr>
          <w:p w:rsidR="00656206" w:rsidRDefault="00895F44" w:rsidP="00895F44">
            <w:pPr>
              <w:pStyle w:val="T2"/>
              <w:spacing w:after="0"/>
              <w:ind w:left="0" w:right="0"/>
              <w:rPr>
                <w:b w:val="0"/>
                <w:sz w:val="20"/>
              </w:rPr>
            </w:pPr>
            <w:r>
              <w:rPr>
                <w:rFonts w:hint="eastAsia"/>
                <w:b w:val="0"/>
                <w:sz w:val="20"/>
                <w:lang w:eastAsia="ja-JP"/>
              </w:rPr>
              <w:t>N</w:t>
            </w:r>
            <w:r>
              <w:rPr>
                <w:b w:val="0"/>
                <w:sz w:val="20"/>
                <w:lang w:eastAsia="ja-JP"/>
              </w:rPr>
              <w:t>TT</w:t>
            </w:r>
          </w:p>
        </w:tc>
        <w:tc>
          <w:tcPr>
            <w:tcW w:w="2265" w:type="dxa"/>
            <w:vAlign w:val="center"/>
          </w:tcPr>
          <w:p w:rsidR="00656206" w:rsidRDefault="00656206">
            <w:pPr>
              <w:pStyle w:val="T2"/>
              <w:spacing w:after="0"/>
              <w:ind w:left="0" w:right="0"/>
              <w:rPr>
                <w:b w:val="0"/>
                <w:sz w:val="20"/>
              </w:rPr>
            </w:pPr>
          </w:p>
        </w:tc>
        <w:tc>
          <w:tcPr>
            <w:tcW w:w="1560" w:type="dxa"/>
            <w:vAlign w:val="center"/>
          </w:tcPr>
          <w:p w:rsidR="00656206" w:rsidRDefault="00656206">
            <w:pPr>
              <w:pStyle w:val="T2"/>
              <w:spacing w:after="0"/>
              <w:ind w:left="0" w:right="0"/>
              <w:rPr>
                <w:b w:val="0"/>
                <w:sz w:val="20"/>
              </w:rPr>
            </w:pPr>
          </w:p>
        </w:tc>
        <w:tc>
          <w:tcPr>
            <w:tcW w:w="2351" w:type="dxa"/>
            <w:vAlign w:val="center"/>
          </w:tcPr>
          <w:p w:rsidR="00656206" w:rsidRDefault="00895F44">
            <w:pPr>
              <w:pStyle w:val="T2"/>
              <w:spacing w:after="0"/>
              <w:ind w:left="0" w:right="0"/>
              <w:rPr>
                <w:b w:val="0"/>
                <w:sz w:val="16"/>
              </w:rPr>
            </w:pPr>
            <w:r>
              <w:rPr>
                <w:b w:val="0"/>
                <w:sz w:val="16"/>
                <w:lang w:eastAsia="ja-JP"/>
              </w:rPr>
              <w:t>yusuke.asai.ux@hco.ntt.co.jp</w:t>
            </w:r>
          </w:p>
        </w:tc>
      </w:tr>
    </w:tbl>
    <w:p w:rsidR="00CA09B2" w:rsidRDefault="00656206">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656206" w:rsidRDefault="00656206" w:rsidP="00656206">
                            <w:pPr>
                              <w:jc w:val="both"/>
                            </w:pPr>
                            <w:r>
                              <w:t xml:space="preserve">This submission proposes resolutions for the CID </w:t>
                            </w:r>
                            <w:r w:rsidR="00AE7083">
                              <w:t>3820</w:t>
                            </w:r>
                            <w:r w:rsidR="00895F44">
                              <w:t xml:space="preserve"> received for </w:t>
                            </w:r>
                            <w:proofErr w:type="spellStart"/>
                            <w:r w:rsidR="00895F44">
                              <w:t>TGme</w:t>
                            </w:r>
                            <w:proofErr w:type="spellEnd"/>
                            <w:r w:rsidR="00895F44">
                              <w:t xml:space="preserve"> LB</w:t>
                            </w:r>
                            <w:r w:rsidR="00AE7083">
                              <w:t>270</w:t>
                            </w:r>
                            <w:r w:rsidR="00895F44">
                              <w:t xml:space="preserve">. </w:t>
                            </w:r>
                          </w:p>
                          <w:p w:rsidR="00656206" w:rsidRDefault="00656206" w:rsidP="00656206">
                            <w:pPr>
                              <w:jc w:val="both"/>
                            </w:pPr>
                          </w:p>
                          <w:p w:rsidR="00656206" w:rsidRDefault="00656206" w:rsidP="00656206">
                            <w:pPr>
                              <w:jc w:val="both"/>
                            </w:pPr>
                            <w:r>
                              <w:t>Revisions:</w:t>
                            </w:r>
                          </w:p>
                          <w:p w:rsidR="0029020B" w:rsidRDefault="00656206" w:rsidP="00656206">
                            <w:pPr>
                              <w:jc w:val="both"/>
                            </w:pPr>
                            <w:r>
                              <w:t>-</w:t>
                            </w:r>
                            <w:r>
                              <w:tab/>
                              <w:t>Rev 0: Initial version of the document.</w:t>
                            </w:r>
                            <w:r w:rsidR="00C91AB4">
                              <w:t xml:space="preserve"> </w:t>
                            </w:r>
                          </w:p>
                          <w:p w:rsidR="00C91AB4" w:rsidRDefault="00C91AB4" w:rsidP="00656206">
                            <w:pPr>
                              <w:jc w:val="both"/>
                            </w:pPr>
                            <w:r w:rsidRPr="00C91AB4">
                              <w:t>-</w:t>
                            </w:r>
                            <w:r w:rsidRPr="00C91AB4">
                              <w:tab/>
                              <w:t xml:space="preserve">Rev </w:t>
                            </w:r>
                            <w:r>
                              <w:t>1</w:t>
                            </w:r>
                            <w:r w:rsidRPr="00C91AB4">
                              <w:t xml:space="preserve">: </w:t>
                            </w:r>
                            <w:r>
                              <w:t>Revise the resolution text</w:t>
                            </w:r>
                            <w:r w:rsidRPr="00C91AB4">
                              <w:t>.</w:t>
                            </w:r>
                            <w:r>
                              <w:t xml:space="preserve"> </w:t>
                            </w:r>
                          </w:p>
                          <w:p w:rsidR="0029020B" w:rsidRPr="00C91AB4" w:rsidRDefault="00290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656206" w:rsidRDefault="00656206" w:rsidP="00656206">
                      <w:pPr>
                        <w:jc w:val="both"/>
                      </w:pPr>
                      <w:r>
                        <w:t xml:space="preserve">This submission proposes resolutions for the CID </w:t>
                      </w:r>
                      <w:r w:rsidR="00AE7083">
                        <w:t>3820</w:t>
                      </w:r>
                      <w:r w:rsidR="00895F44">
                        <w:t xml:space="preserve"> received for </w:t>
                      </w:r>
                      <w:proofErr w:type="spellStart"/>
                      <w:r w:rsidR="00895F44">
                        <w:t>TGme</w:t>
                      </w:r>
                      <w:proofErr w:type="spellEnd"/>
                      <w:r w:rsidR="00895F44">
                        <w:t xml:space="preserve"> LB</w:t>
                      </w:r>
                      <w:r w:rsidR="00AE7083">
                        <w:t>270</w:t>
                      </w:r>
                      <w:r w:rsidR="00895F44">
                        <w:t xml:space="preserve">. </w:t>
                      </w:r>
                    </w:p>
                    <w:p w:rsidR="00656206" w:rsidRDefault="00656206" w:rsidP="00656206">
                      <w:pPr>
                        <w:jc w:val="both"/>
                      </w:pPr>
                    </w:p>
                    <w:p w:rsidR="00656206" w:rsidRDefault="00656206" w:rsidP="00656206">
                      <w:pPr>
                        <w:jc w:val="both"/>
                      </w:pPr>
                      <w:r>
                        <w:t>Revisions:</w:t>
                      </w:r>
                    </w:p>
                    <w:p w:rsidR="0029020B" w:rsidRDefault="00656206" w:rsidP="00656206">
                      <w:pPr>
                        <w:jc w:val="both"/>
                      </w:pPr>
                      <w:r>
                        <w:t>-</w:t>
                      </w:r>
                      <w:r>
                        <w:tab/>
                        <w:t>Rev 0: Initial version of the document.</w:t>
                      </w:r>
                      <w:r w:rsidR="00C91AB4">
                        <w:t xml:space="preserve"> </w:t>
                      </w:r>
                    </w:p>
                    <w:p w:rsidR="00C91AB4" w:rsidRDefault="00C91AB4" w:rsidP="00656206">
                      <w:pPr>
                        <w:jc w:val="both"/>
                      </w:pPr>
                      <w:r w:rsidRPr="00C91AB4">
                        <w:t>-</w:t>
                      </w:r>
                      <w:r w:rsidRPr="00C91AB4">
                        <w:tab/>
                        <w:t xml:space="preserve">Rev </w:t>
                      </w:r>
                      <w:r>
                        <w:t>1</w:t>
                      </w:r>
                      <w:r w:rsidRPr="00C91AB4">
                        <w:t xml:space="preserve">: </w:t>
                      </w:r>
                      <w:r>
                        <w:t>Revise the resolution text</w:t>
                      </w:r>
                      <w:r w:rsidRPr="00C91AB4">
                        <w:t>.</w:t>
                      </w:r>
                      <w:r>
                        <w:t xml:space="preserve"> </w:t>
                      </w:r>
                    </w:p>
                    <w:p w:rsidR="0029020B" w:rsidRPr="00C91AB4" w:rsidRDefault="0029020B"/>
                  </w:txbxContent>
                </v:textbox>
              </v:shape>
            </w:pict>
          </mc:Fallback>
        </mc:AlternateContent>
      </w:r>
    </w:p>
    <w:p w:rsidR="00CA09B2" w:rsidRDefault="00CA09B2">
      <w:pPr>
        <w:rPr>
          <w:b/>
          <w:u w:val="single"/>
        </w:rPr>
      </w:pPr>
      <w:r>
        <w:br w:type="page"/>
      </w:r>
      <w:r w:rsidR="00656206">
        <w:rPr>
          <w:b/>
          <w:u w:val="single"/>
        </w:rPr>
        <w:lastRenderedPageBreak/>
        <w:t>Comments</w:t>
      </w:r>
    </w:p>
    <w:p w:rsidR="00CA09B2" w:rsidRDefault="00CA09B2"/>
    <w:tbl>
      <w:tblPr>
        <w:tblW w:w="10044"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992"/>
        <w:gridCol w:w="871"/>
        <w:gridCol w:w="2135"/>
        <w:gridCol w:w="2126"/>
        <w:gridCol w:w="3231"/>
      </w:tblGrid>
      <w:tr w:rsidR="00656206" w:rsidRPr="00656206" w:rsidTr="00C91AB4">
        <w:trPr>
          <w:trHeight w:val="386"/>
        </w:trPr>
        <w:tc>
          <w:tcPr>
            <w:tcW w:w="689" w:type="dxa"/>
            <w:shd w:val="clear" w:color="auto" w:fill="auto"/>
            <w:hideMark/>
          </w:tcPr>
          <w:p w:rsidR="00656206" w:rsidRPr="00656206" w:rsidRDefault="00656206" w:rsidP="00656206">
            <w:pPr>
              <w:rPr>
                <w:rFonts w:eastAsia="Batang"/>
                <w:b/>
                <w:bCs/>
                <w:szCs w:val="22"/>
                <w:lang w:val="en-US"/>
              </w:rPr>
            </w:pPr>
            <w:r w:rsidRPr="00656206">
              <w:rPr>
                <w:rFonts w:eastAsia="Batang"/>
                <w:b/>
                <w:bCs/>
                <w:szCs w:val="22"/>
              </w:rPr>
              <w:t>CID</w:t>
            </w:r>
          </w:p>
        </w:tc>
        <w:tc>
          <w:tcPr>
            <w:tcW w:w="992" w:type="dxa"/>
            <w:shd w:val="clear" w:color="auto" w:fill="auto"/>
            <w:hideMark/>
          </w:tcPr>
          <w:p w:rsidR="00656206" w:rsidRPr="00656206" w:rsidRDefault="00656206" w:rsidP="00656206">
            <w:pPr>
              <w:rPr>
                <w:rFonts w:eastAsia="Batang"/>
                <w:b/>
                <w:bCs/>
                <w:szCs w:val="22"/>
              </w:rPr>
            </w:pPr>
            <w:r w:rsidRPr="00656206">
              <w:rPr>
                <w:rFonts w:eastAsia="Batang"/>
                <w:b/>
                <w:bCs/>
                <w:szCs w:val="22"/>
              </w:rPr>
              <w:t>PP.LL</w:t>
            </w:r>
          </w:p>
        </w:tc>
        <w:tc>
          <w:tcPr>
            <w:tcW w:w="871" w:type="dxa"/>
          </w:tcPr>
          <w:p w:rsidR="00656206" w:rsidRPr="00656206" w:rsidRDefault="00656206" w:rsidP="00656206">
            <w:pPr>
              <w:rPr>
                <w:rFonts w:eastAsia="ＭＳ 明朝"/>
                <w:b/>
                <w:bCs/>
                <w:szCs w:val="22"/>
                <w:lang w:eastAsia="ja-JP"/>
              </w:rPr>
            </w:pPr>
            <w:r w:rsidRPr="00656206">
              <w:rPr>
                <w:rFonts w:eastAsia="ＭＳ 明朝"/>
                <w:b/>
                <w:bCs/>
                <w:szCs w:val="22"/>
                <w:lang w:eastAsia="ja-JP"/>
              </w:rPr>
              <w:t>Clause</w:t>
            </w:r>
          </w:p>
        </w:tc>
        <w:tc>
          <w:tcPr>
            <w:tcW w:w="2135" w:type="dxa"/>
            <w:shd w:val="clear" w:color="auto" w:fill="auto"/>
            <w:hideMark/>
          </w:tcPr>
          <w:p w:rsidR="00656206" w:rsidRPr="00656206" w:rsidRDefault="00656206" w:rsidP="00656206">
            <w:pPr>
              <w:rPr>
                <w:rFonts w:eastAsia="Batang"/>
                <w:b/>
                <w:bCs/>
                <w:szCs w:val="22"/>
              </w:rPr>
            </w:pPr>
            <w:r w:rsidRPr="00656206">
              <w:rPr>
                <w:rFonts w:eastAsia="Batang"/>
                <w:b/>
                <w:bCs/>
                <w:szCs w:val="22"/>
              </w:rPr>
              <w:t>Comment</w:t>
            </w:r>
          </w:p>
        </w:tc>
        <w:tc>
          <w:tcPr>
            <w:tcW w:w="2126" w:type="dxa"/>
            <w:shd w:val="clear" w:color="auto" w:fill="auto"/>
            <w:hideMark/>
          </w:tcPr>
          <w:p w:rsidR="00656206" w:rsidRPr="00656206" w:rsidRDefault="00656206" w:rsidP="00656206">
            <w:pPr>
              <w:rPr>
                <w:rFonts w:eastAsia="Batang"/>
                <w:b/>
                <w:bCs/>
                <w:szCs w:val="22"/>
              </w:rPr>
            </w:pPr>
            <w:r w:rsidRPr="00656206">
              <w:rPr>
                <w:rFonts w:eastAsia="Batang"/>
                <w:b/>
                <w:bCs/>
                <w:szCs w:val="22"/>
              </w:rPr>
              <w:t>Proposed Change</w:t>
            </w:r>
          </w:p>
        </w:tc>
        <w:tc>
          <w:tcPr>
            <w:tcW w:w="3231" w:type="dxa"/>
            <w:shd w:val="clear" w:color="auto" w:fill="auto"/>
            <w:hideMark/>
          </w:tcPr>
          <w:p w:rsidR="00656206" w:rsidRPr="00656206" w:rsidRDefault="00656206" w:rsidP="00656206">
            <w:pPr>
              <w:rPr>
                <w:rFonts w:eastAsia="Batang"/>
                <w:b/>
                <w:bCs/>
                <w:szCs w:val="22"/>
              </w:rPr>
            </w:pPr>
            <w:r w:rsidRPr="00656206">
              <w:rPr>
                <w:rFonts w:eastAsia="Batang"/>
                <w:b/>
                <w:bCs/>
                <w:szCs w:val="22"/>
              </w:rPr>
              <w:t>Resolution</w:t>
            </w:r>
          </w:p>
        </w:tc>
      </w:tr>
      <w:tr w:rsidR="00656206" w:rsidRPr="00656206" w:rsidTr="00C91AB4">
        <w:trPr>
          <w:trHeight w:val="935"/>
        </w:trPr>
        <w:tc>
          <w:tcPr>
            <w:tcW w:w="689" w:type="dxa"/>
            <w:shd w:val="clear" w:color="auto" w:fill="auto"/>
          </w:tcPr>
          <w:p w:rsidR="00656206" w:rsidRPr="00656206" w:rsidRDefault="00656206" w:rsidP="0018581B">
            <w:pPr>
              <w:jc w:val="right"/>
              <w:rPr>
                <w:rFonts w:eastAsia="ＭＳ 明朝"/>
                <w:szCs w:val="22"/>
                <w:lang w:eastAsia="ja-JP"/>
              </w:rPr>
            </w:pPr>
            <w:r w:rsidRPr="006F1980">
              <w:rPr>
                <w:rFonts w:eastAsia="ＭＳ 明朝"/>
                <w:szCs w:val="22"/>
                <w:lang w:eastAsia="ja-JP"/>
              </w:rPr>
              <w:t>38</w:t>
            </w:r>
            <w:r w:rsidR="0018581B">
              <w:rPr>
                <w:rFonts w:eastAsia="ＭＳ 明朝" w:hint="eastAsia"/>
                <w:szCs w:val="22"/>
                <w:lang w:eastAsia="ja-JP"/>
              </w:rPr>
              <w:t>20</w:t>
            </w:r>
          </w:p>
        </w:tc>
        <w:tc>
          <w:tcPr>
            <w:tcW w:w="992" w:type="dxa"/>
            <w:shd w:val="clear" w:color="auto" w:fill="auto"/>
          </w:tcPr>
          <w:p w:rsidR="00656206" w:rsidRPr="00656206" w:rsidRDefault="0018581B" w:rsidP="0018581B">
            <w:pPr>
              <w:jc w:val="right"/>
              <w:rPr>
                <w:rFonts w:eastAsia="ＭＳ 明朝"/>
                <w:szCs w:val="22"/>
                <w:lang w:eastAsia="ja-JP"/>
              </w:rPr>
            </w:pPr>
            <w:r>
              <w:rPr>
                <w:rFonts w:eastAsia="ＭＳ 明朝"/>
                <w:szCs w:val="22"/>
                <w:lang w:eastAsia="ja-JP"/>
              </w:rPr>
              <w:t>55</w:t>
            </w:r>
            <w:r w:rsidR="00656206" w:rsidRPr="006F1980">
              <w:rPr>
                <w:rFonts w:eastAsia="ＭＳ 明朝"/>
                <w:szCs w:val="22"/>
                <w:lang w:eastAsia="ja-JP"/>
              </w:rPr>
              <w:t>0</w:t>
            </w:r>
            <w:r>
              <w:rPr>
                <w:rFonts w:eastAsia="ＭＳ 明朝"/>
                <w:szCs w:val="22"/>
                <w:lang w:eastAsia="ja-JP"/>
              </w:rPr>
              <w:t>3</w:t>
            </w:r>
            <w:r w:rsidR="00656206" w:rsidRPr="00656206">
              <w:rPr>
                <w:rFonts w:eastAsia="ＭＳ 明朝"/>
                <w:szCs w:val="22"/>
                <w:lang w:eastAsia="ja-JP"/>
              </w:rPr>
              <w:t>.</w:t>
            </w:r>
            <w:r>
              <w:rPr>
                <w:rFonts w:eastAsia="ＭＳ 明朝"/>
                <w:szCs w:val="22"/>
                <w:lang w:eastAsia="ja-JP"/>
              </w:rPr>
              <w:t>12</w:t>
            </w:r>
          </w:p>
        </w:tc>
        <w:tc>
          <w:tcPr>
            <w:tcW w:w="871" w:type="dxa"/>
          </w:tcPr>
          <w:p w:rsidR="00656206" w:rsidRPr="00656206" w:rsidRDefault="0018581B" w:rsidP="0018581B">
            <w:pPr>
              <w:rPr>
                <w:rFonts w:eastAsia="ＭＳ 明朝"/>
                <w:szCs w:val="22"/>
                <w:lang w:eastAsia="ja-JP"/>
              </w:rPr>
            </w:pPr>
            <w:r>
              <w:rPr>
                <w:rFonts w:eastAsia="ＭＳ 明朝"/>
                <w:szCs w:val="22"/>
                <w:lang w:eastAsia="ja-JP"/>
              </w:rPr>
              <w:t>E.1</w:t>
            </w:r>
          </w:p>
        </w:tc>
        <w:tc>
          <w:tcPr>
            <w:tcW w:w="2135" w:type="dxa"/>
            <w:shd w:val="clear" w:color="auto" w:fill="auto"/>
          </w:tcPr>
          <w:p w:rsidR="00656206" w:rsidRPr="00656206" w:rsidRDefault="0018581B" w:rsidP="00656206">
            <w:pPr>
              <w:rPr>
                <w:rFonts w:eastAsia="Batang"/>
                <w:szCs w:val="22"/>
              </w:rPr>
            </w:pPr>
            <w:r w:rsidRPr="0018581B">
              <w:rPr>
                <w:rFonts w:eastAsia="ＭＳ 明朝"/>
                <w:szCs w:val="22"/>
                <w:lang w:eastAsia="ja-JP"/>
              </w:rPr>
              <w:t>The recent update of Japanese 6 GHz (5925 - 6425 MHz) regulatory rules should be applied to table E-3 and E-4.</w:t>
            </w:r>
          </w:p>
        </w:tc>
        <w:tc>
          <w:tcPr>
            <w:tcW w:w="2126" w:type="dxa"/>
            <w:shd w:val="clear" w:color="auto" w:fill="auto"/>
          </w:tcPr>
          <w:p w:rsidR="00656206" w:rsidRPr="00656206" w:rsidRDefault="0018581B" w:rsidP="00656206">
            <w:pPr>
              <w:rPr>
                <w:rFonts w:eastAsia="ＭＳ 明朝"/>
                <w:szCs w:val="22"/>
                <w:lang w:eastAsia="ja-JP"/>
              </w:rPr>
            </w:pPr>
            <w:r w:rsidRPr="0018581B">
              <w:rPr>
                <w:rFonts w:eastAsia="ＭＳ 明朝"/>
                <w:szCs w:val="22"/>
                <w:lang w:eastAsia="ja-JP"/>
              </w:rPr>
              <w:t xml:space="preserve">The </w:t>
            </w:r>
            <w:proofErr w:type="spellStart"/>
            <w:r w:rsidRPr="0018581B">
              <w:rPr>
                <w:rFonts w:eastAsia="ＭＳ 明朝"/>
                <w:szCs w:val="22"/>
                <w:lang w:eastAsia="ja-JP"/>
              </w:rPr>
              <w:t>commentor</w:t>
            </w:r>
            <w:proofErr w:type="spellEnd"/>
            <w:r w:rsidRPr="0018581B">
              <w:rPr>
                <w:rFonts w:eastAsia="ＭＳ 明朝"/>
                <w:szCs w:val="22"/>
                <w:lang w:eastAsia="ja-JP"/>
              </w:rPr>
              <w:t xml:space="preserve"> is considering the revised document.</w:t>
            </w:r>
          </w:p>
        </w:tc>
        <w:tc>
          <w:tcPr>
            <w:tcW w:w="3231" w:type="dxa"/>
            <w:shd w:val="clear" w:color="auto" w:fill="auto"/>
          </w:tcPr>
          <w:p w:rsidR="00656206" w:rsidRPr="00656206" w:rsidRDefault="00656206" w:rsidP="00656206">
            <w:pPr>
              <w:rPr>
                <w:rFonts w:eastAsia="ＭＳ 明朝"/>
                <w:szCs w:val="22"/>
                <w:lang w:eastAsia="ja-JP"/>
              </w:rPr>
            </w:pPr>
            <w:r w:rsidRPr="00656206">
              <w:rPr>
                <w:rFonts w:eastAsia="ＭＳ 明朝"/>
                <w:szCs w:val="22"/>
                <w:lang w:eastAsia="ja-JP"/>
              </w:rPr>
              <w:t>Re</w:t>
            </w:r>
            <w:r w:rsidR="003A384E">
              <w:rPr>
                <w:rFonts w:eastAsia="ＭＳ 明朝"/>
                <w:szCs w:val="22"/>
                <w:lang w:eastAsia="ja-JP"/>
              </w:rPr>
              <w:t>ject</w:t>
            </w:r>
            <w:r w:rsidRPr="00656206">
              <w:rPr>
                <w:rFonts w:eastAsia="ＭＳ 明朝"/>
                <w:szCs w:val="22"/>
                <w:lang w:eastAsia="ja-JP"/>
              </w:rPr>
              <w:t>ed.</w:t>
            </w:r>
          </w:p>
          <w:p w:rsidR="00656206" w:rsidRPr="00656206" w:rsidRDefault="00656206" w:rsidP="00656206">
            <w:pPr>
              <w:rPr>
                <w:rFonts w:eastAsia="ＭＳ 明朝"/>
                <w:szCs w:val="22"/>
                <w:lang w:eastAsia="ja-JP"/>
              </w:rPr>
            </w:pPr>
          </w:p>
          <w:p w:rsidR="00656206" w:rsidRPr="00656206" w:rsidRDefault="00C91AB4" w:rsidP="0018581B">
            <w:pPr>
              <w:rPr>
                <w:rFonts w:eastAsia="ＭＳ 明朝"/>
                <w:szCs w:val="22"/>
                <w:lang w:eastAsia="ja-JP"/>
              </w:rPr>
            </w:pPr>
            <w:r w:rsidRPr="00C91AB4">
              <w:rPr>
                <w:rFonts w:eastAsia="ＭＳ 明朝"/>
                <w:szCs w:val="22"/>
                <w:lang w:eastAsia="ja-JP"/>
              </w:rPr>
              <w:t>The 6 GHz channelization has been defined only in the table for Global operating classes (Table E4) and the operating classes in table E4 already includes the newly Japanese channelization. Therefore, there is no need to change the current draft.</w:t>
            </w:r>
          </w:p>
        </w:tc>
      </w:tr>
    </w:tbl>
    <w:p w:rsidR="00656206" w:rsidRDefault="00656206"/>
    <w:p w:rsidR="00656206" w:rsidRPr="00656206" w:rsidRDefault="00656206">
      <w:pPr>
        <w:rPr>
          <w:b/>
          <w:u w:val="single"/>
          <w:lang w:eastAsia="ja-JP"/>
        </w:rPr>
      </w:pPr>
      <w:r w:rsidRPr="00656206">
        <w:rPr>
          <w:rFonts w:hint="eastAsia"/>
          <w:b/>
          <w:u w:val="single"/>
          <w:lang w:eastAsia="ja-JP"/>
        </w:rPr>
        <w:t>D</w:t>
      </w:r>
      <w:r w:rsidRPr="00656206">
        <w:rPr>
          <w:b/>
          <w:u w:val="single"/>
          <w:lang w:eastAsia="ja-JP"/>
        </w:rPr>
        <w:t>iscussion</w:t>
      </w:r>
    </w:p>
    <w:p w:rsidR="00656206" w:rsidRDefault="00656206" w:rsidP="00656206"/>
    <w:p w:rsidR="0018581B" w:rsidRDefault="00656206" w:rsidP="0018581B">
      <w:r w:rsidRPr="00656206">
        <w:t xml:space="preserve">The technical conditions regarding </w:t>
      </w:r>
      <w:r w:rsidR="0018581B">
        <w:t>6 GHz WLAN</w:t>
      </w:r>
      <w:r w:rsidRPr="00656206">
        <w:t xml:space="preserve"> usage in Japanese </w:t>
      </w:r>
      <w:r w:rsidR="0018581B">
        <w:t>6</w:t>
      </w:r>
      <w:r w:rsidRPr="00656206">
        <w:t xml:space="preserve"> </w:t>
      </w:r>
      <w:r w:rsidR="0018581B">
        <w:t>G</w:t>
      </w:r>
      <w:r w:rsidRPr="00656206">
        <w:t>Hz band have been approved at the council in Japan</w:t>
      </w:r>
      <w:r>
        <w:t>ese government</w:t>
      </w:r>
      <w:r w:rsidRPr="00656206">
        <w:t xml:space="preserve"> </w:t>
      </w:r>
      <w:r>
        <w:t xml:space="preserve">(MIC: </w:t>
      </w:r>
      <w:r w:rsidRPr="00656206">
        <w:t>Ministry of Internal Affairs and Communications</w:t>
      </w:r>
      <w:r>
        <w:t xml:space="preserve">) </w:t>
      </w:r>
      <w:r w:rsidRPr="00656206">
        <w:t xml:space="preserve">on </w:t>
      </w:r>
      <w:r w:rsidR="0018581B">
        <w:t>19th</w:t>
      </w:r>
      <w:r w:rsidRPr="00656206">
        <w:t xml:space="preserve"> </w:t>
      </w:r>
      <w:r w:rsidR="0018581B">
        <w:t>April, 2022</w:t>
      </w:r>
      <w:r w:rsidR="00B725BE">
        <w:t xml:space="preserve"> [</w:t>
      </w:r>
      <w:r w:rsidR="0018581B">
        <w:t>1</w:t>
      </w:r>
      <w:r w:rsidR="00B725BE">
        <w:t>]</w:t>
      </w:r>
      <w:r w:rsidRPr="00656206">
        <w:t xml:space="preserve">. </w:t>
      </w:r>
      <w:r w:rsidR="0018581B">
        <w:t>After that, the regulation for 6 GHz band has been updated to allow 6 GHz WLANs on 2nd September 2022. The newly defined channel</w:t>
      </w:r>
      <w:r w:rsidR="005C5E19">
        <w:t>s</w:t>
      </w:r>
      <w:r w:rsidR="0018581B">
        <w:t xml:space="preserve"> in </w:t>
      </w:r>
      <w:r w:rsidR="005C5E19">
        <w:t xml:space="preserve">Japanese </w:t>
      </w:r>
      <w:r w:rsidR="0018581B">
        <w:t>6 GHz band</w:t>
      </w:r>
      <w:r w:rsidR="005C5E19">
        <w:t>s</w:t>
      </w:r>
      <w:r w:rsidR="0018581B">
        <w:t xml:space="preserve"> (5 925 – 6 425 MHz) </w:t>
      </w:r>
      <w:r w:rsidR="005C5E19">
        <w:t>are</w:t>
      </w:r>
      <w:r w:rsidR="0018581B">
        <w:t xml:space="preserve"> described in Fig. 1 (page 128 in [2]). </w:t>
      </w:r>
      <w:r w:rsidR="005C5E19">
        <w:rPr>
          <w:rFonts w:hint="eastAsia"/>
          <w:lang w:eastAsia="ja-JP"/>
        </w:rPr>
        <w:t>T</w:t>
      </w:r>
      <w:r w:rsidR="005C5E19">
        <w:rPr>
          <w:lang w:eastAsia="ja-JP"/>
        </w:rPr>
        <w:t xml:space="preserve">he </w:t>
      </w:r>
      <w:proofErr w:type="spellStart"/>
      <w:r w:rsidR="005C5E19">
        <w:rPr>
          <w:lang w:eastAsia="ja-JP"/>
        </w:rPr>
        <w:t>commentor</w:t>
      </w:r>
      <w:proofErr w:type="spellEnd"/>
      <w:r w:rsidR="005C5E19">
        <w:rPr>
          <w:lang w:eastAsia="ja-JP"/>
        </w:rPr>
        <w:t xml:space="preserve"> claims that the new channels should be implemented to the </w:t>
      </w:r>
      <w:proofErr w:type="spellStart"/>
      <w:r w:rsidR="005C5E19">
        <w:rPr>
          <w:lang w:eastAsia="ja-JP"/>
        </w:rPr>
        <w:t>REVme</w:t>
      </w:r>
      <w:proofErr w:type="spellEnd"/>
      <w:r w:rsidR="005C5E19">
        <w:rPr>
          <w:lang w:eastAsia="ja-JP"/>
        </w:rPr>
        <w:t xml:space="preserve"> draft.</w:t>
      </w:r>
    </w:p>
    <w:p w:rsidR="0018581B" w:rsidRDefault="0018581B" w:rsidP="0018581B"/>
    <w:p w:rsidR="0018581B" w:rsidRDefault="0065115E" w:rsidP="0018581B">
      <w:pPr>
        <w:rPr>
          <w:lang w:eastAsia="ja-JP"/>
        </w:rPr>
      </w:pPr>
      <w:r>
        <w:rPr>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5pt;height:145.05pt">
            <v:imagedata r:id="rId6" o:title="6GHz_channelization_in_Japan"/>
          </v:shape>
        </w:pict>
      </w:r>
    </w:p>
    <w:p w:rsidR="00CA09B2" w:rsidRDefault="00CA09B2" w:rsidP="00656206">
      <w:pPr>
        <w:rPr>
          <w:lang w:eastAsia="ja-JP"/>
        </w:rPr>
      </w:pPr>
    </w:p>
    <w:p w:rsidR="00656206" w:rsidRPr="005C5E19" w:rsidRDefault="005C5E19" w:rsidP="005C5E19">
      <w:pPr>
        <w:jc w:val="center"/>
        <w:rPr>
          <w:u w:val="single"/>
          <w:lang w:eastAsia="ja-JP"/>
        </w:rPr>
      </w:pPr>
      <w:r w:rsidRPr="005C5E19">
        <w:rPr>
          <w:rFonts w:hint="eastAsia"/>
          <w:u w:val="single"/>
          <w:lang w:eastAsia="ja-JP"/>
        </w:rPr>
        <w:t>F</w:t>
      </w:r>
      <w:r w:rsidRPr="005C5E19">
        <w:rPr>
          <w:u w:val="single"/>
          <w:lang w:eastAsia="ja-JP"/>
        </w:rPr>
        <w:t>ig. 1: The newly defined channels in Japanese 6 GHz bands</w:t>
      </w:r>
    </w:p>
    <w:p w:rsidR="005C5E19" w:rsidRDefault="005C5E19" w:rsidP="00656206">
      <w:pPr>
        <w:rPr>
          <w:lang w:eastAsia="ja-JP"/>
        </w:rPr>
      </w:pPr>
    </w:p>
    <w:p w:rsidR="005C5E19" w:rsidRDefault="005C5E19" w:rsidP="00656206">
      <w:pPr>
        <w:rPr>
          <w:lang w:eastAsia="ja-JP"/>
        </w:rPr>
      </w:pPr>
    </w:p>
    <w:p w:rsidR="005C5E19" w:rsidRDefault="005C5E19" w:rsidP="00656206">
      <w:pPr>
        <w:rPr>
          <w:lang w:eastAsia="ja-JP"/>
        </w:rPr>
      </w:pPr>
      <w:r>
        <w:rPr>
          <w:lang w:eastAsia="ja-JP"/>
        </w:rPr>
        <w:t xml:space="preserve">Regarding 6 GHz bands, E.2.7 (6 GHz band) in </w:t>
      </w:r>
      <w:proofErr w:type="spellStart"/>
      <w:r>
        <w:rPr>
          <w:lang w:eastAsia="ja-JP"/>
        </w:rPr>
        <w:t>REVme</w:t>
      </w:r>
      <w:proofErr w:type="spellEnd"/>
      <w:r>
        <w:rPr>
          <w:lang w:eastAsia="ja-JP"/>
        </w:rPr>
        <w:t xml:space="preserve"> D2.0 defines operating classes in 6 GHz is only defined in Table E-4. </w:t>
      </w:r>
    </w:p>
    <w:p w:rsidR="005C5E19" w:rsidRDefault="005C5E19" w:rsidP="005C5E19">
      <w:pPr>
        <w:ind w:leftChars="100" w:left="220"/>
        <w:rPr>
          <w:lang w:eastAsia="ja-JP"/>
        </w:rPr>
      </w:pPr>
    </w:p>
    <w:p w:rsidR="005C5E19" w:rsidRDefault="005C5E19" w:rsidP="005C5E19">
      <w:pPr>
        <w:ind w:leftChars="100" w:left="220"/>
        <w:rPr>
          <w:lang w:eastAsia="ja-JP"/>
        </w:rPr>
      </w:pPr>
      <w:r>
        <w:rPr>
          <w:lang w:eastAsia="ja-JP"/>
        </w:rPr>
        <w:t>“When operating in the 6 GHz band, Table E-4 (Global operating classes) is used for the operating</w:t>
      </w:r>
    </w:p>
    <w:p w:rsidR="005C5E19" w:rsidRDefault="005C5E19" w:rsidP="005C5E19">
      <w:pPr>
        <w:ind w:leftChars="100" w:left="220"/>
      </w:pPr>
      <w:proofErr w:type="gramStart"/>
      <w:r>
        <w:rPr>
          <w:lang w:eastAsia="ja-JP"/>
        </w:rPr>
        <w:t>classes</w:t>
      </w:r>
      <w:proofErr w:type="gramEnd"/>
      <w:r>
        <w:rPr>
          <w:lang w:eastAsia="ja-JP"/>
        </w:rPr>
        <w:t>, so the third octet of the dot11CountryString is 4.</w:t>
      </w:r>
      <w:r w:rsidRPr="005C5E19">
        <w:t xml:space="preserve"> </w:t>
      </w:r>
      <w:r>
        <w:t>“</w:t>
      </w:r>
    </w:p>
    <w:p w:rsidR="005C5E19" w:rsidRDefault="005C5E19" w:rsidP="005C5E19">
      <w:pPr>
        <w:rPr>
          <w:lang w:eastAsia="ja-JP"/>
        </w:rPr>
      </w:pPr>
    </w:p>
    <w:p w:rsidR="005C5E19" w:rsidRDefault="005C5E19" w:rsidP="005C5E19">
      <w:pPr>
        <w:rPr>
          <w:lang w:eastAsia="ja-JP"/>
        </w:rPr>
      </w:pPr>
      <w:r>
        <w:rPr>
          <w:rFonts w:hint="eastAsia"/>
          <w:lang w:eastAsia="ja-JP"/>
        </w:rPr>
        <w:t>T</w:t>
      </w:r>
      <w:r>
        <w:rPr>
          <w:lang w:eastAsia="ja-JP"/>
        </w:rPr>
        <w:t>his means there is no need to change Table E-3 (</w:t>
      </w:r>
      <w:r w:rsidRPr="005C5E19">
        <w:rPr>
          <w:lang w:eastAsia="ja-JP"/>
        </w:rPr>
        <w:t>Operating classes in Japan</w:t>
      </w:r>
      <w:r>
        <w:rPr>
          <w:lang w:eastAsia="ja-JP"/>
        </w:rPr>
        <w:t xml:space="preserve">). </w:t>
      </w:r>
    </w:p>
    <w:p w:rsidR="005C5E19" w:rsidRDefault="005C5E19" w:rsidP="005C5E19">
      <w:pPr>
        <w:rPr>
          <w:lang w:eastAsia="ja-JP"/>
        </w:rPr>
      </w:pPr>
    </w:p>
    <w:p w:rsidR="005C5E19" w:rsidRDefault="005C5E19" w:rsidP="005C5E19">
      <w:pPr>
        <w:rPr>
          <w:lang w:eastAsia="ja-JP"/>
        </w:rPr>
      </w:pPr>
      <w:r>
        <w:rPr>
          <w:lang w:eastAsia="ja-JP"/>
        </w:rPr>
        <w:t xml:space="preserve">In addition, the </w:t>
      </w:r>
      <w:proofErr w:type="spellStart"/>
      <w:r>
        <w:rPr>
          <w:lang w:eastAsia="ja-JP"/>
        </w:rPr>
        <w:t>exising</w:t>
      </w:r>
      <w:proofErr w:type="spellEnd"/>
      <w:r>
        <w:rPr>
          <w:lang w:eastAsia="ja-JP"/>
        </w:rPr>
        <w:t xml:space="preserve"> operating classes of 131, 132, 133 and 134 already include all of the channel numbers in Japanese 6 GHz band (see Tables 1-4). </w:t>
      </w:r>
    </w:p>
    <w:p w:rsidR="005C5E19" w:rsidRDefault="005C5E19" w:rsidP="00656206">
      <w:pPr>
        <w:rPr>
          <w:lang w:eastAsia="ja-JP"/>
        </w:rPr>
      </w:pPr>
    </w:p>
    <w:p w:rsidR="00B40A08" w:rsidRDefault="00B40A08" w:rsidP="00656206">
      <w:pPr>
        <w:rPr>
          <w:lang w:eastAsia="ja-JP"/>
        </w:rPr>
      </w:pPr>
    </w:p>
    <w:p w:rsidR="005C5E19" w:rsidRDefault="00B40A08" w:rsidP="00656206">
      <w:pPr>
        <w:rPr>
          <w:lang w:eastAsia="ja-JP"/>
        </w:rPr>
      </w:pPr>
      <w:r>
        <w:rPr>
          <w:rFonts w:hint="eastAsia"/>
          <w:lang w:eastAsia="ja-JP"/>
        </w:rPr>
        <w:t>F</w:t>
      </w:r>
      <w:r>
        <w:rPr>
          <w:lang w:eastAsia="ja-JP"/>
        </w:rPr>
        <w:t xml:space="preserve">or these reasons, </w:t>
      </w:r>
      <w:r w:rsidR="00110606">
        <w:rPr>
          <w:lang w:eastAsia="ja-JP"/>
        </w:rPr>
        <w:t xml:space="preserve">there is no need change current operating classed, and </w:t>
      </w:r>
      <w:proofErr w:type="gramStart"/>
      <w:r w:rsidR="00110606">
        <w:rPr>
          <w:lang w:eastAsia="ja-JP"/>
        </w:rPr>
        <w:t xml:space="preserve">thus  </w:t>
      </w:r>
      <w:r>
        <w:rPr>
          <w:lang w:eastAsia="ja-JP"/>
        </w:rPr>
        <w:t>CID</w:t>
      </w:r>
      <w:proofErr w:type="gramEnd"/>
      <w:r>
        <w:rPr>
          <w:lang w:eastAsia="ja-JP"/>
        </w:rPr>
        <w:t xml:space="preserve"> 3820 should be rejected. </w:t>
      </w:r>
    </w:p>
    <w:p w:rsidR="00B40A08" w:rsidRPr="00B40A08" w:rsidRDefault="00B40A08" w:rsidP="00B40A08">
      <w:pPr>
        <w:jc w:val="center"/>
        <w:rPr>
          <w:u w:val="single"/>
          <w:lang w:eastAsia="ja-JP"/>
        </w:rPr>
      </w:pPr>
      <w:r w:rsidRPr="00B40A08">
        <w:rPr>
          <w:rFonts w:hint="eastAsia"/>
          <w:u w:val="single"/>
          <w:lang w:eastAsia="ja-JP"/>
        </w:rPr>
        <w:lastRenderedPageBreak/>
        <w:t>T</w:t>
      </w:r>
      <w:r w:rsidRPr="00B40A08">
        <w:rPr>
          <w:u w:val="single"/>
          <w:lang w:eastAsia="ja-JP"/>
        </w:rPr>
        <w:t xml:space="preserve">able 1: Channel </w:t>
      </w:r>
      <w:proofErr w:type="spellStart"/>
      <w:r w:rsidRPr="00B40A08">
        <w:rPr>
          <w:u w:val="single"/>
          <w:lang w:eastAsia="ja-JP"/>
        </w:rPr>
        <w:t>center</w:t>
      </w:r>
      <w:proofErr w:type="spellEnd"/>
      <w:r w:rsidRPr="00B40A08">
        <w:rPr>
          <w:u w:val="single"/>
          <w:lang w:eastAsia="ja-JP"/>
        </w:rPr>
        <w:t xml:space="preserve"> frequency indices for the Global operating class of 131</w:t>
      </w:r>
    </w:p>
    <w:p w:rsidR="00B40A08" w:rsidRDefault="00B40A08" w:rsidP="00B40A08">
      <w:pPr>
        <w:jc w:val="center"/>
        <w:rPr>
          <w:lang w:eastAsia="ja-JP"/>
        </w:rPr>
      </w:pPr>
      <w:r w:rsidRPr="00B40A08">
        <w:rPr>
          <w:u w:val="single"/>
          <w:lang w:eastAsia="ja-JP"/>
        </w:rPr>
        <w:t>(20 MHz channels in 6 GHz bands)</w:t>
      </w:r>
      <w:r w:rsidR="0065115E">
        <w:rPr>
          <w:lang w:eastAsia="ja-JP"/>
        </w:rPr>
        <w:pict>
          <v:shape id="_x0000_i1026" type="#_x0000_t75" style="width:468pt;height:98.35pt">
            <v:imagedata r:id="rId7" o:title="revme_6GHz_20MHz"/>
          </v:shape>
        </w:pict>
      </w:r>
    </w:p>
    <w:p w:rsidR="00B40A08" w:rsidRDefault="00B40A08" w:rsidP="00656206">
      <w:pPr>
        <w:rPr>
          <w:lang w:eastAsia="ja-JP"/>
        </w:rPr>
      </w:pPr>
    </w:p>
    <w:p w:rsidR="00B40A08" w:rsidRDefault="00B40A08" w:rsidP="00656206">
      <w:pPr>
        <w:rPr>
          <w:lang w:eastAsia="ja-JP"/>
        </w:rPr>
      </w:pPr>
    </w:p>
    <w:p w:rsidR="00B40A08" w:rsidRDefault="00B40A08" w:rsidP="00656206">
      <w:pPr>
        <w:rPr>
          <w:lang w:eastAsia="ja-JP"/>
        </w:rPr>
      </w:pPr>
    </w:p>
    <w:p w:rsidR="00B40A08" w:rsidRPr="00B40A08" w:rsidRDefault="00B40A08" w:rsidP="00B40A08">
      <w:pPr>
        <w:jc w:val="center"/>
        <w:rPr>
          <w:u w:val="single"/>
          <w:lang w:eastAsia="ja-JP"/>
        </w:rPr>
      </w:pPr>
      <w:r w:rsidRPr="00B40A08">
        <w:rPr>
          <w:rFonts w:hint="eastAsia"/>
          <w:u w:val="single"/>
          <w:lang w:eastAsia="ja-JP"/>
        </w:rPr>
        <w:t>T</w:t>
      </w:r>
      <w:r w:rsidRPr="00B40A08">
        <w:rPr>
          <w:u w:val="single"/>
          <w:lang w:eastAsia="ja-JP"/>
        </w:rPr>
        <w:t xml:space="preserve">able 2: Channel </w:t>
      </w:r>
      <w:proofErr w:type="spellStart"/>
      <w:r w:rsidRPr="00B40A08">
        <w:rPr>
          <w:u w:val="single"/>
          <w:lang w:eastAsia="ja-JP"/>
        </w:rPr>
        <w:t>center</w:t>
      </w:r>
      <w:proofErr w:type="spellEnd"/>
      <w:r w:rsidRPr="00B40A08">
        <w:rPr>
          <w:u w:val="single"/>
          <w:lang w:eastAsia="ja-JP"/>
        </w:rPr>
        <w:t xml:space="preserve"> frequency indices for the Global operating class of 132 </w:t>
      </w:r>
    </w:p>
    <w:p w:rsidR="00B40A08" w:rsidRDefault="00B40A08" w:rsidP="00B40A08">
      <w:pPr>
        <w:jc w:val="center"/>
        <w:rPr>
          <w:lang w:eastAsia="ja-JP"/>
        </w:rPr>
      </w:pPr>
      <w:r w:rsidRPr="00B40A08">
        <w:rPr>
          <w:u w:val="single"/>
          <w:lang w:eastAsia="ja-JP"/>
        </w:rPr>
        <w:t>(40 MHz channels in 6 GHz bands)</w:t>
      </w:r>
      <w:r w:rsidR="0065115E">
        <w:rPr>
          <w:lang w:eastAsia="ja-JP"/>
        </w:rPr>
        <w:pict>
          <v:shape id="_x0000_i1027" type="#_x0000_t75" style="width:467.45pt;height:112.3pt">
            <v:imagedata r:id="rId8" o:title="revme_6GHz_40MHz"/>
          </v:shape>
        </w:pict>
      </w:r>
    </w:p>
    <w:p w:rsidR="00B40A08" w:rsidRDefault="00B40A08" w:rsidP="00B40A08">
      <w:pPr>
        <w:jc w:val="center"/>
        <w:rPr>
          <w:lang w:eastAsia="ja-JP"/>
        </w:rPr>
      </w:pPr>
    </w:p>
    <w:p w:rsidR="00B40A08" w:rsidRDefault="00B40A08" w:rsidP="00B40A08">
      <w:pPr>
        <w:jc w:val="center"/>
        <w:rPr>
          <w:lang w:eastAsia="ja-JP"/>
        </w:rPr>
      </w:pPr>
    </w:p>
    <w:p w:rsidR="00B40A08" w:rsidRPr="00B40A08" w:rsidRDefault="00B40A08" w:rsidP="00B40A08">
      <w:pPr>
        <w:jc w:val="center"/>
        <w:rPr>
          <w:u w:val="single"/>
          <w:lang w:eastAsia="ja-JP"/>
        </w:rPr>
      </w:pPr>
      <w:r w:rsidRPr="00B40A08">
        <w:rPr>
          <w:rFonts w:hint="eastAsia"/>
          <w:u w:val="single"/>
          <w:lang w:eastAsia="ja-JP"/>
        </w:rPr>
        <w:t>T</w:t>
      </w:r>
      <w:r w:rsidRPr="00B40A08">
        <w:rPr>
          <w:u w:val="single"/>
          <w:lang w:eastAsia="ja-JP"/>
        </w:rPr>
        <w:t xml:space="preserve">able 3: Channel </w:t>
      </w:r>
      <w:proofErr w:type="spellStart"/>
      <w:r w:rsidRPr="00B40A08">
        <w:rPr>
          <w:u w:val="single"/>
          <w:lang w:eastAsia="ja-JP"/>
        </w:rPr>
        <w:t>center</w:t>
      </w:r>
      <w:proofErr w:type="spellEnd"/>
      <w:r w:rsidRPr="00B40A08">
        <w:rPr>
          <w:u w:val="single"/>
          <w:lang w:eastAsia="ja-JP"/>
        </w:rPr>
        <w:t xml:space="preserve"> frequency indices for the Global operating class of 133 </w:t>
      </w:r>
    </w:p>
    <w:p w:rsidR="00B40A08" w:rsidRPr="00B40A08" w:rsidRDefault="00B40A08" w:rsidP="00B40A08">
      <w:pPr>
        <w:jc w:val="center"/>
        <w:rPr>
          <w:u w:val="single"/>
          <w:lang w:eastAsia="ja-JP"/>
        </w:rPr>
      </w:pPr>
      <w:r w:rsidRPr="00B40A08">
        <w:rPr>
          <w:u w:val="single"/>
          <w:lang w:eastAsia="ja-JP"/>
        </w:rPr>
        <w:t>(80 MHz channels in 6 GHz bands)</w:t>
      </w:r>
    </w:p>
    <w:p w:rsidR="00B40A08" w:rsidRPr="00B40A08" w:rsidRDefault="0065115E" w:rsidP="00B40A08">
      <w:pPr>
        <w:jc w:val="center"/>
        <w:rPr>
          <w:lang w:eastAsia="ja-JP"/>
        </w:rPr>
      </w:pPr>
      <w:r>
        <w:rPr>
          <w:lang w:eastAsia="ja-JP"/>
        </w:rPr>
        <w:pict>
          <v:shape id="_x0000_i1028" type="#_x0000_t75" style="width:468pt;height:35.45pt">
            <v:imagedata r:id="rId9" o:title="revme_6GHz_80MHz"/>
          </v:shape>
        </w:pict>
      </w:r>
    </w:p>
    <w:p w:rsidR="00B40A08" w:rsidRDefault="00B40A08" w:rsidP="00B40A08">
      <w:pPr>
        <w:jc w:val="center"/>
        <w:rPr>
          <w:lang w:eastAsia="ja-JP"/>
        </w:rPr>
      </w:pPr>
    </w:p>
    <w:p w:rsidR="00B40A08" w:rsidRDefault="00B40A08" w:rsidP="00656206">
      <w:pPr>
        <w:rPr>
          <w:lang w:eastAsia="ja-JP"/>
        </w:rPr>
      </w:pPr>
    </w:p>
    <w:p w:rsidR="00B40A08" w:rsidRDefault="00B40A08" w:rsidP="00B40A08">
      <w:pPr>
        <w:jc w:val="center"/>
        <w:rPr>
          <w:lang w:eastAsia="ja-JP"/>
        </w:rPr>
      </w:pPr>
    </w:p>
    <w:p w:rsidR="00B40A08" w:rsidRPr="00B40A08" w:rsidRDefault="00B40A08" w:rsidP="00B40A08">
      <w:pPr>
        <w:jc w:val="center"/>
        <w:rPr>
          <w:u w:val="single"/>
          <w:lang w:eastAsia="ja-JP"/>
        </w:rPr>
      </w:pPr>
      <w:r w:rsidRPr="00B40A08">
        <w:rPr>
          <w:rFonts w:hint="eastAsia"/>
          <w:u w:val="single"/>
          <w:lang w:eastAsia="ja-JP"/>
        </w:rPr>
        <w:t>T</w:t>
      </w:r>
      <w:r w:rsidRPr="00B40A08">
        <w:rPr>
          <w:u w:val="single"/>
          <w:lang w:eastAsia="ja-JP"/>
        </w:rPr>
        <w:t xml:space="preserve">able 4: Channel </w:t>
      </w:r>
      <w:proofErr w:type="spellStart"/>
      <w:r w:rsidRPr="00B40A08">
        <w:rPr>
          <w:u w:val="single"/>
          <w:lang w:eastAsia="ja-JP"/>
        </w:rPr>
        <w:t>center</w:t>
      </w:r>
      <w:proofErr w:type="spellEnd"/>
      <w:r w:rsidRPr="00B40A08">
        <w:rPr>
          <w:u w:val="single"/>
          <w:lang w:eastAsia="ja-JP"/>
        </w:rPr>
        <w:t xml:space="preserve"> frequency indices for the Global operating class of 134 </w:t>
      </w:r>
    </w:p>
    <w:p w:rsidR="00B40A08" w:rsidRPr="00B40A08" w:rsidRDefault="00B40A08" w:rsidP="00B40A08">
      <w:pPr>
        <w:jc w:val="center"/>
        <w:rPr>
          <w:u w:val="single"/>
          <w:lang w:eastAsia="ja-JP"/>
        </w:rPr>
      </w:pPr>
      <w:r w:rsidRPr="00B40A08">
        <w:rPr>
          <w:u w:val="single"/>
          <w:lang w:eastAsia="ja-JP"/>
        </w:rPr>
        <w:t>(160 MHz channels in 6 GHz bands)</w:t>
      </w:r>
    </w:p>
    <w:p w:rsidR="00B40A08" w:rsidRPr="00B40A08" w:rsidRDefault="00B40A08" w:rsidP="00656206">
      <w:pPr>
        <w:rPr>
          <w:lang w:eastAsia="ja-JP"/>
        </w:rPr>
      </w:pPr>
      <w:r>
        <w:rPr>
          <w:noProof/>
          <w:lang w:val="en-US" w:eastAsia="ja-JP"/>
        </w:rPr>
        <w:drawing>
          <wp:inline distT="0" distB="0" distL="0" distR="0">
            <wp:extent cx="5939790" cy="570230"/>
            <wp:effectExtent l="0" t="0" r="3810" b="1270"/>
            <wp:docPr id="2" name="図 2" descr="C:\Users\4000482\AppData\Local\Microsoft\Windows\INetCache\Content.Word\revme_6GHz_160MH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4000482\AppData\Local\Microsoft\Windows\INetCache\Content.Word\revme_6GHz_160MHz.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570230"/>
                    </a:xfrm>
                    <a:prstGeom prst="rect">
                      <a:avLst/>
                    </a:prstGeom>
                    <a:noFill/>
                    <a:ln>
                      <a:noFill/>
                    </a:ln>
                  </pic:spPr>
                </pic:pic>
              </a:graphicData>
            </a:graphic>
          </wp:inline>
        </w:drawing>
      </w:r>
    </w:p>
    <w:p w:rsidR="00B40A08" w:rsidRDefault="00B40A08" w:rsidP="00656206">
      <w:pPr>
        <w:rPr>
          <w:lang w:eastAsia="ja-JP"/>
        </w:rPr>
      </w:pPr>
    </w:p>
    <w:p w:rsidR="00B40A08" w:rsidRDefault="00B40A08" w:rsidP="00656206">
      <w:pPr>
        <w:rPr>
          <w:lang w:eastAsia="ja-JP"/>
        </w:rPr>
      </w:pPr>
    </w:p>
    <w:p w:rsidR="00B40A08" w:rsidRDefault="00B40A08" w:rsidP="00656206">
      <w:pPr>
        <w:rPr>
          <w:lang w:eastAsia="ja-JP"/>
        </w:rPr>
      </w:pPr>
    </w:p>
    <w:p w:rsidR="00B40A08" w:rsidRDefault="00B40A08" w:rsidP="00656206">
      <w:pPr>
        <w:rPr>
          <w:lang w:eastAsia="ja-JP"/>
        </w:rPr>
      </w:pPr>
    </w:p>
    <w:p w:rsidR="0018581B" w:rsidRPr="005C5E19" w:rsidRDefault="005C5E19" w:rsidP="00656206">
      <w:pPr>
        <w:rPr>
          <w:b/>
          <w:u w:val="single"/>
          <w:lang w:eastAsia="ja-JP"/>
        </w:rPr>
      </w:pPr>
      <w:r w:rsidRPr="005C5E19">
        <w:rPr>
          <w:b/>
          <w:u w:val="single"/>
          <w:lang w:eastAsia="ja-JP"/>
        </w:rPr>
        <w:t>References</w:t>
      </w:r>
    </w:p>
    <w:p w:rsidR="0018581B" w:rsidRDefault="0018581B" w:rsidP="0018581B">
      <w:pPr>
        <w:rPr>
          <w:lang w:eastAsia="ja-JP"/>
        </w:rPr>
      </w:pPr>
    </w:p>
    <w:p w:rsidR="0018581B" w:rsidRDefault="005C5E19" w:rsidP="0018581B">
      <w:pPr>
        <w:rPr>
          <w:lang w:eastAsia="ja-JP"/>
        </w:rPr>
      </w:pPr>
      <w:r>
        <w:rPr>
          <w:lang w:eastAsia="ja-JP"/>
        </w:rPr>
        <w:t xml:space="preserve">[1] </w:t>
      </w:r>
      <w:r w:rsidR="0018581B">
        <w:rPr>
          <w:lang w:eastAsia="ja-JP"/>
        </w:rPr>
        <w:t xml:space="preserve">"Technical Requirements Relating to the Introduction of 6 GHz Band Wireless LAN - Partial report from the Information and Communications Council," Ministry of Internal Affairs and Communications, Japan, April 19, 2022 </w:t>
      </w:r>
    </w:p>
    <w:p w:rsidR="0018581B" w:rsidRDefault="008F78C0" w:rsidP="0018581B">
      <w:pPr>
        <w:rPr>
          <w:lang w:eastAsia="ja-JP"/>
        </w:rPr>
      </w:pPr>
      <w:hyperlink r:id="rId11" w:history="1">
        <w:r w:rsidR="0018581B" w:rsidRPr="00D66BC9">
          <w:rPr>
            <w:rStyle w:val="a6"/>
            <w:lang w:eastAsia="ja-JP"/>
          </w:rPr>
          <w:t>https://www.soumu.go.jp/main_sosiki/joho_tsusin/eng/pressrelease/2022/4/19_01.html</w:t>
        </w:r>
      </w:hyperlink>
    </w:p>
    <w:p w:rsidR="0018581B" w:rsidRDefault="0018581B" w:rsidP="0018581B">
      <w:pPr>
        <w:rPr>
          <w:lang w:eastAsia="ja-JP"/>
        </w:rPr>
      </w:pPr>
    </w:p>
    <w:p w:rsidR="005C5E19" w:rsidRDefault="005C5E19" w:rsidP="0018581B">
      <w:pPr>
        <w:rPr>
          <w:lang w:eastAsia="ja-JP"/>
        </w:rPr>
      </w:pPr>
      <w:r>
        <w:rPr>
          <w:lang w:eastAsia="ja-JP"/>
        </w:rPr>
        <w:t xml:space="preserve">[2] </w:t>
      </w:r>
      <w:r w:rsidR="0018581B">
        <w:rPr>
          <w:lang w:eastAsia="ja-JP"/>
        </w:rPr>
        <w:t xml:space="preserve">The report </w:t>
      </w:r>
      <w:r>
        <w:rPr>
          <w:lang w:eastAsia="ja-JP"/>
        </w:rPr>
        <w:t xml:space="preserve">regarding the press release [1] </w:t>
      </w:r>
      <w:r w:rsidR="0018581B">
        <w:rPr>
          <w:lang w:eastAsia="ja-JP"/>
        </w:rPr>
        <w:t>(Japanese only)</w:t>
      </w:r>
    </w:p>
    <w:p w:rsidR="0018581B" w:rsidRDefault="008F78C0" w:rsidP="0018581B">
      <w:pPr>
        <w:rPr>
          <w:lang w:eastAsia="ja-JP"/>
        </w:rPr>
      </w:pPr>
      <w:hyperlink r:id="rId12" w:history="1">
        <w:r w:rsidR="0018581B" w:rsidRPr="00D66BC9">
          <w:rPr>
            <w:rStyle w:val="a6"/>
            <w:lang w:eastAsia="ja-JP"/>
          </w:rPr>
          <w:t>https://www.soumu.go.jp/main_content/000810602.pdf</w:t>
        </w:r>
      </w:hyperlink>
    </w:p>
    <w:sectPr w:rsidR="0018581B">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8C0" w:rsidRDefault="008F78C0">
      <w:r>
        <w:separator/>
      </w:r>
    </w:p>
  </w:endnote>
  <w:endnote w:type="continuationSeparator" w:id="0">
    <w:p w:rsidR="008F78C0" w:rsidRDefault="008F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DB2FB6">
    <w:pPr>
      <w:pStyle w:val="a3"/>
      <w:tabs>
        <w:tab w:val="clear" w:pos="6480"/>
        <w:tab w:val="center" w:pos="4680"/>
        <w:tab w:val="right" w:pos="9360"/>
      </w:tabs>
    </w:pPr>
    <w:fldSimple w:instr=" SUBJECT  \* MERGEFORMAT ">
      <w:r w:rsidR="00AD1AD4">
        <w:t>Submission</w:t>
      </w:r>
    </w:fldSimple>
    <w:r w:rsidR="0029020B">
      <w:tab/>
      <w:t xml:space="preserve">page </w:t>
    </w:r>
    <w:r w:rsidR="0029020B">
      <w:fldChar w:fldCharType="begin"/>
    </w:r>
    <w:r w:rsidR="0029020B">
      <w:instrText xml:space="preserve">page </w:instrText>
    </w:r>
    <w:r w:rsidR="0029020B">
      <w:fldChar w:fldCharType="separate"/>
    </w:r>
    <w:r w:rsidR="0065115E">
      <w:rPr>
        <w:noProof/>
      </w:rPr>
      <w:t>3</w:t>
    </w:r>
    <w:r w:rsidR="0029020B">
      <w:fldChar w:fldCharType="end"/>
    </w:r>
    <w:r w:rsidR="0029020B">
      <w:tab/>
    </w:r>
    <w:r w:rsidR="008F78C0">
      <w:fldChar w:fldCharType="begin"/>
    </w:r>
    <w:r w:rsidR="008F78C0">
      <w:instrText xml:space="preserve"> COMMENTS  \* MERGEFORMAT </w:instrText>
    </w:r>
    <w:r w:rsidR="008F78C0">
      <w:fldChar w:fldCharType="separate"/>
    </w:r>
    <w:r w:rsidR="00514EE6">
      <w:t>Yusuke Asai, NTT</w:t>
    </w:r>
    <w:r w:rsidR="008F78C0">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8C0" w:rsidRDefault="008F78C0">
      <w:r>
        <w:separator/>
      </w:r>
    </w:p>
  </w:footnote>
  <w:footnote w:type="continuationSeparator" w:id="0">
    <w:p w:rsidR="008F78C0" w:rsidRDefault="008F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8F78C0">
    <w:pPr>
      <w:pStyle w:val="a4"/>
      <w:tabs>
        <w:tab w:val="clear" w:pos="6480"/>
        <w:tab w:val="center" w:pos="4680"/>
        <w:tab w:val="right" w:pos="9360"/>
      </w:tabs>
    </w:pPr>
    <w:r>
      <w:fldChar w:fldCharType="begin"/>
    </w:r>
    <w:r>
      <w:instrText xml:space="preserve"> KEYWORDS  \* MERGEFORMAT </w:instrText>
    </w:r>
    <w:r>
      <w:fldChar w:fldCharType="separate"/>
    </w:r>
    <w:r w:rsidR="00514EE6">
      <w:t>March 2023</w:t>
    </w:r>
    <w:r>
      <w:fldChar w:fldCharType="end"/>
    </w:r>
    <w:r w:rsidR="0029020B">
      <w:tab/>
    </w:r>
    <w:r w:rsidR="0029020B">
      <w:tab/>
    </w:r>
    <w:fldSimple w:instr=" TITLE  \* MERGEFORMAT ">
      <w:r w:rsidR="0065115E">
        <w:t>doc.: IEEE 802.11-23/0350r1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06"/>
    <w:rsid w:val="00110606"/>
    <w:rsid w:val="001820FF"/>
    <w:rsid w:val="0018581B"/>
    <w:rsid w:val="00197553"/>
    <w:rsid w:val="001C6632"/>
    <w:rsid w:val="001D723B"/>
    <w:rsid w:val="00254744"/>
    <w:rsid w:val="0029020B"/>
    <w:rsid w:val="002C6B2B"/>
    <w:rsid w:val="002D44BE"/>
    <w:rsid w:val="002E784F"/>
    <w:rsid w:val="00300C10"/>
    <w:rsid w:val="003A384E"/>
    <w:rsid w:val="004063DC"/>
    <w:rsid w:val="00442037"/>
    <w:rsid w:val="004B064B"/>
    <w:rsid w:val="00514EE6"/>
    <w:rsid w:val="005C5E19"/>
    <w:rsid w:val="0062440B"/>
    <w:rsid w:val="00635B52"/>
    <w:rsid w:val="006446B6"/>
    <w:rsid w:val="0065115E"/>
    <w:rsid w:val="00656206"/>
    <w:rsid w:val="006C0727"/>
    <w:rsid w:val="006E145F"/>
    <w:rsid w:val="006F1980"/>
    <w:rsid w:val="00736793"/>
    <w:rsid w:val="00770572"/>
    <w:rsid w:val="007A47D6"/>
    <w:rsid w:val="00895F44"/>
    <w:rsid w:val="008F78C0"/>
    <w:rsid w:val="00914A6E"/>
    <w:rsid w:val="00920C08"/>
    <w:rsid w:val="009A7DFA"/>
    <w:rsid w:val="009F2FBC"/>
    <w:rsid w:val="00A22F91"/>
    <w:rsid w:val="00AA427C"/>
    <w:rsid w:val="00AD1AD4"/>
    <w:rsid w:val="00AE7083"/>
    <w:rsid w:val="00B40A08"/>
    <w:rsid w:val="00B525A6"/>
    <w:rsid w:val="00B725BE"/>
    <w:rsid w:val="00BC1BD8"/>
    <w:rsid w:val="00BE2040"/>
    <w:rsid w:val="00BE68C2"/>
    <w:rsid w:val="00C91AB4"/>
    <w:rsid w:val="00CA09B2"/>
    <w:rsid w:val="00CC3137"/>
    <w:rsid w:val="00DB2FB6"/>
    <w:rsid w:val="00DC5A7B"/>
    <w:rsid w:val="00E70531"/>
    <w:rsid w:val="00ED7E46"/>
    <w:rsid w:val="00F61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F8103A9-6402-49B4-82A1-70D516FE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A08"/>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link w:val="a8"/>
    <w:rsid w:val="00BE2040"/>
    <w:rPr>
      <w:rFonts w:asciiTheme="majorHAnsi" w:eastAsiaTheme="majorEastAsia" w:hAnsiTheme="majorHAnsi" w:cstheme="majorBidi"/>
      <w:sz w:val="18"/>
      <w:szCs w:val="18"/>
    </w:rPr>
  </w:style>
  <w:style w:type="character" w:customStyle="1" w:styleId="a8">
    <w:name w:val="吹き出し (文字)"/>
    <w:basedOn w:val="a0"/>
    <w:link w:val="a7"/>
    <w:rsid w:val="00BE2040"/>
    <w:rPr>
      <w:rFonts w:asciiTheme="majorHAnsi" w:eastAsiaTheme="majorEastAsia" w:hAnsiTheme="majorHAnsi" w:cstheme="majorBid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7721">
      <w:bodyDiv w:val="1"/>
      <w:marLeft w:val="0"/>
      <w:marRight w:val="0"/>
      <w:marTop w:val="0"/>
      <w:marBottom w:val="0"/>
      <w:divBdr>
        <w:top w:val="none" w:sz="0" w:space="0" w:color="auto"/>
        <w:left w:val="none" w:sz="0" w:space="0" w:color="auto"/>
        <w:bottom w:val="none" w:sz="0" w:space="0" w:color="auto"/>
        <w:right w:val="none" w:sz="0" w:space="0" w:color="auto"/>
      </w:divBdr>
    </w:div>
    <w:div w:id="1360202722">
      <w:bodyDiv w:val="1"/>
      <w:marLeft w:val="0"/>
      <w:marRight w:val="0"/>
      <w:marTop w:val="0"/>
      <w:marBottom w:val="0"/>
      <w:divBdr>
        <w:top w:val="none" w:sz="0" w:space="0" w:color="auto"/>
        <w:left w:val="none" w:sz="0" w:space="0" w:color="auto"/>
        <w:bottom w:val="none" w:sz="0" w:space="0" w:color="auto"/>
        <w:right w:val="none" w:sz="0" w:space="0" w:color="auto"/>
      </w:divBdr>
    </w:div>
    <w:div w:id="1769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soumu.go.jp/main_content/000810602.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oumu.go.jp/main_sosiki/joho_tsusin/eng/pressrelease/2022/4/19_01.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sai\work\R04&#24180;&#24230;&#28961;&#25512;G\11ah&#38306;&#36899;\IEEE_WFA&#38306;&#36899;\220509_REVme&#23492;&#26360;\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108</TotalTime>
  <Pages>3</Pages>
  <Words>443</Words>
  <Characters>2531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802.11-23/0350r0</vt:lpstr>
      <vt:lpstr>doc.: IEEE 802.11-yy/xxxxr0</vt:lpstr>
    </vt:vector>
  </TitlesOfParts>
  <Company>Some Company</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802.11-23/0350r1</dc:title>
  <dc:subject>Submission</dc:subject>
  <dc:creator>4000482</dc:creator>
  <cp:keywords>March 2023</cp:keywords>
  <dc:description>Yusuke Asai, NTT</dc:description>
  <cp:lastModifiedBy>Yuusuke Asai (NTT_RD)</cp:lastModifiedBy>
  <cp:revision>21</cp:revision>
  <cp:lastPrinted>2023-03-07T12:18:00Z</cp:lastPrinted>
  <dcterms:created xsi:type="dcterms:W3CDTF">2022-05-10T03:51:00Z</dcterms:created>
  <dcterms:modified xsi:type="dcterms:W3CDTF">2023-03-09T23:41:00Z</dcterms:modified>
</cp:coreProperties>
</file>