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774B1D26" w:rsidR="00B6527E" w:rsidRPr="00CE41DE" w:rsidRDefault="00865476" w:rsidP="003E4ABA">
            <w:pPr>
              <w:pStyle w:val="T2"/>
              <w:rPr>
                <w:sz w:val="20"/>
                <w:lang w:val="en-US"/>
              </w:rPr>
            </w:pPr>
            <w:r>
              <w:rPr>
                <w:sz w:val="20"/>
                <w:lang w:val="en-US"/>
              </w:rPr>
              <w:t>LB271 CR 35.14</w:t>
            </w:r>
            <w:r w:rsidR="00177546">
              <w:rPr>
                <w:sz w:val="20"/>
                <w:lang w:val="en-US"/>
              </w:rPr>
              <w:t xml:space="preserve"> part 1</w:t>
            </w:r>
          </w:p>
        </w:tc>
      </w:tr>
      <w:tr w:rsidR="00B6527E" w:rsidRPr="0038212E" w14:paraId="25960C30" w14:textId="77777777" w:rsidTr="001968A8">
        <w:trPr>
          <w:trHeight w:val="359"/>
          <w:jc w:val="center"/>
        </w:trPr>
        <w:tc>
          <w:tcPr>
            <w:tcW w:w="9576" w:type="dxa"/>
            <w:gridSpan w:val="5"/>
            <w:vAlign w:val="center"/>
          </w:tcPr>
          <w:p w14:paraId="5C4A3311" w14:textId="4DF47B97"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7D7875">
              <w:rPr>
                <w:b w:val="0"/>
                <w:sz w:val="18"/>
                <w:szCs w:val="18"/>
              </w:rPr>
              <w:t>3</w:t>
            </w:r>
            <w:r w:rsidR="00CB61DE" w:rsidRPr="0038212E">
              <w:rPr>
                <w:b w:val="0"/>
                <w:sz w:val="18"/>
                <w:szCs w:val="18"/>
              </w:rPr>
              <w:t>-</w:t>
            </w:r>
            <w:r w:rsidR="008E412C">
              <w:rPr>
                <w:b w:val="0"/>
                <w:sz w:val="18"/>
                <w:szCs w:val="18"/>
              </w:rPr>
              <w:t>11</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6CB240DF" w14:textId="16136273" w:rsidR="0061349D" w:rsidRDefault="0061349D" w:rsidP="00CE41DE">
      <w:pPr>
        <w:jc w:val="left"/>
        <w:rPr>
          <w:lang w:eastAsia="ko-KR"/>
        </w:rPr>
      </w:pPr>
      <w:r>
        <w:rPr>
          <w:lang w:eastAsia="ko-KR"/>
        </w:rPr>
        <w:tab/>
      </w:r>
      <w:r w:rsidR="007329ED">
        <w:rPr>
          <w:lang w:eastAsia="ko-KR"/>
        </w:rPr>
        <w:t xml:space="preserve">17117, </w:t>
      </w:r>
      <w:r w:rsidR="007329ED" w:rsidRPr="00B02595">
        <w:rPr>
          <w:highlight w:val="yellow"/>
          <w:lang w:eastAsia="ko-KR"/>
        </w:rPr>
        <w:t>173</w:t>
      </w:r>
      <w:r w:rsidR="00B02595" w:rsidRPr="00B02595">
        <w:rPr>
          <w:highlight w:val="yellow"/>
          <w:lang w:eastAsia="ko-KR"/>
        </w:rPr>
        <w:t>67</w:t>
      </w:r>
      <w:r w:rsidR="007329ED">
        <w:rPr>
          <w:lang w:eastAsia="ko-KR"/>
        </w:rPr>
        <w:t xml:space="preserve">, 15581, 17118, 17119, </w:t>
      </w:r>
      <w:r w:rsidR="007329ED" w:rsidRPr="00B02595">
        <w:rPr>
          <w:highlight w:val="yellow"/>
          <w:lang w:eastAsia="ko-KR"/>
        </w:rPr>
        <w:t>16667</w:t>
      </w: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454"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614"/>
        <w:gridCol w:w="790"/>
        <w:gridCol w:w="3074"/>
        <w:gridCol w:w="1669"/>
        <w:gridCol w:w="3513"/>
      </w:tblGrid>
      <w:tr w:rsidR="007C18AB" w:rsidRPr="004112A3" w14:paraId="6F0226D1" w14:textId="77777777" w:rsidTr="00865476">
        <w:trPr>
          <w:trHeight w:val="553"/>
        </w:trPr>
        <w:tc>
          <w:tcPr>
            <w:tcW w:w="79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0B1E44" w:rsidRPr="004112A3" w14:paraId="4E10A9CF" w14:textId="77777777" w:rsidTr="00FC344F">
        <w:trPr>
          <w:trHeight w:val="787"/>
        </w:trPr>
        <w:tc>
          <w:tcPr>
            <w:tcW w:w="794" w:type="dxa"/>
            <w:shd w:val="clear" w:color="auto" w:fill="auto"/>
            <w:noWrap/>
          </w:tcPr>
          <w:p w14:paraId="3FCD3690" w14:textId="77777777" w:rsidR="000B1E44" w:rsidRPr="00865476" w:rsidRDefault="000B1E44" w:rsidP="00FC344F">
            <w:pPr>
              <w:jc w:val="left"/>
              <w:rPr>
                <w:rFonts w:ascii="Arial" w:hAnsi="Arial" w:cs="Arial"/>
                <w:sz w:val="18"/>
                <w:szCs w:val="18"/>
              </w:rPr>
            </w:pPr>
            <w:r w:rsidRPr="008F12AC">
              <w:rPr>
                <w:rFonts w:ascii="Arial" w:hAnsi="Arial" w:cs="Arial"/>
                <w:color w:val="00B050"/>
                <w:sz w:val="18"/>
                <w:szCs w:val="18"/>
              </w:rPr>
              <w:t>17117</w:t>
            </w:r>
          </w:p>
        </w:tc>
        <w:tc>
          <w:tcPr>
            <w:tcW w:w="614" w:type="dxa"/>
            <w:shd w:val="clear" w:color="auto" w:fill="auto"/>
            <w:noWrap/>
          </w:tcPr>
          <w:p w14:paraId="3EB31106" w14:textId="77777777" w:rsidR="000B1E44" w:rsidRDefault="000B1E44" w:rsidP="00FC344F">
            <w:pPr>
              <w:jc w:val="left"/>
              <w:rPr>
                <w:rFonts w:ascii="Arial" w:hAnsi="Arial" w:cs="Arial"/>
                <w:sz w:val="20"/>
              </w:rPr>
            </w:pPr>
            <w:r>
              <w:rPr>
                <w:rFonts w:ascii="Arial" w:hAnsi="Arial" w:cs="Arial"/>
                <w:sz w:val="20"/>
              </w:rPr>
              <w:t>635</w:t>
            </w:r>
          </w:p>
        </w:tc>
        <w:tc>
          <w:tcPr>
            <w:tcW w:w="790" w:type="dxa"/>
            <w:shd w:val="clear" w:color="auto" w:fill="auto"/>
            <w:noWrap/>
          </w:tcPr>
          <w:p w14:paraId="76A0DD6E" w14:textId="77777777" w:rsidR="000B1E44" w:rsidRDefault="000B1E44" w:rsidP="00FC344F">
            <w:pPr>
              <w:jc w:val="left"/>
              <w:rPr>
                <w:rFonts w:ascii="Arial" w:hAnsi="Arial" w:cs="Arial"/>
                <w:sz w:val="20"/>
              </w:rPr>
            </w:pPr>
            <w:r>
              <w:rPr>
                <w:rFonts w:ascii="Arial" w:hAnsi="Arial" w:cs="Arial"/>
                <w:sz w:val="20"/>
              </w:rPr>
              <w:t>44</w:t>
            </w:r>
          </w:p>
        </w:tc>
        <w:tc>
          <w:tcPr>
            <w:tcW w:w="3074" w:type="dxa"/>
            <w:shd w:val="clear" w:color="auto" w:fill="auto"/>
            <w:noWrap/>
          </w:tcPr>
          <w:p w14:paraId="145BC564" w14:textId="77777777" w:rsidR="000B1E44" w:rsidRDefault="000B1E44" w:rsidP="00FC344F">
            <w:pPr>
              <w:jc w:val="left"/>
              <w:rPr>
                <w:rFonts w:ascii="Arial" w:hAnsi="Arial" w:cs="Arial"/>
                <w:sz w:val="20"/>
              </w:rPr>
            </w:pPr>
            <w:r>
              <w:rPr>
                <w:rFonts w:ascii="Arial" w:hAnsi="Arial" w:cs="Arial"/>
                <w:sz w:val="20"/>
              </w:rPr>
              <w:t>"An EHT STA in 6 GHz band" missing article</w:t>
            </w:r>
          </w:p>
        </w:tc>
        <w:tc>
          <w:tcPr>
            <w:tcW w:w="1669" w:type="dxa"/>
            <w:shd w:val="clear" w:color="auto" w:fill="auto"/>
            <w:noWrap/>
          </w:tcPr>
          <w:p w14:paraId="1FB04DB2" w14:textId="77777777" w:rsidR="000B1E44" w:rsidRDefault="000B1E44" w:rsidP="00FC344F">
            <w:pPr>
              <w:jc w:val="left"/>
              <w:rPr>
                <w:rFonts w:ascii="Arial" w:hAnsi="Arial" w:cs="Arial"/>
                <w:sz w:val="20"/>
              </w:rPr>
            </w:pPr>
            <w:r>
              <w:rPr>
                <w:rFonts w:ascii="Arial" w:hAnsi="Arial" w:cs="Arial"/>
                <w:sz w:val="20"/>
              </w:rPr>
              <w:t>Change to "An EHT STA in the 6 GHz band"</w:t>
            </w:r>
          </w:p>
        </w:tc>
        <w:tc>
          <w:tcPr>
            <w:tcW w:w="3513" w:type="dxa"/>
            <w:shd w:val="clear" w:color="auto" w:fill="auto"/>
          </w:tcPr>
          <w:p w14:paraId="7CCE073F" w14:textId="77777777" w:rsidR="000B1E44" w:rsidRDefault="00462751" w:rsidP="00FC344F">
            <w:pPr>
              <w:jc w:val="left"/>
              <w:rPr>
                <w:rFonts w:eastAsia="Times New Roman"/>
                <w:color w:val="000000"/>
                <w:sz w:val="18"/>
                <w:szCs w:val="18"/>
                <w:lang w:val="en-US"/>
              </w:rPr>
            </w:pPr>
            <w:r>
              <w:rPr>
                <w:rFonts w:eastAsia="Times New Roman"/>
                <w:color w:val="000000"/>
                <w:sz w:val="18"/>
                <w:szCs w:val="18"/>
                <w:lang w:val="en-US"/>
              </w:rPr>
              <w:t>Revised</w:t>
            </w:r>
          </w:p>
          <w:p w14:paraId="1A1C8265" w14:textId="77777777" w:rsidR="00462751" w:rsidRDefault="00462751" w:rsidP="00FC344F">
            <w:pPr>
              <w:jc w:val="left"/>
              <w:rPr>
                <w:rFonts w:eastAsia="Times New Roman"/>
                <w:color w:val="000000"/>
                <w:sz w:val="18"/>
                <w:szCs w:val="18"/>
                <w:lang w:val="en-US"/>
              </w:rPr>
            </w:pPr>
          </w:p>
          <w:p w14:paraId="49A15A43" w14:textId="314384FE" w:rsidR="00462751" w:rsidRPr="001909E5" w:rsidRDefault="00462751" w:rsidP="00FC344F">
            <w:pPr>
              <w:jc w:val="left"/>
              <w:rPr>
                <w:rFonts w:eastAsia="Times New Roman"/>
                <w:color w:val="000000"/>
                <w:sz w:val="18"/>
                <w:szCs w:val="18"/>
                <w:lang w:val="en-US"/>
              </w:rPr>
            </w:pPr>
            <w:r>
              <w:rPr>
                <w:rFonts w:eastAsia="Times New Roman"/>
                <w:color w:val="000000"/>
                <w:sz w:val="18"/>
                <w:szCs w:val="18"/>
                <w:lang w:val="en-US"/>
              </w:rPr>
              <w:t>TGbe editor: Please change “</w:t>
            </w:r>
            <w:r>
              <w:rPr>
                <w:rFonts w:ascii="Arial" w:hAnsi="Arial" w:cs="Arial"/>
                <w:sz w:val="20"/>
              </w:rPr>
              <w:t>EHT STA in 6 GHz band</w:t>
            </w:r>
            <w:r>
              <w:rPr>
                <w:rFonts w:eastAsia="Times New Roman"/>
                <w:color w:val="000000"/>
                <w:sz w:val="18"/>
                <w:szCs w:val="18"/>
                <w:lang w:val="en-US"/>
              </w:rPr>
              <w:t>” to “EHT STA 6G” throughout the draft.</w:t>
            </w:r>
            <w:r w:rsidR="00945CB2">
              <w:rPr>
                <w:rFonts w:eastAsia="Times New Roman"/>
                <w:color w:val="000000"/>
                <w:sz w:val="18"/>
                <w:szCs w:val="18"/>
                <w:lang w:val="en-US"/>
              </w:rPr>
              <w:t xml:space="preserve"> </w:t>
            </w:r>
            <w:r w:rsidR="00945CB2">
              <w:rPr>
                <w:rFonts w:eastAsia="Times New Roman"/>
                <w:color w:val="000000"/>
                <w:sz w:val="18"/>
                <w:szCs w:val="18"/>
                <w:lang w:val="en-US"/>
              </w:rPr>
              <w:t>Please change “</w:t>
            </w:r>
            <w:r w:rsidR="00945CB2">
              <w:rPr>
                <w:rFonts w:ascii="Arial" w:hAnsi="Arial" w:cs="Arial"/>
                <w:sz w:val="20"/>
              </w:rPr>
              <w:t xml:space="preserve">EHT STA in </w:t>
            </w:r>
            <w:r w:rsidR="00945CB2">
              <w:rPr>
                <w:rFonts w:ascii="Arial" w:hAnsi="Arial" w:cs="Arial"/>
                <w:sz w:val="20"/>
              </w:rPr>
              <w:t xml:space="preserve">the </w:t>
            </w:r>
            <w:r w:rsidR="00945CB2">
              <w:rPr>
                <w:rFonts w:ascii="Arial" w:hAnsi="Arial" w:cs="Arial"/>
                <w:sz w:val="20"/>
              </w:rPr>
              <w:t>6 GHz band</w:t>
            </w:r>
            <w:r w:rsidR="00945CB2">
              <w:rPr>
                <w:rFonts w:eastAsia="Times New Roman"/>
                <w:color w:val="000000"/>
                <w:sz w:val="18"/>
                <w:szCs w:val="18"/>
                <w:lang w:val="en-US"/>
              </w:rPr>
              <w:t>” to “EHT STA 6G” throughout the draft.</w:t>
            </w:r>
          </w:p>
        </w:tc>
      </w:tr>
      <w:tr w:rsidR="00FD757D" w:rsidRPr="004112A3" w14:paraId="6B7751DB" w14:textId="77777777" w:rsidTr="00FC344F">
        <w:trPr>
          <w:trHeight w:val="787"/>
        </w:trPr>
        <w:tc>
          <w:tcPr>
            <w:tcW w:w="794" w:type="dxa"/>
            <w:shd w:val="clear" w:color="auto" w:fill="auto"/>
            <w:noWrap/>
          </w:tcPr>
          <w:p w14:paraId="686ED862" w14:textId="77777777" w:rsidR="00FD757D" w:rsidRPr="00865476" w:rsidRDefault="00FD757D" w:rsidP="00FC344F">
            <w:pPr>
              <w:jc w:val="left"/>
              <w:rPr>
                <w:rFonts w:ascii="Arial" w:hAnsi="Arial" w:cs="Arial"/>
                <w:sz w:val="18"/>
                <w:szCs w:val="18"/>
              </w:rPr>
            </w:pPr>
            <w:r w:rsidRPr="004141F5">
              <w:rPr>
                <w:rFonts w:ascii="Arial" w:hAnsi="Arial" w:cs="Arial"/>
                <w:sz w:val="18"/>
                <w:szCs w:val="18"/>
                <w:highlight w:val="yellow"/>
              </w:rPr>
              <w:t>17367</w:t>
            </w:r>
          </w:p>
        </w:tc>
        <w:tc>
          <w:tcPr>
            <w:tcW w:w="614" w:type="dxa"/>
            <w:shd w:val="clear" w:color="auto" w:fill="auto"/>
            <w:noWrap/>
          </w:tcPr>
          <w:p w14:paraId="7F7012F8" w14:textId="77777777" w:rsidR="00FD757D" w:rsidRDefault="00FD757D" w:rsidP="00FC344F">
            <w:pPr>
              <w:jc w:val="left"/>
              <w:rPr>
                <w:rFonts w:ascii="Arial" w:hAnsi="Arial" w:cs="Arial"/>
                <w:sz w:val="20"/>
              </w:rPr>
            </w:pPr>
            <w:r>
              <w:rPr>
                <w:rFonts w:ascii="Arial" w:hAnsi="Arial" w:cs="Arial"/>
                <w:sz w:val="20"/>
              </w:rPr>
              <w:t>635</w:t>
            </w:r>
          </w:p>
        </w:tc>
        <w:tc>
          <w:tcPr>
            <w:tcW w:w="790" w:type="dxa"/>
            <w:shd w:val="clear" w:color="auto" w:fill="auto"/>
            <w:noWrap/>
          </w:tcPr>
          <w:p w14:paraId="0994BF77" w14:textId="77777777" w:rsidR="00FD757D" w:rsidRDefault="00FD757D" w:rsidP="00FC344F">
            <w:pPr>
              <w:jc w:val="left"/>
              <w:rPr>
                <w:rFonts w:ascii="Arial" w:hAnsi="Arial" w:cs="Arial"/>
                <w:sz w:val="20"/>
              </w:rPr>
            </w:pPr>
            <w:r>
              <w:rPr>
                <w:rFonts w:ascii="Arial" w:hAnsi="Arial" w:cs="Arial"/>
                <w:sz w:val="20"/>
              </w:rPr>
              <w:t>62</w:t>
            </w:r>
          </w:p>
        </w:tc>
        <w:tc>
          <w:tcPr>
            <w:tcW w:w="3074" w:type="dxa"/>
            <w:shd w:val="clear" w:color="auto" w:fill="auto"/>
            <w:noWrap/>
          </w:tcPr>
          <w:p w14:paraId="2A81E603" w14:textId="77777777" w:rsidR="00FD757D" w:rsidRDefault="00FD757D" w:rsidP="00FC344F">
            <w:pPr>
              <w:jc w:val="left"/>
              <w:rPr>
                <w:rFonts w:ascii="Arial" w:hAnsi="Arial" w:cs="Arial"/>
                <w:sz w:val="20"/>
              </w:rPr>
            </w:pPr>
            <w:r>
              <w:rPr>
                <w:rFonts w:ascii="Arial" w:hAnsi="Arial" w:cs="Arial"/>
                <w:sz w:val="20"/>
              </w:rPr>
              <w:t>The purpose of MU RTS Trigger frame is to set the NAV. If it is carried in EHT MU PPDU then it defeats the purpose. Provide a rationale as to why an MU RTS Trigger frame may be carried in EHT MU PPDU, alternatively remove this bullet.</w:t>
            </w:r>
          </w:p>
        </w:tc>
        <w:tc>
          <w:tcPr>
            <w:tcW w:w="1669" w:type="dxa"/>
            <w:shd w:val="clear" w:color="auto" w:fill="auto"/>
            <w:noWrap/>
          </w:tcPr>
          <w:p w14:paraId="5461DA41" w14:textId="77777777" w:rsidR="00FD757D" w:rsidRDefault="00FD757D" w:rsidP="00FC344F">
            <w:pPr>
              <w:jc w:val="left"/>
              <w:rPr>
                <w:rFonts w:ascii="Arial" w:hAnsi="Arial" w:cs="Arial"/>
                <w:sz w:val="20"/>
              </w:rPr>
            </w:pPr>
            <w:r>
              <w:rPr>
                <w:rFonts w:ascii="Arial" w:hAnsi="Arial" w:cs="Arial"/>
                <w:sz w:val="20"/>
              </w:rPr>
              <w:t>As in comment.</w:t>
            </w:r>
          </w:p>
        </w:tc>
        <w:tc>
          <w:tcPr>
            <w:tcW w:w="3513" w:type="dxa"/>
            <w:shd w:val="clear" w:color="auto" w:fill="auto"/>
          </w:tcPr>
          <w:p w14:paraId="48FECF4C" w14:textId="77777777" w:rsidR="00FD757D" w:rsidRDefault="00FD757D" w:rsidP="00FC344F">
            <w:pPr>
              <w:jc w:val="left"/>
              <w:rPr>
                <w:rFonts w:eastAsia="Times New Roman"/>
                <w:color w:val="000000"/>
                <w:sz w:val="18"/>
                <w:szCs w:val="18"/>
                <w:lang w:val="en-US"/>
              </w:rPr>
            </w:pPr>
            <w:r>
              <w:rPr>
                <w:rFonts w:eastAsia="Times New Roman"/>
                <w:color w:val="000000"/>
                <w:sz w:val="18"/>
                <w:szCs w:val="18"/>
                <w:lang w:val="en-US"/>
              </w:rPr>
              <w:t>Rejected</w:t>
            </w:r>
          </w:p>
          <w:p w14:paraId="72636EB9" w14:textId="77777777" w:rsidR="00FD757D" w:rsidRDefault="00FD757D" w:rsidP="00FC344F">
            <w:pPr>
              <w:jc w:val="left"/>
              <w:rPr>
                <w:rFonts w:eastAsia="Times New Roman"/>
                <w:color w:val="000000"/>
                <w:sz w:val="18"/>
                <w:szCs w:val="18"/>
                <w:lang w:val="en-US"/>
              </w:rPr>
            </w:pPr>
          </w:p>
          <w:p w14:paraId="6B9BA06C" w14:textId="77777777" w:rsidR="00FD757D" w:rsidRDefault="00FD757D" w:rsidP="00FC344F">
            <w:pPr>
              <w:jc w:val="left"/>
              <w:rPr>
                <w:rFonts w:eastAsia="Times New Roman"/>
                <w:color w:val="000000"/>
                <w:sz w:val="18"/>
                <w:szCs w:val="18"/>
                <w:lang w:val="en-US"/>
              </w:rPr>
            </w:pPr>
            <w:r>
              <w:rPr>
                <w:rFonts w:eastAsia="Times New Roman"/>
                <w:color w:val="000000"/>
                <w:sz w:val="18"/>
                <w:szCs w:val="18"/>
                <w:lang w:val="en-US"/>
              </w:rPr>
              <w:t>Discussion:</w:t>
            </w:r>
          </w:p>
          <w:p w14:paraId="4C663AC2" w14:textId="4F1BD114" w:rsidR="00FD757D" w:rsidRDefault="00FD757D" w:rsidP="00FC344F">
            <w:pPr>
              <w:jc w:val="left"/>
              <w:rPr>
                <w:rFonts w:eastAsia="Times New Roman"/>
                <w:color w:val="000000"/>
                <w:sz w:val="18"/>
                <w:szCs w:val="18"/>
                <w:lang w:val="en-US"/>
              </w:rPr>
            </w:pPr>
            <w:r>
              <w:rPr>
                <w:rFonts w:eastAsia="Times New Roman"/>
                <w:color w:val="000000"/>
                <w:sz w:val="18"/>
                <w:szCs w:val="18"/>
                <w:lang w:val="en-US"/>
              </w:rPr>
              <w:t>The commenter is right that MU RTS can be used for NAV setting so normally the non-HT duplicate PPDU is used to carry MU-RTS. However just like the other Trigger frame, the wider BW may be used when the carried MU-RTS is too long. Please note that 11ax has the similar rule and 11be follow 11ax’s way.</w:t>
            </w:r>
          </w:p>
          <w:p w14:paraId="08E8F122" w14:textId="77777777" w:rsidR="00FD757D" w:rsidRPr="001909E5" w:rsidRDefault="00FD757D" w:rsidP="00FC344F">
            <w:pPr>
              <w:jc w:val="left"/>
              <w:rPr>
                <w:rFonts w:eastAsia="Times New Roman"/>
                <w:color w:val="000000"/>
                <w:sz w:val="18"/>
                <w:szCs w:val="18"/>
                <w:lang w:val="en-US"/>
              </w:rPr>
            </w:pPr>
          </w:p>
        </w:tc>
      </w:tr>
      <w:tr w:rsidR="000B1E44" w:rsidRPr="00DE3A51" w14:paraId="36A27816" w14:textId="77777777" w:rsidTr="00FC344F">
        <w:trPr>
          <w:trHeight w:val="787"/>
        </w:trPr>
        <w:tc>
          <w:tcPr>
            <w:tcW w:w="794" w:type="dxa"/>
            <w:shd w:val="clear" w:color="auto" w:fill="auto"/>
            <w:noWrap/>
          </w:tcPr>
          <w:p w14:paraId="5B18559C" w14:textId="77777777" w:rsidR="000B1E44" w:rsidRPr="00865476" w:rsidRDefault="000B1E44" w:rsidP="00FC344F">
            <w:pPr>
              <w:jc w:val="left"/>
              <w:rPr>
                <w:sz w:val="18"/>
                <w:szCs w:val="18"/>
              </w:rPr>
            </w:pPr>
            <w:r w:rsidRPr="00865476">
              <w:rPr>
                <w:rFonts w:ascii="Arial" w:hAnsi="Arial" w:cs="Arial"/>
                <w:sz w:val="18"/>
                <w:szCs w:val="18"/>
              </w:rPr>
              <w:t>15581</w:t>
            </w:r>
          </w:p>
        </w:tc>
        <w:tc>
          <w:tcPr>
            <w:tcW w:w="614" w:type="dxa"/>
            <w:shd w:val="clear" w:color="auto" w:fill="auto"/>
            <w:noWrap/>
          </w:tcPr>
          <w:p w14:paraId="4F992AF2" w14:textId="77777777" w:rsidR="000B1E44" w:rsidRDefault="000B1E44" w:rsidP="00FC344F">
            <w:pPr>
              <w:jc w:val="left"/>
              <w:rPr>
                <w:rFonts w:ascii="Arial" w:hAnsi="Arial" w:cs="Arial"/>
                <w:sz w:val="20"/>
              </w:rPr>
            </w:pPr>
            <w:r>
              <w:rPr>
                <w:rFonts w:ascii="Arial" w:hAnsi="Arial" w:cs="Arial"/>
                <w:sz w:val="20"/>
              </w:rPr>
              <w:t>636</w:t>
            </w:r>
          </w:p>
        </w:tc>
        <w:tc>
          <w:tcPr>
            <w:tcW w:w="790" w:type="dxa"/>
            <w:shd w:val="clear" w:color="auto" w:fill="auto"/>
            <w:noWrap/>
          </w:tcPr>
          <w:p w14:paraId="4211679F" w14:textId="77777777" w:rsidR="000B1E44" w:rsidRDefault="000B1E44" w:rsidP="00FC344F">
            <w:pPr>
              <w:jc w:val="left"/>
              <w:rPr>
                <w:rFonts w:ascii="Arial" w:hAnsi="Arial" w:cs="Arial"/>
                <w:sz w:val="20"/>
              </w:rPr>
            </w:pPr>
            <w:r>
              <w:rPr>
                <w:rFonts w:ascii="Arial" w:hAnsi="Arial" w:cs="Arial"/>
                <w:sz w:val="20"/>
              </w:rPr>
              <w:t>1</w:t>
            </w:r>
          </w:p>
        </w:tc>
        <w:tc>
          <w:tcPr>
            <w:tcW w:w="3074" w:type="dxa"/>
            <w:shd w:val="clear" w:color="auto" w:fill="auto"/>
            <w:noWrap/>
          </w:tcPr>
          <w:p w14:paraId="30C11335" w14:textId="77777777" w:rsidR="000B1E44" w:rsidRDefault="000B1E44" w:rsidP="00FC344F">
            <w:pPr>
              <w:jc w:val="left"/>
              <w:rPr>
                <w:rFonts w:ascii="Arial" w:hAnsi="Arial" w:cs="Arial"/>
                <w:sz w:val="20"/>
              </w:rPr>
            </w:pPr>
            <w:r>
              <w:rPr>
                <w:rFonts w:ascii="Arial" w:hAnsi="Arial" w:cs="Arial"/>
                <w:sz w:val="20"/>
              </w:rPr>
              <w:t>Change "A Control frame is carried in an EHT TB PPDU" to A Control frame shall be carried in an EHT TB PPDU"</w:t>
            </w:r>
          </w:p>
        </w:tc>
        <w:tc>
          <w:tcPr>
            <w:tcW w:w="1669" w:type="dxa"/>
            <w:shd w:val="clear" w:color="auto" w:fill="auto"/>
            <w:noWrap/>
          </w:tcPr>
          <w:p w14:paraId="7A0AA6ED" w14:textId="77777777" w:rsidR="000B1E44" w:rsidRDefault="000B1E44" w:rsidP="00FC344F">
            <w:pPr>
              <w:jc w:val="left"/>
              <w:rPr>
                <w:rFonts w:ascii="Arial" w:hAnsi="Arial" w:cs="Arial"/>
                <w:sz w:val="20"/>
              </w:rPr>
            </w:pPr>
            <w:r>
              <w:rPr>
                <w:rFonts w:ascii="Arial" w:hAnsi="Arial" w:cs="Arial"/>
                <w:sz w:val="20"/>
              </w:rPr>
              <w:t>As in comment</w:t>
            </w:r>
          </w:p>
        </w:tc>
        <w:tc>
          <w:tcPr>
            <w:tcW w:w="3513" w:type="dxa"/>
            <w:shd w:val="clear" w:color="auto" w:fill="auto"/>
          </w:tcPr>
          <w:p w14:paraId="6565ECC0" w14:textId="77777777" w:rsidR="00A97CFE" w:rsidRDefault="00FD757D" w:rsidP="00A97CFE">
            <w:pPr>
              <w:jc w:val="left"/>
              <w:rPr>
                <w:rFonts w:eastAsia="Times New Roman"/>
                <w:color w:val="000000"/>
                <w:sz w:val="20"/>
                <w:szCs w:val="14"/>
                <w:lang w:val="en-US"/>
              </w:rPr>
            </w:pPr>
            <w:r>
              <w:rPr>
                <w:rFonts w:eastAsia="Times New Roman"/>
                <w:color w:val="000000"/>
                <w:sz w:val="20"/>
                <w:szCs w:val="14"/>
                <w:lang w:val="en-US"/>
              </w:rPr>
              <w:t>Rejected</w:t>
            </w:r>
          </w:p>
          <w:p w14:paraId="73312081" w14:textId="77777777" w:rsidR="00A97CFE" w:rsidRDefault="00A97CFE" w:rsidP="00A97CFE">
            <w:pPr>
              <w:jc w:val="left"/>
              <w:rPr>
                <w:rFonts w:eastAsia="Times New Roman"/>
                <w:color w:val="000000"/>
                <w:sz w:val="20"/>
                <w:szCs w:val="14"/>
                <w:lang w:val="en-US"/>
              </w:rPr>
            </w:pPr>
          </w:p>
          <w:p w14:paraId="05B2C7AA" w14:textId="367CF789" w:rsidR="00FD757D" w:rsidRPr="00DE3A51" w:rsidRDefault="00FD757D" w:rsidP="00A97CFE">
            <w:pPr>
              <w:jc w:val="left"/>
              <w:rPr>
                <w:rFonts w:eastAsia="Times New Roman"/>
                <w:color w:val="000000"/>
                <w:sz w:val="20"/>
                <w:szCs w:val="14"/>
              </w:rPr>
            </w:pPr>
            <w:r>
              <w:rPr>
                <w:rFonts w:eastAsia="Times New Roman"/>
                <w:color w:val="000000"/>
                <w:sz w:val="20"/>
                <w:szCs w:val="14"/>
              </w:rPr>
              <w:t xml:space="preserve">Discussion: the related SHALL rule is already defined in the </w:t>
            </w:r>
            <w:r w:rsidR="00647E3E">
              <w:rPr>
                <w:rFonts w:eastAsia="Times New Roman"/>
                <w:color w:val="000000"/>
                <w:sz w:val="20"/>
                <w:szCs w:val="14"/>
              </w:rPr>
              <w:t>re</w:t>
            </w:r>
            <w:r>
              <w:rPr>
                <w:rFonts w:eastAsia="Times New Roman"/>
                <w:color w:val="000000"/>
                <w:sz w:val="20"/>
                <w:szCs w:val="14"/>
              </w:rPr>
              <w:t xml:space="preserve">ferred subclause, i.e. </w:t>
            </w:r>
            <w:r w:rsidRPr="00FD757D">
              <w:rPr>
                <w:color w:val="000000"/>
                <w:sz w:val="20"/>
              </w:rPr>
              <w:t>(see 35.5.2 (EHT UL MU operation))</w:t>
            </w:r>
            <w:r>
              <w:rPr>
                <w:color w:val="000000"/>
                <w:sz w:val="20"/>
              </w:rPr>
              <w:t>.</w:t>
            </w:r>
          </w:p>
        </w:tc>
      </w:tr>
      <w:tr w:rsidR="00FD757D" w:rsidRPr="004112A3" w14:paraId="788CAC50" w14:textId="77777777" w:rsidTr="00FC344F">
        <w:trPr>
          <w:trHeight w:val="787"/>
        </w:trPr>
        <w:tc>
          <w:tcPr>
            <w:tcW w:w="794" w:type="dxa"/>
            <w:shd w:val="clear" w:color="auto" w:fill="auto"/>
            <w:noWrap/>
          </w:tcPr>
          <w:p w14:paraId="6615C6B5" w14:textId="77777777" w:rsidR="00FD757D" w:rsidRPr="00865476" w:rsidRDefault="00FD757D" w:rsidP="00FC344F">
            <w:pPr>
              <w:jc w:val="left"/>
              <w:rPr>
                <w:rFonts w:ascii="Arial" w:hAnsi="Arial" w:cs="Arial"/>
                <w:sz w:val="18"/>
                <w:szCs w:val="18"/>
              </w:rPr>
            </w:pPr>
            <w:r w:rsidRPr="00865476">
              <w:rPr>
                <w:rFonts w:ascii="Arial" w:hAnsi="Arial" w:cs="Arial"/>
                <w:sz w:val="18"/>
                <w:szCs w:val="18"/>
              </w:rPr>
              <w:t>17118</w:t>
            </w:r>
          </w:p>
        </w:tc>
        <w:tc>
          <w:tcPr>
            <w:tcW w:w="614" w:type="dxa"/>
            <w:shd w:val="clear" w:color="auto" w:fill="auto"/>
            <w:noWrap/>
          </w:tcPr>
          <w:p w14:paraId="6C74F8E6" w14:textId="77777777" w:rsidR="00FD757D" w:rsidRDefault="00FD757D" w:rsidP="00FC344F">
            <w:pPr>
              <w:jc w:val="left"/>
              <w:rPr>
                <w:rFonts w:ascii="Arial" w:hAnsi="Arial" w:cs="Arial"/>
                <w:sz w:val="20"/>
              </w:rPr>
            </w:pPr>
            <w:r>
              <w:rPr>
                <w:rFonts w:ascii="Arial" w:hAnsi="Arial" w:cs="Arial"/>
                <w:sz w:val="20"/>
              </w:rPr>
              <w:t>636</w:t>
            </w:r>
          </w:p>
        </w:tc>
        <w:tc>
          <w:tcPr>
            <w:tcW w:w="790" w:type="dxa"/>
            <w:shd w:val="clear" w:color="auto" w:fill="auto"/>
            <w:noWrap/>
          </w:tcPr>
          <w:p w14:paraId="5E7D8604" w14:textId="77777777" w:rsidR="00FD757D" w:rsidRDefault="00FD757D" w:rsidP="00FC344F">
            <w:pPr>
              <w:jc w:val="left"/>
              <w:rPr>
                <w:rFonts w:ascii="Arial" w:hAnsi="Arial" w:cs="Arial"/>
                <w:sz w:val="20"/>
              </w:rPr>
            </w:pPr>
            <w:r>
              <w:rPr>
                <w:rFonts w:ascii="Arial" w:hAnsi="Arial" w:cs="Arial"/>
                <w:sz w:val="20"/>
              </w:rPr>
              <w:t>10</w:t>
            </w:r>
          </w:p>
        </w:tc>
        <w:tc>
          <w:tcPr>
            <w:tcW w:w="3074" w:type="dxa"/>
            <w:shd w:val="clear" w:color="auto" w:fill="auto"/>
            <w:noWrap/>
          </w:tcPr>
          <w:p w14:paraId="108B280A" w14:textId="77777777" w:rsidR="00FD757D" w:rsidRDefault="00FD757D" w:rsidP="00FC344F">
            <w:pPr>
              <w:jc w:val="left"/>
              <w:rPr>
                <w:rFonts w:ascii="Arial" w:hAnsi="Arial" w:cs="Arial"/>
                <w:sz w:val="20"/>
              </w:rPr>
            </w:pPr>
            <w:r>
              <w:rPr>
                <w:rFonts w:ascii="Arial" w:hAnsi="Arial" w:cs="Arial"/>
                <w:sz w:val="20"/>
              </w:rPr>
              <w:t>"carried in non-HT (duplicate) PPDU"</w:t>
            </w:r>
          </w:p>
        </w:tc>
        <w:tc>
          <w:tcPr>
            <w:tcW w:w="1669" w:type="dxa"/>
            <w:shd w:val="clear" w:color="auto" w:fill="auto"/>
            <w:noWrap/>
          </w:tcPr>
          <w:p w14:paraId="458BC047" w14:textId="77777777" w:rsidR="00FD757D" w:rsidRDefault="00FD757D" w:rsidP="00FC344F">
            <w:pPr>
              <w:jc w:val="left"/>
              <w:rPr>
                <w:rFonts w:ascii="Arial" w:hAnsi="Arial" w:cs="Arial"/>
                <w:sz w:val="20"/>
              </w:rPr>
            </w:pPr>
            <w:r>
              <w:rPr>
                <w:rFonts w:ascii="Arial" w:hAnsi="Arial" w:cs="Arial"/>
                <w:sz w:val="20"/>
              </w:rPr>
              <w:t>As it says in the comment.  Ditto line 17</w:t>
            </w:r>
          </w:p>
        </w:tc>
        <w:tc>
          <w:tcPr>
            <w:tcW w:w="3513" w:type="dxa"/>
            <w:shd w:val="clear" w:color="auto" w:fill="auto"/>
          </w:tcPr>
          <w:p w14:paraId="1ECEC98C" w14:textId="77777777" w:rsidR="00FD757D" w:rsidRDefault="00FD757D" w:rsidP="00FC344F">
            <w:pPr>
              <w:jc w:val="left"/>
              <w:rPr>
                <w:rFonts w:eastAsia="Times New Roman"/>
                <w:color w:val="000000"/>
                <w:sz w:val="18"/>
                <w:szCs w:val="18"/>
                <w:lang w:val="en-US"/>
              </w:rPr>
            </w:pPr>
            <w:r>
              <w:rPr>
                <w:rFonts w:eastAsia="Times New Roman"/>
                <w:color w:val="000000"/>
                <w:sz w:val="18"/>
                <w:szCs w:val="18"/>
                <w:lang w:val="en-US"/>
              </w:rPr>
              <w:t>Rejected</w:t>
            </w:r>
          </w:p>
          <w:p w14:paraId="4CF281FA" w14:textId="77777777" w:rsidR="00FD757D" w:rsidRDefault="00FD757D" w:rsidP="00FC344F">
            <w:pPr>
              <w:jc w:val="left"/>
              <w:rPr>
                <w:rFonts w:eastAsia="Times New Roman"/>
                <w:color w:val="000000"/>
                <w:sz w:val="18"/>
                <w:szCs w:val="18"/>
                <w:lang w:val="en-US"/>
              </w:rPr>
            </w:pPr>
          </w:p>
          <w:p w14:paraId="5C34B92D" w14:textId="070BD2E0" w:rsidR="00FD757D" w:rsidRPr="00FD757D" w:rsidRDefault="00FD757D" w:rsidP="00FD757D">
            <w:pPr>
              <w:jc w:val="left"/>
              <w:rPr>
                <w:color w:val="000000"/>
                <w:sz w:val="24"/>
                <w:szCs w:val="24"/>
                <w:lang w:val="en-US"/>
              </w:rPr>
            </w:pPr>
            <w:r>
              <w:rPr>
                <w:rFonts w:eastAsia="Times New Roman"/>
                <w:color w:val="000000"/>
                <w:sz w:val="18"/>
                <w:szCs w:val="18"/>
                <w:lang w:val="en-US"/>
              </w:rPr>
              <w:t xml:space="preserve">Discussion: the text in P636L10 </w:t>
            </w:r>
            <w:r>
              <w:rPr>
                <w:color w:val="000000"/>
                <w:sz w:val="20"/>
                <w:lang w:val="en-US"/>
              </w:rPr>
              <w:t>“…</w:t>
            </w:r>
            <w:r w:rsidRPr="00FD757D">
              <w:rPr>
                <w:color w:val="000000"/>
                <w:sz w:val="20"/>
                <w:lang w:val="en-US"/>
              </w:rPr>
              <w:t>which case the Control frame should be carried in non-HT (duplicate) PPDU</w:t>
            </w:r>
            <w:r>
              <w:rPr>
                <w:color w:val="000000"/>
                <w:sz w:val="20"/>
                <w:lang w:val="en-US"/>
              </w:rPr>
              <w:t>”</w:t>
            </w:r>
            <w:r>
              <w:rPr>
                <w:rFonts w:eastAsia="Times New Roman"/>
                <w:color w:val="000000"/>
                <w:sz w:val="18"/>
                <w:szCs w:val="18"/>
                <w:lang w:val="en-US"/>
              </w:rPr>
              <w:t xml:space="preserve"> is what the commenter asked for</w:t>
            </w:r>
            <w:r w:rsidR="005249B2">
              <w:rPr>
                <w:rFonts w:eastAsia="Times New Roman"/>
                <w:color w:val="000000"/>
                <w:sz w:val="18"/>
                <w:szCs w:val="18"/>
                <w:lang w:val="en-US"/>
              </w:rPr>
              <w:t>.</w:t>
            </w:r>
          </w:p>
          <w:p w14:paraId="1D5C49EC" w14:textId="4FA9E794" w:rsidR="00FD757D" w:rsidRPr="001909E5" w:rsidRDefault="00FD757D" w:rsidP="00FD757D">
            <w:pPr>
              <w:jc w:val="left"/>
              <w:rPr>
                <w:rFonts w:eastAsia="Times New Roman"/>
                <w:color w:val="000000"/>
                <w:sz w:val="18"/>
                <w:szCs w:val="18"/>
                <w:lang w:val="en-US"/>
              </w:rPr>
            </w:pPr>
          </w:p>
        </w:tc>
      </w:tr>
      <w:tr w:rsidR="00FD757D" w:rsidRPr="004112A3" w14:paraId="72B2BAEA" w14:textId="77777777" w:rsidTr="00FC344F">
        <w:trPr>
          <w:trHeight w:val="787"/>
        </w:trPr>
        <w:tc>
          <w:tcPr>
            <w:tcW w:w="794" w:type="dxa"/>
            <w:shd w:val="clear" w:color="auto" w:fill="auto"/>
            <w:noWrap/>
          </w:tcPr>
          <w:p w14:paraId="2E1D3AC5" w14:textId="77777777" w:rsidR="00FD757D" w:rsidRPr="00865476" w:rsidRDefault="00FD757D" w:rsidP="00FC344F">
            <w:pPr>
              <w:jc w:val="left"/>
              <w:rPr>
                <w:rFonts w:ascii="Arial" w:hAnsi="Arial" w:cs="Arial"/>
                <w:sz w:val="18"/>
                <w:szCs w:val="18"/>
              </w:rPr>
            </w:pPr>
            <w:r w:rsidRPr="00FE2DC6">
              <w:rPr>
                <w:rFonts w:ascii="Arial" w:hAnsi="Arial" w:cs="Arial"/>
                <w:color w:val="00B050"/>
                <w:sz w:val="18"/>
                <w:szCs w:val="18"/>
              </w:rPr>
              <w:t>17119</w:t>
            </w:r>
          </w:p>
        </w:tc>
        <w:tc>
          <w:tcPr>
            <w:tcW w:w="614" w:type="dxa"/>
            <w:shd w:val="clear" w:color="auto" w:fill="auto"/>
            <w:noWrap/>
          </w:tcPr>
          <w:p w14:paraId="3264741B" w14:textId="77777777" w:rsidR="00FD757D" w:rsidRDefault="00FD757D" w:rsidP="00FC344F">
            <w:pPr>
              <w:jc w:val="left"/>
              <w:rPr>
                <w:rFonts w:ascii="Arial" w:hAnsi="Arial" w:cs="Arial"/>
                <w:sz w:val="20"/>
              </w:rPr>
            </w:pPr>
            <w:r>
              <w:rPr>
                <w:rFonts w:ascii="Arial" w:hAnsi="Arial" w:cs="Arial"/>
                <w:sz w:val="20"/>
              </w:rPr>
              <w:t>636</w:t>
            </w:r>
          </w:p>
        </w:tc>
        <w:tc>
          <w:tcPr>
            <w:tcW w:w="790" w:type="dxa"/>
            <w:shd w:val="clear" w:color="auto" w:fill="auto"/>
            <w:noWrap/>
          </w:tcPr>
          <w:p w14:paraId="52C6EFCC" w14:textId="77777777" w:rsidR="00FD757D" w:rsidRDefault="00FD757D" w:rsidP="00FC344F">
            <w:pPr>
              <w:jc w:val="left"/>
              <w:rPr>
                <w:rFonts w:ascii="Arial" w:hAnsi="Arial" w:cs="Arial"/>
                <w:sz w:val="20"/>
              </w:rPr>
            </w:pPr>
            <w:r>
              <w:rPr>
                <w:rFonts w:ascii="Arial" w:hAnsi="Arial" w:cs="Arial"/>
                <w:sz w:val="20"/>
              </w:rPr>
              <w:t>22</w:t>
            </w:r>
          </w:p>
        </w:tc>
        <w:tc>
          <w:tcPr>
            <w:tcW w:w="3074" w:type="dxa"/>
            <w:shd w:val="clear" w:color="auto" w:fill="auto"/>
            <w:noWrap/>
          </w:tcPr>
          <w:p w14:paraId="34EA4398" w14:textId="77777777" w:rsidR="00FD757D" w:rsidRDefault="00FD757D" w:rsidP="00FC344F">
            <w:pPr>
              <w:jc w:val="left"/>
              <w:rPr>
                <w:rFonts w:ascii="Arial" w:hAnsi="Arial" w:cs="Arial"/>
                <w:sz w:val="20"/>
              </w:rPr>
            </w:pPr>
            <w:r>
              <w:rPr>
                <w:rFonts w:ascii="Arial" w:hAnsi="Arial" w:cs="Arial"/>
                <w:sz w:val="20"/>
              </w:rPr>
              <w:t>"is carried in the</w:t>
            </w:r>
            <w:r>
              <w:rPr>
                <w:rFonts w:ascii="Arial" w:hAnsi="Arial" w:cs="Arial"/>
                <w:sz w:val="20"/>
              </w:rPr>
              <w:br/>
              <w:t>PPDU" should be normative.  Also wrong article</w:t>
            </w:r>
          </w:p>
        </w:tc>
        <w:tc>
          <w:tcPr>
            <w:tcW w:w="1669" w:type="dxa"/>
            <w:shd w:val="clear" w:color="auto" w:fill="auto"/>
            <w:noWrap/>
          </w:tcPr>
          <w:p w14:paraId="1A2FF9EF" w14:textId="77777777" w:rsidR="00FD757D" w:rsidRDefault="00FD757D" w:rsidP="00FC344F">
            <w:pPr>
              <w:jc w:val="left"/>
              <w:rPr>
                <w:rFonts w:ascii="Arial" w:hAnsi="Arial" w:cs="Arial"/>
                <w:sz w:val="20"/>
              </w:rPr>
            </w:pPr>
            <w:r>
              <w:rPr>
                <w:rFonts w:ascii="Arial" w:hAnsi="Arial" w:cs="Arial"/>
                <w:sz w:val="20"/>
              </w:rPr>
              <w:t>Change to "shall be carried in a PPDU"</w:t>
            </w:r>
          </w:p>
        </w:tc>
        <w:tc>
          <w:tcPr>
            <w:tcW w:w="3513" w:type="dxa"/>
            <w:shd w:val="clear" w:color="auto" w:fill="auto"/>
          </w:tcPr>
          <w:p w14:paraId="1C8E09A4" w14:textId="3C67EAEA" w:rsidR="00A97CFE" w:rsidRDefault="008751C6" w:rsidP="00A97CFE">
            <w:pPr>
              <w:jc w:val="left"/>
              <w:rPr>
                <w:rFonts w:eastAsia="Times New Roman"/>
                <w:color w:val="000000"/>
                <w:sz w:val="18"/>
                <w:szCs w:val="18"/>
                <w:lang w:val="en-US"/>
              </w:rPr>
            </w:pPr>
            <w:r>
              <w:rPr>
                <w:rFonts w:eastAsia="Times New Roman"/>
                <w:color w:val="000000"/>
                <w:sz w:val="18"/>
                <w:szCs w:val="18"/>
                <w:lang w:val="en-US"/>
              </w:rPr>
              <w:t>Revised</w:t>
            </w:r>
          </w:p>
          <w:p w14:paraId="33A745E3" w14:textId="77777777" w:rsidR="00A97CFE" w:rsidRDefault="00A97CFE" w:rsidP="00A97CFE">
            <w:pPr>
              <w:jc w:val="left"/>
              <w:rPr>
                <w:rFonts w:eastAsia="Times New Roman"/>
                <w:color w:val="000000"/>
                <w:sz w:val="18"/>
                <w:szCs w:val="18"/>
                <w:lang w:val="en-US"/>
              </w:rPr>
            </w:pPr>
          </w:p>
          <w:p w14:paraId="7D4C2EEC" w14:textId="6510F56A" w:rsidR="005249B2" w:rsidRDefault="005249B2" w:rsidP="00A97CFE">
            <w:pPr>
              <w:jc w:val="left"/>
              <w:rPr>
                <w:color w:val="000000"/>
                <w:sz w:val="20"/>
              </w:rPr>
            </w:pPr>
            <w:r>
              <w:rPr>
                <w:rFonts w:eastAsia="Times New Roman"/>
                <w:color w:val="000000"/>
                <w:sz w:val="18"/>
                <w:szCs w:val="18"/>
              </w:rPr>
              <w:t>Discussion: the related SHALL rule is defined in the referred subclause, i.e. i</w:t>
            </w:r>
            <w:r w:rsidRPr="005249B2">
              <w:rPr>
                <w:color w:val="000000"/>
                <w:sz w:val="20"/>
              </w:rPr>
              <w:t>n 35.3.16.5.2 (End time alignment of response PPDUs using SRS Control field)</w:t>
            </w:r>
            <w:r>
              <w:rPr>
                <w:color w:val="000000"/>
                <w:sz w:val="20"/>
              </w:rPr>
              <w:t>.</w:t>
            </w:r>
            <w:r w:rsidR="008751C6">
              <w:rPr>
                <w:color w:val="000000"/>
                <w:sz w:val="20"/>
              </w:rPr>
              <w:t xml:space="preserve"> </w:t>
            </w:r>
            <w:r w:rsidR="008F12AC">
              <w:rPr>
                <w:color w:val="000000"/>
                <w:sz w:val="20"/>
              </w:rPr>
              <w:t>The CID is used to f</w:t>
            </w:r>
            <w:r w:rsidR="008751C6">
              <w:rPr>
                <w:color w:val="000000"/>
                <w:sz w:val="20"/>
              </w:rPr>
              <w:t>ix the wrong article</w:t>
            </w:r>
            <w:r w:rsidR="008F12AC">
              <w:rPr>
                <w:color w:val="000000"/>
                <w:sz w:val="20"/>
              </w:rPr>
              <w:t>.</w:t>
            </w:r>
          </w:p>
          <w:p w14:paraId="56A3DF97" w14:textId="67C575E6" w:rsidR="008F12AC" w:rsidRDefault="008F12AC" w:rsidP="00A97CFE">
            <w:pPr>
              <w:jc w:val="left"/>
              <w:rPr>
                <w:color w:val="000000"/>
                <w:sz w:val="20"/>
              </w:rPr>
            </w:pPr>
          </w:p>
          <w:p w14:paraId="12E3A301" w14:textId="55C7A634" w:rsidR="008F12AC" w:rsidRDefault="008F12AC" w:rsidP="008F12AC">
            <w:pPr>
              <w:jc w:val="left"/>
              <w:rPr>
                <w:rFonts w:eastAsia="Times New Roman"/>
                <w:color w:val="000000"/>
                <w:sz w:val="18"/>
                <w:szCs w:val="18"/>
                <w:lang w:val="en-US"/>
              </w:rPr>
            </w:pPr>
            <w:r>
              <w:rPr>
                <w:rFonts w:eastAsia="Times New Roman"/>
                <w:color w:val="000000"/>
                <w:sz w:val="18"/>
                <w:szCs w:val="18"/>
                <w:lang w:val="en-US"/>
              </w:rPr>
              <w:t>TGbe editor to make changes in THIS DOCUMENT with tag 1</w:t>
            </w:r>
            <w:r>
              <w:rPr>
                <w:rFonts w:eastAsia="Times New Roman"/>
                <w:color w:val="000000"/>
                <w:sz w:val="18"/>
                <w:szCs w:val="18"/>
                <w:lang w:val="en-US"/>
              </w:rPr>
              <w:t>7119</w:t>
            </w:r>
          </w:p>
          <w:p w14:paraId="1D48F4CA" w14:textId="77777777" w:rsidR="008F12AC" w:rsidRPr="008F12AC" w:rsidRDefault="008F12AC" w:rsidP="00A97CFE">
            <w:pPr>
              <w:jc w:val="left"/>
              <w:rPr>
                <w:rFonts w:eastAsia="Times New Roman"/>
                <w:color w:val="000000"/>
                <w:sz w:val="18"/>
                <w:szCs w:val="18"/>
                <w:lang w:val="en-US"/>
              </w:rPr>
            </w:pPr>
          </w:p>
          <w:p w14:paraId="3D9405E3" w14:textId="50343117" w:rsidR="005249B2" w:rsidRPr="001909E5" w:rsidRDefault="005249B2" w:rsidP="00FC344F">
            <w:pPr>
              <w:jc w:val="left"/>
              <w:rPr>
                <w:rFonts w:eastAsia="Times New Roman"/>
                <w:color w:val="000000"/>
                <w:sz w:val="18"/>
                <w:szCs w:val="18"/>
                <w:lang w:val="en-US"/>
              </w:rPr>
            </w:pPr>
          </w:p>
        </w:tc>
      </w:tr>
      <w:tr w:rsidR="00865476" w:rsidRPr="004112A3" w14:paraId="60078398" w14:textId="77777777" w:rsidTr="00865476">
        <w:trPr>
          <w:trHeight w:val="787"/>
        </w:trPr>
        <w:tc>
          <w:tcPr>
            <w:tcW w:w="794" w:type="dxa"/>
            <w:shd w:val="clear" w:color="auto" w:fill="auto"/>
            <w:noWrap/>
          </w:tcPr>
          <w:p w14:paraId="26A5F2D5" w14:textId="11D4B870" w:rsidR="00865476" w:rsidRPr="00865476" w:rsidRDefault="00865476" w:rsidP="00865476">
            <w:pPr>
              <w:jc w:val="left"/>
              <w:rPr>
                <w:sz w:val="18"/>
                <w:szCs w:val="18"/>
              </w:rPr>
            </w:pPr>
            <w:r w:rsidRPr="004141F5">
              <w:rPr>
                <w:rFonts w:ascii="Arial" w:hAnsi="Arial" w:cs="Arial"/>
                <w:sz w:val="18"/>
                <w:szCs w:val="18"/>
                <w:highlight w:val="yellow"/>
              </w:rPr>
              <w:t>16667</w:t>
            </w:r>
          </w:p>
        </w:tc>
        <w:tc>
          <w:tcPr>
            <w:tcW w:w="614" w:type="dxa"/>
            <w:shd w:val="clear" w:color="auto" w:fill="auto"/>
            <w:noWrap/>
          </w:tcPr>
          <w:p w14:paraId="4761A1CE" w14:textId="2D43DD9E" w:rsidR="00865476" w:rsidRDefault="00865476" w:rsidP="00865476">
            <w:pPr>
              <w:jc w:val="left"/>
              <w:rPr>
                <w:sz w:val="18"/>
                <w:szCs w:val="18"/>
              </w:rPr>
            </w:pPr>
            <w:r>
              <w:rPr>
                <w:rFonts w:ascii="Arial" w:hAnsi="Arial" w:cs="Arial"/>
                <w:sz w:val="20"/>
              </w:rPr>
              <w:t>636</w:t>
            </w:r>
          </w:p>
        </w:tc>
        <w:tc>
          <w:tcPr>
            <w:tcW w:w="790" w:type="dxa"/>
            <w:shd w:val="clear" w:color="auto" w:fill="auto"/>
            <w:noWrap/>
          </w:tcPr>
          <w:p w14:paraId="0789402B" w14:textId="1F99B065" w:rsidR="00865476" w:rsidRDefault="00865476" w:rsidP="00865476">
            <w:pPr>
              <w:jc w:val="left"/>
              <w:rPr>
                <w:sz w:val="18"/>
                <w:szCs w:val="18"/>
              </w:rPr>
            </w:pPr>
            <w:r>
              <w:rPr>
                <w:rFonts w:ascii="Arial" w:hAnsi="Arial" w:cs="Arial"/>
                <w:sz w:val="20"/>
              </w:rPr>
              <w:t>26</w:t>
            </w:r>
          </w:p>
        </w:tc>
        <w:tc>
          <w:tcPr>
            <w:tcW w:w="3074" w:type="dxa"/>
            <w:shd w:val="clear" w:color="auto" w:fill="auto"/>
            <w:noWrap/>
          </w:tcPr>
          <w:p w14:paraId="376F6D6A" w14:textId="70452B57" w:rsidR="00865476" w:rsidRDefault="00865476" w:rsidP="00865476">
            <w:pPr>
              <w:jc w:val="left"/>
              <w:rPr>
                <w:sz w:val="18"/>
                <w:szCs w:val="18"/>
              </w:rPr>
            </w:pPr>
            <w:r>
              <w:rPr>
                <w:rFonts w:ascii="Arial" w:hAnsi="Arial" w:cs="Arial"/>
                <w:sz w:val="20"/>
              </w:rPr>
              <w:t>It seems 1) this bullet should be applied to 6GHa band, 2) the EHT PPDU should be removed</w:t>
            </w:r>
          </w:p>
        </w:tc>
        <w:tc>
          <w:tcPr>
            <w:tcW w:w="1669" w:type="dxa"/>
            <w:shd w:val="clear" w:color="auto" w:fill="auto"/>
            <w:noWrap/>
          </w:tcPr>
          <w:p w14:paraId="48C55366" w14:textId="289CA058" w:rsidR="00865476" w:rsidRDefault="00865476" w:rsidP="00865476">
            <w:pPr>
              <w:jc w:val="left"/>
              <w:rPr>
                <w:sz w:val="18"/>
                <w:szCs w:val="18"/>
              </w:rPr>
            </w:pPr>
            <w:r>
              <w:rPr>
                <w:rFonts w:ascii="Arial" w:hAnsi="Arial" w:cs="Arial"/>
                <w:sz w:val="20"/>
              </w:rPr>
              <w:t>As in  comment</w:t>
            </w:r>
          </w:p>
        </w:tc>
        <w:tc>
          <w:tcPr>
            <w:tcW w:w="3513" w:type="dxa"/>
            <w:shd w:val="clear" w:color="auto" w:fill="auto"/>
          </w:tcPr>
          <w:p w14:paraId="78F998F0" w14:textId="77777777" w:rsidR="005249B2" w:rsidRDefault="005249B2" w:rsidP="00865476">
            <w:pPr>
              <w:jc w:val="left"/>
              <w:rPr>
                <w:rFonts w:eastAsia="Times New Roman"/>
                <w:color w:val="000000"/>
                <w:sz w:val="18"/>
                <w:szCs w:val="18"/>
                <w:lang w:val="en-US"/>
              </w:rPr>
            </w:pPr>
            <w:r>
              <w:rPr>
                <w:rFonts w:eastAsia="Times New Roman"/>
                <w:color w:val="000000"/>
                <w:sz w:val="18"/>
                <w:szCs w:val="18"/>
                <w:lang w:val="en-US"/>
              </w:rPr>
              <w:t>Revised</w:t>
            </w:r>
          </w:p>
          <w:p w14:paraId="6B4F6F2C" w14:textId="77777777" w:rsidR="005249B2" w:rsidRDefault="005249B2" w:rsidP="00865476">
            <w:pPr>
              <w:jc w:val="left"/>
              <w:rPr>
                <w:rFonts w:eastAsia="Times New Roman"/>
                <w:color w:val="000000"/>
                <w:sz w:val="18"/>
                <w:szCs w:val="18"/>
                <w:lang w:val="en-US"/>
              </w:rPr>
            </w:pPr>
          </w:p>
          <w:p w14:paraId="46C11E2F" w14:textId="3DB9C620" w:rsidR="00865476" w:rsidRDefault="005249B2" w:rsidP="00865476">
            <w:pPr>
              <w:jc w:val="left"/>
              <w:rPr>
                <w:rFonts w:eastAsia="Times New Roman"/>
                <w:color w:val="000000"/>
                <w:sz w:val="18"/>
                <w:szCs w:val="18"/>
                <w:lang w:val="en-US"/>
              </w:rPr>
            </w:pPr>
            <w:r>
              <w:rPr>
                <w:rFonts w:eastAsia="Times New Roman"/>
                <w:color w:val="000000"/>
                <w:sz w:val="18"/>
                <w:szCs w:val="18"/>
                <w:lang w:val="en-US"/>
              </w:rPr>
              <w:t>Discussion: in 11ax a responding fr</w:t>
            </w:r>
            <w:ins w:id="0" w:author="Alfred Aster" w:date="2023-03-10T17:24:00Z">
              <w:r w:rsidR="00702C3B">
                <w:rPr>
                  <w:rFonts w:eastAsia="Times New Roman"/>
                  <w:color w:val="000000"/>
                  <w:sz w:val="18"/>
                  <w:szCs w:val="18"/>
                  <w:lang w:val="en-US"/>
                </w:rPr>
                <w:t>a</w:t>
              </w:r>
            </w:ins>
            <w:r>
              <w:rPr>
                <w:rFonts w:eastAsia="Times New Roman"/>
                <w:color w:val="000000"/>
                <w:sz w:val="18"/>
                <w:szCs w:val="18"/>
                <w:lang w:val="en-US"/>
              </w:rPr>
              <w:t>me in the 6GHz band can be carried in HE SU PPDU if the PPDU length is no more than the non-HT duplicate PPDU per the primary rate. The reason is that all the devices in 6GHz band can decode HE SU PPDU. If EHT PPDU is used to carry the responding frame, HE STAs may need to do EIFS recovery.</w:t>
            </w:r>
            <w:r w:rsidR="007329ED">
              <w:rPr>
                <w:rFonts w:eastAsia="Times New Roman"/>
                <w:color w:val="000000"/>
                <w:sz w:val="18"/>
                <w:szCs w:val="18"/>
                <w:lang w:val="en-US"/>
              </w:rPr>
              <w:t xml:space="preserve"> This is unfair to HE neighbors.</w:t>
            </w:r>
          </w:p>
          <w:p w14:paraId="6576024B" w14:textId="5418B05E" w:rsidR="005249B2" w:rsidRDefault="005249B2" w:rsidP="00865476">
            <w:pPr>
              <w:jc w:val="left"/>
              <w:rPr>
                <w:rFonts w:eastAsia="Times New Roman"/>
                <w:color w:val="000000"/>
                <w:sz w:val="18"/>
                <w:szCs w:val="18"/>
                <w:lang w:val="en-US"/>
              </w:rPr>
            </w:pPr>
          </w:p>
          <w:p w14:paraId="5232F0EC" w14:textId="2057D7F3" w:rsidR="008F12AC" w:rsidRDefault="008F12AC" w:rsidP="00865476">
            <w:pPr>
              <w:jc w:val="left"/>
              <w:rPr>
                <w:rFonts w:eastAsia="Times New Roman"/>
                <w:color w:val="000000"/>
                <w:sz w:val="18"/>
                <w:szCs w:val="18"/>
                <w:lang w:val="en-US"/>
              </w:rPr>
            </w:pPr>
            <w:r>
              <w:rPr>
                <w:rFonts w:eastAsia="Times New Roman"/>
                <w:color w:val="000000"/>
                <w:sz w:val="18"/>
                <w:szCs w:val="18"/>
                <w:lang w:val="en-US"/>
              </w:rPr>
              <w:t>TGbe editor to make changes in THIS DOCUMENT with tag 16667</w:t>
            </w:r>
          </w:p>
          <w:p w14:paraId="551D4C5E" w14:textId="79AFB9C0" w:rsidR="005249B2" w:rsidRPr="001909E5" w:rsidRDefault="005249B2" w:rsidP="00865476">
            <w:pPr>
              <w:jc w:val="left"/>
              <w:rPr>
                <w:rFonts w:eastAsia="Times New Roman"/>
                <w:color w:val="000000"/>
                <w:sz w:val="18"/>
                <w:szCs w:val="18"/>
                <w:lang w:val="en-US"/>
              </w:rPr>
            </w:pPr>
          </w:p>
        </w:tc>
      </w:tr>
    </w:tbl>
    <w:p w14:paraId="481882F6" w14:textId="14F79A92" w:rsidR="007C18AB" w:rsidRDefault="007C18AB" w:rsidP="00440001">
      <w:pPr>
        <w:rPr>
          <w:sz w:val="20"/>
          <w:szCs w:val="22"/>
          <w:highlight w:val="yellow"/>
        </w:rPr>
      </w:pPr>
    </w:p>
    <w:p w14:paraId="79F18011" w14:textId="40CB12BF" w:rsidR="007C18AB" w:rsidRDefault="007C18AB" w:rsidP="00440001">
      <w:pPr>
        <w:rPr>
          <w:sz w:val="20"/>
          <w:szCs w:val="22"/>
          <w:highlight w:val="yellow"/>
        </w:rPr>
      </w:pPr>
    </w:p>
    <w:p w14:paraId="36F40155" w14:textId="77777777" w:rsidR="00277395" w:rsidRDefault="00277395" w:rsidP="00440001">
      <w:pPr>
        <w:rPr>
          <w:b/>
          <w:bCs/>
          <w:sz w:val="20"/>
        </w:rPr>
      </w:pPr>
    </w:p>
    <w:p w14:paraId="690E4E66" w14:textId="34AD439D" w:rsidR="00277395" w:rsidRDefault="00277395" w:rsidP="00277395">
      <w:pPr>
        <w:tabs>
          <w:tab w:val="left" w:pos="4764"/>
        </w:tabs>
        <w:rPr>
          <w:ins w:id="1" w:author="Liwen Chu" w:date="2022-09-05T15:56:00Z"/>
          <w:b/>
          <w:bCs/>
          <w:sz w:val="20"/>
        </w:rPr>
      </w:pPr>
      <w:r w:rsidRPr="00043CC6">
        <w:rPr>
          <w:i/>
          <w:iCs/>
          <w:sz w:val="20"/>
          <w:highlight w:val="yellow"/>
        </w:rPr>
        <w:t xml:space="preserve">TGbe editor: Please </w:t>
      </w:r>
      <w:r>
        <w:rPr>
          <w:i/>
          <w:iCs/>
          <w:sz w:val="20"/>
          <w:highlight w:val="yellow"/>
        </w:rPr>
        <w:t xml:space="preserve">change </w:t>
      </w:r>
      <w:r w:rsidR="007329ED">
        <w:rPr>
          <w:i/>
          <w:iCs/>
          <w:sz w:val="20"/>
          <w:highlight w:val="yellow"/>
        </w:rPr>
        <w:t>35.13.2</w:t>
      </w:r>
      <w:r>
        <w:rPr>
          <w:i/>
          <w:iCs/>
          <w:sz w:val="20"/>
          <w:highlight w:val="yellow"/>
        </w:rPr>
        <w:t xml:space="preserve"> as follows</w:t>
      </w:r>
      <w:r w:rsidRPr="00043CC6">
        <w:rPr>
          <w:i/>
          <w:iCs/>
          <w:sz w:val="20"/>
          <w:highlight w:val="yellow"/>
        </w:rPr>
        <w:t xml:space="preserve">: </w:t>
      </w:r>
    </w:p>
    <w:p w14:paraId="45A2B2B4" w14:textId="5A6685B2" w:rsidR="00277395" w:rsidRDefault="00277395" w:rsidP="00440001">
      <w:pPr>
        <w:rPr>
          <w:b/>
          <w:bCs/>
          <w:sz w:val="20"/>
        </w:rPr>
      </w:pPr>
    </w:p>
    <w:p w14:paraId="38B5DEF2" w14:textId="420E01FC" w:rsidR="00277395" w:rsidRDefault="00865476" w:rsidP="00865476">
      <w:pPr>
        <w:rPr>
          <w:b/>
          <w:bCs/>
          <w:sz w:val="20"/>
        </w:rPr>
      </w:pPr>
      <w:r w:rsidRPr="00865476">
        <w:rPr>
          <w:rFonts w:ascii="Arial" w:hAnsi="Arial" w:cs="Arial"/>
          <w:b/>
          <w:bCs/>
          <w:color w:val="000000"/>
          <w:sz w:val="20"/>
          <w:lang w:val="en-US"/>
        </w:rPr>
        <w:t>35.14.2 PPDU format selection</w:t>
      </w:r>
    </w:p>
    <w:p w14:paraId="07266501" w14:textId="33799425" w:rsidR="007C18AB" w:rsidRPr="007329ED" w:rsidRDefault="007329ED" w:rsidP="00440001">
      <w:pPr>
        <w:rPr>
          <w:sz w:val="20"/>
          <w:szCs w:val="22"/>
        </w:rPr>
      </w:pPr>
      <w:r w:rsidRPr="007329ED">
        <w:rPr>
          <w:sz w:val="20"/>
          <w:szCs w:val="22"/>
        </w:rPr>
        <w:t>……</w:t>
      </w:r>
    </w:p>
    <w:p w14:paraId="64A4DF49" w14:textId="77777777" w:rsidR="007329ED" w:rsidRPr="007329ED" w:rsidRDefault="007329ED" w:rsidP="007329ED">
      <w:pPr>
        <w:autoSpaceDE w:val="0"/>
        <w:autoSpaceDN w:val="0"/>
        <w:adjustRightInd w:val="0"/>
        <w:spacing w:before="240"/>
        <w:rPr>
          <w:color w:val="000000"/>
          <w:sz w:val="20"/>
          <w:lang w:val="en-US"/>
        </w:rPr>
      </w:pPr>
      <w:r w:rsidRPr="007329ED">
        <w:rPr>
          <w:color w:val="000000"/>
          <w:sz w:val="20"/>
          <w:lang w:val="en-US"/>
        </w:rPr>
        <w:t>An EHT STA shall send Control frames following the rules defined in 10.6.6 (Rate selection for Control frames) and 26.15.2 (PPDU format selection) with the following additional exceptions:</w:t>
      </w:r>
    </w:p>
    <w:p w14:paraId="2416D6A7" w14:textId="77777777" w:rsidR="007329ED" w:rsidRPr="007329ED" w:rsidRDefault="007329ED" w:rsidP="007329ED">
      <w:pPr>
        <w:autoSpaceDE w:val="0"/>
        <w:autoSpaceDN w:val="0"/>
        <w:adjustRightInd w:val="0"/>
        <w:spacing w:before="60" w:after="60"/>
        <w:ind w:left="600" w:firstLine="200"/>
        <w:rPr>
          <w:color w:val="000000"/>
          <w:sz w:val="20"/>
          <w:lang w:val="en-US"/>
        </w:rPr>
      </w:pPr>
      <w:r w:rsidRPr="007329ED">
        <w:rPr>
          <w:color w:val="000000"/>
          <w:sz w:val="20"/>
          <w:lang w:val="en-US"/>
        </w:rPr>
        <w:t>—A Control frame sent by an EHT AP as a response to an EHT TB PPDU may be carried in any PPDU format that is supported by the intended receivers.</w:t>
      </w:r>
    </w:p>
    <w:p w14:paraId="1B35840F" w14:textId="32E433BF" w:rsidR="007329ED" w:rsidRDefault="007329ED" w:rsidP="007329ED">
      <w:pPr>
        <w:autoSpaceDE w:val="0"/>
        <w:autoSpaceDN w:val="0"/>
        <w:adjustRightInd w:val="0"/>
        <w:spacing w:before="60" w:after="60"/>
        <w:ind w:left="600" w:firstLine="200"/>
        <w:rPr>
          <w:color w:val="000000"/>
          <w:sz w:val="20"/>
          <w:lang w:val="en-US"/>
        </w:rPr>
      </w:pPr>
      <w:r w:rsidRPr="007329ED">
        <w:rPr>
          <w:color w:val="000000"/>
          <w:sz w:val="20"/>
          <w:lang w:val="en-US"/>
        </w:rPr>
        <w:t>—A Trigger frame that is not an MU-RTS Trigger frame may be carried in any PPDU format that is supported by the intended receivers subject to the restrictions in 35.5.2 (EHT UL MU operation).</w:t>
      </w:r>
    </w:p>
    <w:p w14:paraId="74C89F7B" w14:textId="3F5A7C3B" w:rsidR="007329ED" w:rsidRPr="007329ED" w:rsidRDefault="007329ED" w:rsidP="007329ED">
      <w:pPr>
        <w:autoSpaceDE w:val="0"/>
        <w:autoSpaceDN w:val="0"/>
        <w:adjustRightInd w:val="0"/>
        <w:spacing w:before="60" w:after="60"/>
        <w:ind w:left="600" w:firstLine="200"/>
        <w:rPr>
          <w:color w:val="000000"/>
          <w:sz w:val="20"/>
          <w:lang w:val="en-US"/>
        </w:rPr>
      </w:pPr>
      <w:r w:rsidRPr="007329ED">
        <w:rPr>
          <w:color w:val="000000"/>
          <w:sz w:val="20"/>
          <w:lang w:val="en-US"/>
        </w:rPr>
        <w:t>—An MU-RTS Trigger frame may be carried in an EHT MU PPDU whose TXVECTOR parameter EHT_PPDU_TYPE is set to 1 (see 35.2.2.1 (MU-RTS Trigger frame transmission))</w:t>
      </w:r>
      <w:r>
        <w:rPr>
          <w:color w:val="000000"/>
          <w:sz w:val="20"/>
          <w:lang w:val="en-US"/>
        </w:rPr>
        <w:t>.</w:t>
      </w:r>
    </w:p>
    <w:p w14:paraId="4F9B3375" w14:textId="77777777" w:rsidR="007329ED" w:rsidRPr="007329ED" w:rsidRDefault="007329ED" w:rsidP="007329ED">
      <w:pPr>
        <w:autoSpaceDE w:val="0"/>
        <w:autoSpaceDN w:val="0"/>
        <w:adjustRightInd w:val="0"/>
        <w:spacing w:before="60" w:after="60"/>
        <w:ind w:left="600" w:firstLine="200"/>
        <w:rPr>
          <w:color w:val="000000"/>
          <w:sz w:val="20"/>
          <w:lang w:val="en-US"/>
        </w:rPr>
      </w:pPr>
      <w:r w:rsidRPr="007329ED">
        <w:rPr>
          <w:color w:val="000000"/>
          <w:sz w:val="20"/>
          <w:lang w:val="en-US"/>
        </w:rPr>
        <w:t>—A Control frame is carried in an EHT TB PPDU if it is sent as a response to a PPDU that contains a Trigger frame that is not an MU-RTS Trigger frame (see 35.5.2 (EHT UL MU operation)).</w:t>
      </w:r>
    </w:p>
    <w:p w14:paraId="1012006D" w14:textId="77777777" w:rsidR="007329ED" w:rsidRPr="007329ED" w:rsidRDefault="007329ED" w:rsidP="007329ED">
      <w:pPr>
        <w:autoSpaceDE w:val="0"/>
        <w:autoSpaceDN w:val="0"/>
        <w:adjustRightInd w:val="0"/>
        <w:spacing w:before="60" w:after="60"/>
        <w:ind w:left="600" w:firstLine="200"/>
        <w:rPr>
          <w:color w:val="000000"/>
          <w:sz w:val="20"/>
          <w:lang w:val="en-US"/>
        </w:rPr>
      </w:pPr>
      <w:r w:rsidRPr="007329ED">
        <w:rPr>
          <w:color w:val="000000"/>
          <w:sz w:val="20"/>
          <w:lang w:val="en-US"/>
        </w:rPr>
        <w:t>—A Control frame sent by an EHT STA as a response to an EHT PPDU with EHT-MCS 15 or 14 that does not contain a Trigger frame should be carried in an EHT PPDU with EHT-MCS 15 or 14, respectively unless</w:t>
      </w:r>
    </w:p>
    <w:p w14:paraId="1DA6FED0" w14:textId="77777777" w:rsidR="007329ED" w:rsidRPr="007329ED" w:rsidRDefault="007329ED" w:rsidP="007329ED">
      <w:pPr>
        <w:autoSpaceDE w:val="0"/>
        <w:autoSpaceDN w:val="0"/>
        <w:adjustRightInd w:val="0"/>
        <w:ind w:left="920" w:firstLine="640"/>
        <w:rPr>
          <w:color w:val="000000"/>
          <w:sz w:val="20"/>
          <w:lang w:val="en-US"/>
        </w:rPr>
      </w:pPr>
      <w:r w:rsidRPr="007329ED">
        <w:rPr>
          <w:color w:val="000000"/>
          <w:sz w:val="20"/>
          <w:lang w:val="en-US"/>
        </w:rPr>
        <w:t>•the most recently transmitted EHT PPDU by the STA that is correctly received by the transmitter of the EHT PPDU with EHT-MCS 15 or 14 was not an EHT PPDU with EHT-MCS 15 or 14 in which case the Control frame should be carried in non-HT (duplicate) PPDU.</w:t>
      </w:r>
    </w:p>
    <w:p w14:paraId="2A8A214B" w14:textId="77777777" w:rsidR="007329ED" w:rsidRPr="007329ED" w:rsidRDefault="007329ED" w:rsidP="007329ED">
      <w:pPr>
        <w:autoSpaceDE w:val="0"/>
        <w:autoSpaceDN w:val="0"/>
        <w:adjustRightInd w:val="0"/>
        <w:spacing w:before="60" w:after="60"/>
        <w:ind w:left="600" w:firstLine="200"/>
        <w:rPr>
          <w:color w:val="000000"/>
          <w:sz w:val="20"/>
          <w:lang w:val="en-US"/>
        </w:rPr>
      </w:pPr>
      <w:r w:rsidRPr="007329ED">
        <w:rPr>
          <w:color w:val="000000"/>
          <w:sz w:val="20"/>
          <w:lang w:val="en-US"/>
        </w:rPr>
        <w:t>—A Control frame sent by an EHT STA as a response to an EHT PPDU with MCS other than EHT-MCS 14 and 15 or to a non-HT (duplicate) PPDU that does not contain a triggering frame should be carried in a non-HT (duplicate) PPDU unless</w:t>
      </w:r>
    </w:p>
    <w:p w14:paraId="102C08C6" w14:textId="77777777" w:rsidR="007329ED" w:rsidRPr="007329ED" w:rsidRDefault="007329ED" w:rsidP="007329ED">
      <w:pPr>
        <w:autoSpaceDE w:val="0"/>
        <w:autoSpaceDN w:val="0"/>
        <w:adjustRightInd w:val="0"/>
        <w:ind w:left="920" w:firstLine="640"/>
        <w:rPr>
          <w:color w:val="000000"/>
          <w:sz w:val="20"/>
          <w:lang w:val="en-US"/>
        </w:rPr>
      </w:pPr>
      <w:r w:rsidRPr="007329ED">
        <w:rPr>
          <w:color w:val="000000"/>
          <w:sz w:val="20"/>
          <w:lang w:val="en-US"/>
        </w:rPr>
        <w:t xml:space="preserve">•the most recent PPDU sent by the EHT STA to the recipient of the Control frame and received correctly by the peer STA was an EHT PPDU with EHT-MCS 14 or 15 in which case the Control frame should be carried in EHT PPDU with EHT-MCS 14 or 15, respectively. </w:t>
      </w:r>
    </w:p>
    <w:p w14:paraId="04595532" w14:textId="77777777" w:rsidR="007329ED" w:rsidRPr="007329ED" w:rsidRDefault="007329ED" w:rsidP="007329ED">
      <w:pPr>
        <w:autoSpaceDE w:val="0"/>
        <w:autoSpaceDN w:val="0"/>
        <w:adjustRightInd w:val="0"/>
        <w:spacing w:before="60" w:after="60"/>
        <w:ind w:left="600" w:firstLine="200"/>
        <w:rPr>
          <w:color w:val="000000"/>
          <w:sz w:val="20"/>
          <w:lang w:val="en-US"/>
        </w:rPr>
      </w:pPr>
      <w:r w:rsidRPr="007329ED">
        <w:rPr>
          <w:color w:val="000000"/>
          <w:sz w:val="20"/>
          <w:lang w:val="en-US"/>
        </w:rPr>
        <w:t>—A Control frame that is not solicited by another frame and is not a Trigger frame may be carried in EHT PPDU with EHT-MCS 14 or 15 subject to the restriction defined in this subclause.</w:t>
      </w:r>
    </w:p>
    <w:p w14:paraId="72261AA8" w14:textId="1464BB5D" w:rsidR="007329ED" w:rsidRPr="007329ED" w:rsidRDefault="007329ED" w:rsidP="007329ED">
      <w:pPr>
        <w:autoSpaceDE w:val="0"/>
        <w:autoSpaceDN w:val="0"/>
        <w:adjustRightInd w:val="0"/>
        <w:spacing w:before="60" w:after="60"/>
        <w:ind w:left="600" w:firstLine="200"/>
        <w:rPr>
          <w:color w:val="000000"/>
          <w:sz w:val="20"/>
          <w:lang w:val="en-US"/>
        </w:rPr>
      </w:pPr>
      <w:r w:rsidRPr="007329ED">
        <w:rPr>
          <w:color w:val="000000"/>
          <w:sz w:val="20"/>
          <w:lang w:val="en-US"/>
        </w:rPr>
        <w:t xml:space="preserve">—A Control frame sent by an EHT AP as a response solicited by SRS Control field is carried in </w:t>
      </w:r>
      <w:proofErr w:type="spellStart"/>
      <w:ins w:id="2" w:author="Alfred Aster" w:date="2023-03-10T17:25:00Z">
        <w:r w:rsidR="008751C6">
          <w:rPr>
            <w:color w:val="000000"/>
            <w:sz w:val="20"/>
            <w:lang w:val="en-US"/>
          </w:rPr>
          <w:t>a</w:t>
        </w:r>
      </w:ins>
      <w:del w:id="3" w:author="Alfred Aster" w:date="2023-03-10T17:25:00Z">
        <w:r w:rsidRPr="007329ED" w:rsidDel="008751C6">
          <w:rPr>
            <w:color w:val="000000"/>
            <w:sz w:val="20"/>
            <w:lang w:val="en-US"/>
          </w:rPr>
          <w:delText xml:space="preserve">the </w:delText>
        </w:r>
      </w:del>
      <w:r w:rsidRPr="007329ED">
        <w:rPr>
          <w:color w:val="000000"/>
          <w:sz w:val="20"/>
          <w:lang w:val="en-US"/>
        </w:rPr>
        <w:t>PPDU</w:t>
      </w:r>
      <w:proofErr w:type="spellEnd"/>
      <w:ins w:id="4" w:author="Alfred Aster" w:date="2023-03-10T17:25:00Z">
        <w:r w:rsidR="008751C6">
          <w:rPr>
            <w:color w:val="000000"/>
            <w:sz w:val="20"/>
            <w:lang w:val="en-US"/>
          </w:rPr>
          <w:t>(#1711</w:t>
        </w:r>
      </w:ins>
      <w:ins w:id="5" w:author="Alfred Aster" w:date="2023-03-10T17:26:00Z">
        <w:r w:rsidR="008751C6">
          <w:rPr>
            <w:color w:val="000000"/>
            <w:sz w:val="20"/>
            <w:lang w:val="en-US"/>
          </w:rPr>
          <w:t>9</w:t>
        </w:r>
      </w:ins>
      <w:ins w:id="6" w:author="Alfred Aster" w:date="2023-03-10T17:25:00Z">
        <w:r w:rsidR="008751C6">
          <w:rPr>
            <w:color w:val="000000"/>
            <w:sz w:val="20"/>
            <w:lang w:val="en-US"/>
          </w:rPr>
          <w:t>)</w:t>
        </w:r>
      </w:ins>
      <w:r w:rsidRPr="007329ED">
        <w:rPr>
          <w:color w:val="000000"/>
          <w:sz w:val="20"/>
          <w:lang w:val="en-US"/>
        </w:rPr>
        <w:t xml:space="preserve"> that satisfies the requirements defined in 35.3.16.5.2 (End time alignment of response PPDUs using SRS Control field).</w:t>
      </w:r>
    </w:p>
    <w:p w14:paraId="3AD9816A" w14:textId="337EC702" w:rsidR="007329ED" w:rsidRPr="007329ED" w:rsidDel="007329ED" w:rsidRDefault="007329ED" w:rsidP="007329ED">
      <w:pPr>
        <w:autoSpaceDE w:val="0"/>
        <w:autoSpaceDN w:val="0"/>
        <w:adjustRightInd w:val="0"/>
        <w:spacing w:before="60" w:after="60"/>
        <w:ind w:left="600" w:firstLine="200"/>
        <w:rPr>
          <w:del w:id="7" w:author="Liwen Chu" w:date="2023-03-09T10:56:00Z"/>
          <w:color w:val="000000"/>
          <w:sz w:val="20"/>
          <w:lang w:val="en-US"/>
        </w:rPr>
      </w:pPr>
      <w:del w:id="8" w:author="Liwen Chu" w:date="2023-03-09T10:56:00Z">
        <w:r w:rsidRPr="007329ED" w:rsidDel="007329ED">
          <w:rPr>
            <w:color w:val="000000"/>
            <w:sz w:val="20"/>
            <w:lang w:val="en-US"/>
          </w:rPr>
          <w:delText xml:space="preserve">—An EHT STA may transmit a BlockAck frame in an HE SU PPDU or in an EHT MU PPDU directed to a single EHT STA if the PPDU duration of the HE SU PPDU or EHT MU PPDU (respectively) is less than the PPDU duration of a non-HT PPDU containing the Control frame sent at the primary rate (see 10.6.6.5.2 (Selection of a rate or MCS)). </w:delText>
        </w:r>
      </w:del>
      <w:ins w:id="9" w:author="Liwen Chu" w:date="2023-03-09T10:56:00Z">
        <w:r>
          <w:rPr>
            <w:color w:val="000000"/>
            <w:sz w:val="20"/>
            <w:lang w:val="en-US"/>
          </w:rPr>
          <w:t>(#16667)</w:t>
        </w:r>
      </w:ins>
    </w:p>
    <w:p w14:paraId="3C44A3D4" w14:textId="77777777" w:rsidR="007329ED" w:rsidRPr="007329ED" w:rsidRDefault="007329ED" w:rsidP="007329ED">
      <w:pPr>
        <w:autoSpaceDE w:val="0"/>
        <w:autoSpaceDN w:val="0"/>
        <w:adjustRightInd w:val="0"/>
        <w:spacing w:before="60" w:after="60"/>
        <w:ind w:left="600" w:firstLine="200"/>
        <w:rPr>
          <w:color w:val="000000"/>
          <w:sz w:val="20"/>
          <w:lang w:val="en-US"/>
        </w:rPr>
      </w:pPr>
    </w:p>
    <w:p w14:paraId="5A350DB5" w14:textId="6E4D19AC" w:rsidR="007329ED" w:rsidRDefault="007329ED" w:rsidP="007329ED">
      <w:pPr>
        <w:rPr>
          <w:sz w:val="20"/>
          <w:szCs w:val="22"/>
          <w:highlight w:val="yellow"/>
        </w:rPr>
      </w:pPr>
      <w:r w:rsidRPr="007329ED">
        <w:rPr>
          <w:color w:val="000000"/>
          <w:sz w:val="20"/>
          <w:lang w:val="en-US"/>
        </w:rPr>
        <w:t>.</w:t>
      </w:r>
    </w:p>
    <w:sectPr w:rsidR="007329ED"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540F7" w14:textId="77777777" w:rsidR="00B87CB2" w:rsidRDefault="00B87CB2">
      <w:r>
        <w:separator/>
      </w:r>
    </w:p>
  </w:endnote>
  <w:endnote w:type="continuationSeparator" w:id="0">
    <w:p w14:paraId="531E4506" w14:textId="77777777" w:rsidR="00B87CB2" w:rsidRDefault="00B8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B1E70" w14:textId="77777777" w:rsidR="00B87CB2" w:rsidRDefault="00B87CB2">
      <w:r>
        <w:separator/>
      </w:r>
    </w:p>
  </w:footnote>
  <w:footnote w:type="continuationSeparator" w:id="0">
    <w:p w14:paraId="0F273035" w14:textId="77777777" w:rsidR="00B87CB2" w:rsidRDefault="00B87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091D4595"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1C1FE6">
      <w:rPr>
        <w:noProof/>
      </w:rPr>
      <w:t>March 2023</w:t>
    </w:r>
    <w:r>
      <w:fldChar w:fldCharType="end"/>
    </w:r>
    <w:r>
      <w:tab/>
    </w:r>
    <w:r>
      <w:tab/>
    </w:r>
    <w:fldSimple w:instr=" TITLE  \* MERGEFORMAT ">
      <w:r>
        <w:t>doc.: IEEE 802.11-2</w:t>
      </w:r>
      <w:r w:rsidR="00462751">
        <w:t>3</w:t>
      </w:r>
      <w:r>
        <w:t>/</w:t>
      </w:r>
      <w:r w:rsidR="00574FAC">
        <w:t>0309</w:t>
      </w:r>
      <w:r>
        <w:t>r</w:t>
      </w:r>
    </w:fldSimple>
    <w:r w:rsidR="0046275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87537">
    <w:abstractNumId w:val="0"/>
  </w:num>
  <w:num w:numId="2" w16cid:durableId="179323209">
    <w:abstractNumId w:val="15"/>
  </w:num>
  <w:num w:numId="3" w16cid:durableId="335305177">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2077120108">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973634866">
    <w:abstractNumId w:val="23"/>
  </w:num>
  <w:num w:numId="6" w16cid:durableId="204561090">
    <w:abstractNumId w:val="13"/>
  </w:num>
  <w:num w:numId="7" w16cid:durableId="104424208">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963265153">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32003699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552891326">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493910028">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25839349">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504174667">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2026789598">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540477930">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148935731">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8082806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7168598">
    <w:abstractNumId w:val="12"/>
  </w:num>
  <w:num w:numId="19" w16cid:durableId="1698194378">
    <w:abstractNumId w:val="9"/>
  </w:num>
  <w:num w:numId="20" w16cid:durableId="13291074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8097392">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017851693">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218511426">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13537019">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214384566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991520998">
    <w:abstractNumId w:val="10"/>
  </w:num>
  <w:num w:numId="27" w16cid:durableId="183791142">
    <w:abstractNumId w:val="8"/>
  </w:num>
  <w:num w:numId="28" w16cid:durableId="1860730220">
    <w:abstractNumId w:val="3"/>
  </w:num>
  <w:num w:numId="29" w16cid:durableId="1060909504">
    <w:abstractNumId w:val="2"/>
  </w:num>
  <w:num w:numId="30" w16cid:durableId="1949462938">
    <w:abstractNumId w:val="4"/>
  </w:num>
  <w:num w:numId="31" w16cid:durableId="811605742">
    <w:abstractNumId w:val="5"/>
  </w:num>
  <w:num w:numId="32" w16cid:durableId="2044665877">
    <w:abstractNumId w:val="7"/>
  </w:num>
  <w:num w:numId="33" w16cid:durableId="2112780037">
    <w:abstractNumId w:val="6"/>
  </w:num>
  <w:num w:numId="34" w16cid:durableId="133360523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820119235">
    <w:abstractNumId w:val="11"/>
  </w:num>
  <w:num w:numId="36" w16cid:durableId="1238243787">
    <w:abstractNumId w:val="17"/>
  </w:num>
  <w:num w:numId="37" w16cid:durableId="1218200425">
    <w:abstractNumId w:val="22"/>
  </w:num>
  <w:num w:numId="38" w16cid:durableId="871384218">
    <w:abstractNumId w:val="20"/>
  </w:num>
  <w:num w:numId="39" w16cid:durableId="760682120">
    <w:abstractNumId w:val="16"/>
  </w:num>
  <w:num w:numId="40" w16cid:durableId="249706805">
    <w:abstractNumId w:val="14"/>
  </w:num>
  <w:num w:numId="41" w16cid:durableId="752630356">
    <w:abstractNumId w:val="21"/>
  </w:num>
  <w:num w:numId="42" w16cid:durableId="668605003">
    <w:abstractNumId w:val="18"/>
  </w:num>
  <w:num w:numId="43" w16cid:durableId="1790977820">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1E44"/>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392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77546"/>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1FE6"/>
    <w:rsid w:val="001C34F7"/>
    <w:rsid w:val="001C44AC"/>
    <w:rsid w:val="001C5AFD"/>
    <w:rsid w:val="001C6548"/>
    <w:rsid w:val="001C685B"/>
    <w:rsid w:val="001C6A70"/>
    <w:rsid w:val="001C6EDF"/>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0AD4"/>
    <w:rsid w:val="002210FF"/>
    <w:rsid w:val="002220B7"/>
    <w:rsid w:val="00222B2D"/>
    <w:rsid w:val="00222EFA"/>
    <w:rsid w:val="00223841"/>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78E"/>
    <w:rsid w:val="00307A4E"/>
    <w:rsid w:val="00310775"/>
    <w:rsid w:val="00310E2D"/>
    <w:rsid w:val="003111DF"/>
    <w:rsid w:val="003115A5"/>
    <w:rsid w:val="0031231B"/>
    <w:rsid w:val="00314DE7"/>
    <w:rsid w:val="0031562F"/>
    <w:rsid w:val="003165E2"/>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2FC"/>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41F5"/>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7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49B2"/>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4FAC"/>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2F43"/>
    <w:rsid w:val="005E4B9F"/>
    <w:rsid w:val="005E5099"/>
    <w:rsid w:val="005E5B2F"/>
    <w:rsid w:val="005E77EC"/>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578"/>
    <w:rsid w:val="0064496D"/>
    <w:rsid w:val="00644A90"/>
    <w:rsid w:val="00645B64"/>
    <w:rsid w:val="00647E3E"/>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27C"/>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2C3B"/>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9ED"/>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22D"/>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D7875"/>
    <w:rsid w:val="007E0347"/>
    <w:rsid w:val="007E0666"/>
    <w:rsid w:val="007E19F4"/>
    <w:rsid w:val="007E41B4"/>
    <w:rsid w:val="007E52CB"/>
    <w:rsid w:val="007E71CA"/>
    <w:rsid w:val="007E79E1"/>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5476"/>
    <w:rsid w:val="0086646F"/>
    <w:rsid w:val="00866F30"/>
    <w:rsid w:val="008676A5"/>
    <w:rsid w:val="00870CA4"/>
    <w:rsid w:val="00870FD9"/>
    <w:rsid w:val="00872093"/>
    <w:rsid w:val="008727C8"/>
    <w:rsid w:val="008728C0"/>
    <w:rsid w:val="00873F2E"/>
    <w:rsid w:val="00874B36"/>
    <w:rsid w:val="008751C6"/>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2E1F"/>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2AC"/>
    <w:rsid w:val="008F1A8B"/>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2A4D"/>
    <w:rsid w:val="0094301D"/>
    <w:rsid w:val="00943557"/>
    <w:rsid w:val="00943A55"/>
    <w:rsid w:val="00943FD6"/>
    <w:rsid w:val="009458AA"/>
    <w:rsid w:val="00945CB2"/>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97CFE"/>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2595"/>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87CB2"/>
    <w:rsid w:val="00B917AB"/>
    <w:rsid w:val="00B91A6A"/>
    <w:rsid w:val="00B91F88"/>
    <w:rsid w:val="00B94F95"/>
    <w:rsid w:val="00B95121"/>
    <w:rsid w:val="00B968E0"/>
    <w:rsid w:val="00B96C93"/>
    <w:rsid w:val="00BA4084"/>
    <w:rsid w:val="00BA78A5"/>
    <w:rsid w:val="00BB0516"/>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41D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A7C7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0AA"/>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2982"/>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48C4"/>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D757D"/>
    <w:rsid w:val="00FE07DA"/>
    <w:rsid w:val="00FE0D53"/>
    <w:rsid w:val="00FE23AC"/>
    <w:rsid w:val="00FE2DC6"/>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21127370">
    <w:name w:val="SP.21.127370"/>
    <w:basedOn w:val="Default"/>
    <w:next w:val="Default"/>
    <w:uiPriority w:val="99"/>
    <w:rsid w:val="00865476"/>
    <w:rPr>
      <w:color w:val="auto"/>
    </w:rPr>
  </w:style>
  <w:style w:type="paragraph" w:customStyle="1" w:styleId="SP21127381">
    <w:name w:val="SP.21.127381"/>
    <w:basedOn w:val="Default"/>
    <w:next w:val="Default"/>
    <w:uiPriority w:val="99"/>
    <w:rsid w:val="00865476"/>
    <w:rPr>
      <w:color w:val="auto"/>
    </w:rPr>
  </w:style>
  <w:style w:type="paragraph" w:customStyle="1" w:styleId="SP21126992">
    <w:name w:val="SP.21.126992"/>
    <w:basedOn w:val="Default"/>
    <w:next w:val="Default"/>
    <w:uiPriority w:val="99"/>
    <w:rsid w:val="00FD757D"/>
    <w:rPr>
      <w:rFonts w:ascii="Times New Roman" w:hAnsi="Times New Roman" w:cs="Times New Roman"/>
      <w:color w:val="auto"/>
    </w:rPr>
  </w:style>
  <w:style w:type="paragraph" w:customStyle="1" w:styleId="SP21127348">
    <w:name w:val="SP.21.127348"/>
    <w:basedOn w:val="Default"/>
    <w:next w:val="Default"/>
    <w:uiPriority w:val="99"/>
    <w:rsid w:val="00FD757D"/>
    <w:rPr>
      <w:rFonts w:ascii="Times New Roman" w:hAnsi="Times New Roman" w:cs="Times New Roman"/>
      <w:color w:val="auto"/>
    </w:rPr>
  </w:style>
  <w:style w:type="paragraph" w:customStyle="1" w:styleId="SP21127337">
    <w:name w:val="SP.21.127337"/>
    <w:basedOn w:val="Default"/>
    <w:next w:val="Default"/>
    <w:uiPriority w:val="99"/>
    <w:rsid w:val="007329ED"/>
    <w:rPr>
      <w:rFonts w:ascii="Times New Roman" w:hAnsi="Times New Roman" w:cs="Times New Roman"/>
      <w:color w:val="auto"/>
    </w:rPr>
  </w:style>
  <w:style w:type="paragraph" w:customStyle="1" w:styleId="SP21127356">
    <w:name w:val="SP.21.127356"/>
    <w:basedOn w:val="Default"/>
    <w:next w:val="Default"/>
    <w:uiPriority w:val="99"/>
    <w:rsid w:val="007329ED"/>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6</cp:revision>
  <cp:lastPrinted>2014-09-06T00:13:00Z</cp:lastPrinted>
  <dcterms:created xsi:type="dcterms:W3CDTF">2023-03-13T18:39:00Z</dcterms:created>
  <dcterms:modified xsi:type="dcterms:W3CDTF">2023-03-13T18:52:00Z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