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63"/>
        <w:gridCol w:w="2336"/>
        <w:gridCol w:w="808"/>
        <w:gridCol w:w="2934"/>
      </w:tblGrid>
      <w:tr>
        <w:trPr>
          <w:trHeight w:val="485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>TGbi Teleconference Minutes 16 February 2023</w:t>
            </w:r>
          </w:p>
        </w:tc>
      </w:tr>
      <w:tr>
        <w:trPr>
          <w:trHeight w:val="359" w:hRule="atLeast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2023-02-</w:t>
            </w:r>
            <w:r>
              <w:rPr>
                <w:b w:val="false"/>
                <w:sz w:val="20"/>
              </w:rPr>
              <w:t>23</w:t>
            </w:r>
          </w:p>
        </w:tc>
      </w:tr>
      <w:tr>
        <w:trPr>
          <w:cantSplit w:val="true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5665" cy="2856865"/>
                <wp:effectExtent l="0" t="635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840" cy="28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16 February 2023 at 10:00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5pt;margin-top:16.55pt;width:468.9pt;height:224.9pt;mso-wrap-style:square;v-text-anchor:top;mso-position-horizontal:center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16 February 2023 at 10:00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Comcast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>Chair calls meeting to order at 10:01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hyperlink r:id="rId2">
        <w:r>
          <w:rPr>
            <w:rStyle w:val="InternetLink"/>
          </w:rPr>
          <w:t>11-23-0224r0</w:t>
        </w:r>
      </w:hyperlink>
      <w:r>
        <w:rPr>
          <w:rStyle w:val="InternetLink"/>
        </w:rPr>
        <w:t>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numPr>
          <w:ilvl w:val="1"/>
          <w:numId w:val="2"/>
        </w:numPr>
        <w:rPr/>
      </w:pPr>
      <w:r>
        <w:rPr/>
        <w:t>IEEE individual process slides were presented.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  <w:br/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Discussion of agenda 11-23-0224r0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by unanimous consent (18 participants).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Administrative</w:t>
        <w:br/>
      </w:r>
    </w:p>
    <w:p>
      <w:pPr>
        <w:pStyle w:val="Normal"/>
        <w:numPr>
          <w:ilvl w:val="1"/>
          <w:numId w:val="2"/>
        </w:numPr>
        <w:rPr>
          <w:shd w:fill="auto" w:val="clear"/>
        </w:rPr>
      </w:pPr>
      <w:r>
        <w:rPr>
          <w:shd w:fill="auto" w:val="clear"/>
        </w:rPr>
        <w:t xml:space="preserve">One more teleconference before the 802 Plenary in March. 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Technical presentations</w:t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 xml:space="preserve">Mechanism of simultaneous changes to SN scrambler seed PN AID and TID </w:t>
      </w:r>
      <w:r>
        <w:rPr/>
        <w:t>(</w:t>
      </w:r>
      <w:hyperlink r:id="rId3">
        <w:r>
          <w:rPr>
            <w:rStyle w:val="InternetLink"/>
          </w:rPr>
          <w:t>11-23-0166r0</w:t>
        </w:r>
      </w:hyperlink>
      <w:r>
        <w:rPr/>
        <w:t>), Chaoming Luo (OPPO)</w:t>
        <w:br/>
        <w:br/>
        <w:t>Presentation proposes obfuscation mechanisms for TID, AID and PN where-in one public version of these identifiers are transmitted over-the-air, and another hashed version containing the identifiers foreseen in the standard are kept private between AP and non-AP STA.</w:t>
        <w:br/>
        <w:br/>
      </w:r>
      <w:r>
        <w:rPr>
          <w:b/>
          <w:bCs/>
        </w:rPr>
        <w:t>C:</w:t>
      </w:r>
      <w:r>
        <w:rPr/>
        <w:t xml:space="preserve"> The OTA identifiers would preserve the structure of the private identifiers.</w:t>
        <w:br/>
      </w:r>
      <w:r>
        <w:rPr>
          <w:b/>
          <w:bCs/>
        </w:rPr>
        <w:t>C:</w:t>
      </w:r>
      <w:r>
        <w:rPr/>
        <w:t xml:space="preserve"> Resetting SN may cause problems in the transition phase between an old OTA-MAC and a new OTA-MAC. It may require flushing all the packets when there is a transition.</w:t>
        <w:br/>
      </w:r>
      <w:r>
        <w:rPr>
          <w:b/>
          <w:bCs/>
        </w:rPr>
        <w:t>C:</w:t>
      </w:r>
      <w:r>
        <w:rPr/>
        <w:t xml:space="preserve"> This proposal would require changing up to 16 values at the same time, and this might in itself generate suspicion. A possible improvement is enabling a selection of values that can be reset, especially when some of the identifiers are persistent but not transmitted.</w:t>
        <w:br/>
      </w:r>
      <w:r>
        <w:rPr>
          <w:b/>
          <w:bCs/>
        </w:rPr>
        <w:t>C:</w:t>
      </w:r>
      <w:r>
        <w:rPr/>
        <w:t xml:space="preserve"> Maybe resetting to zero is simpler than resetting to a random number.</w:t>
        <w:br/>
      </w:r>
      <w:r>
        <w:rPr>
          <w:b/>
          <w:bCs/>
        </w:rPr>
        <w:t>C:</w:t>
      </w:r>
      <w:r>
        <w:rPr/>
        <w:t xml:space="preserve"> If a non-AP STA is already associated. it will be difficult to reset the sequence number. Obfuscation is desirable, but we should have the "true" values still rolling.</w:t>
        <w:br/>
      </w:r>
      <w:r>
        <w:rPr>
          <w:b/>
          <w:bCs/>
        </w:rPr>
        <w:t>C:</w:t>
      </w:r>
      <w:r>
        <w:rPr/>
        <w:t xml:space="preserve"> Pre-assigning AIDs will be a scalability issue, we have to look at that. </w:t>
        <w:br/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 xml:space="preserve">Obfuscate SSID of BPE AP </w:t>
      </w:r>
      <w:r>
        <w:rPr/>
        <w:t>(</w:t>
      </w:r>
      <w:hyperlink r:id="rId4">
        <w:r>
          <w:rPr>
            <w:rStyle w:val="InternetLink"/>
          </w:rPr>
          <w:t>11-23-0167r0</w:t>
        </w:r>
      </w:hyperlink>
      <w:r>
        <w:rPr/>
        <w:t>), Chaoming Luo (OPPO)</w:t>
        <w:br/>
        <w:br/>
        <w:t xml:space="preserve">Presentation proposes a hash function to obfuscate the SSID of a BPE, so that BPE AP effectively maintain two SSIDs. BPE Clients would cache "true" SSIDs of BPA APs. </w:t>
        <w:br/>
        <w:br/>
      </w:r>
      <w:r>
        <w:rPr>
          <w:b/>
          <w:bCs/>
        </w:rPr>
        <w:t>C:</w:t>
      </w:r>
      <w:r>
        <w:rPr/>
        <w:t xml:space="preserve"> It may not be possible to have a dependency on SAE password, since the OTA SSID would then get a unique value per user. This may also be a problem in the case multiple PSKs are used.</w:t>
        <w:br/>
      </w:r>
      <w:r>
        <w:rPr>
          <w:b/>
          <w:bCs/>
        </w:rPr>
        <w:t>C:</w:t>
      </w:r>
      <w:r>
        <w:rPr/>
        <w:t xml:space="preserve"> Each SSID would have to be decoded with the random number that is included in same beacon or probe response. A random number would have to be transmitted before a first OTA SSID is transmitted.</w:t>
        <w:br/>
      </w:r>
      <w:r>
        <w:rPr>
          <w:b/>
          <w:bCs/>
        </w:rPr>
        <w:t>C:</w:t>
      </w:r>
      <w:r>
        <w:rPr/>
        <w:t xml:space="preserve"> There is a risk that this would be confusing to legacy devices. It might be better to have separate scanning operations for BPE and non-BPE to help legacy devices. </w:t>
        <w:br/>
      </w:r>
      <w:r>
        <w:rPr>
          <w:b/>
          <w:bCs/>
        </w:rPr>
        <w:t>Q:</w:t>
      </w:r>
      <w:r>
        <w:rPr/>
        <w:t xml:space="preserve"> Why is SSID part of the AP identification information?</w:t>
        <w:br/>
      </w:r>
      <w:r>
        <w:rPr>
          <w:b/>
          <w:bCs/>
        </w:rPr>
        <w:t>A:</w:t>
      </w:r>
      <w:r>
        <w:rPr/>
        <w:t xml:space="preserve"> It was included in the discussion leading up to Requirement 18.</w:t>
        <w:br/>
      </w:r>
      <w:r>
        <w:rPr>
          <w:b/>
          <w:bCs/>
        </w:rPr>
        <w:t>Q:</w:t>
      </w:r>
      <w:r>
        <w:rPr/>
        <w:t xml:space="preserve"> The idea is that two SSIDs map to the same BSS?</w:t>
        <w:br/>
      </w:r>
      <w:r>
        <w:rPr>
          <w:b/>
          <w:bCs/>
        </w:rPr>
        <w:t>A:</w:t>
      </w:r>
      <w:r>
        <w:rPr/>
        <w:t xml:space="preserve"> Yes.</w:t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>Varying PMKID and SAE password ID</w:t>
      </w:r>
      <w:r>
        <w:rPr/>
        <w:t xml:space="preserve"> (</w:t>
      </w:r>
      <w:hyperlink r:id="rId5">
        <w:r>
          <w:rPr>
            <w:rStyle w:val="InternetLink"/>
          </w:rPr>
          <w:t>11-23-0168r0</w:t>
        </w:r>
      </w:hyperlink>
      <w:r>
        <w:rPr/>
        <w:t>), Chaoming Luo</w:t>
        <w:br/>
        <w:br/>
        <w:t xml:space="preserve">Presentation proposes to generate a new PMKID at each successful (re)association. </w:t>
        <w:br/>
        <w:br/>
      </w:r>
      <w:r>
        <w:rPr>
          <w:b/>
          <w:bCs/>
        </w:rPr>
        <w:t>C:</w:t>
      </w:r>
      <w:r>
        <w:rPr/>
        <w:t xml:space="preserve"> This is related to 11-23-44r3 (Protected SAE password identifiers). This may already be solved by Rev-me taskgroup.</w:t>
        <w:br/>
      </w:r>
      <w:r>
        <w:rPr>
          <w:b/>
          <w:bCs/>
        </w:rPr>
        <w:t>C:</w:t>
      </w:r>
      <w:r>
        <w:rPr/>
        <w:t xml:space="preserve"> Another relevant prior contribution is 11-22-1666r2. Using the PTK assumes re-doing the 4-way-handshake, and if you don't do the 4-way-handshake you don't get a new PMKID. This is resource intensive. </w:t>
        <w:br/>
        <w:t xml:space="preserve">C: The information that needs to change is not the password identifier, as such, but what is sent over the air. </w:t>
        <w:br/>
      </w:r>
    </w:p>
    <w:p>
      <w:pPr>
        <w:pStyle w:val="Normal"/>
        <w:numPr>
          <w:ilvl w:val="1"/>
          <w:numId w:val="2"/>
        </w:numPr>
        <w:rPr/>
      </w:pPr>
      <w:r>
        <w:rPr>
          <w:b/>
          <w:bCs/>
        </w:rPr>
        <w:t>Simple entropy metric for TGbi requirements</w:t>
      </w:r>
      <w:r>
        <w:rPr/>
        <w:t xml:space="preserve"> (11-23-0223r0), Amelia Andersdotter (Sky Group/Comcast)</w:t>
        <w:br/>
        <w:br/>
        <w:t xml:space="preserve">C: We will be encrypting a lot of the bits which should already account some of the things included in this metric. </w:t>
        <w:br/>
        <w:t>C: Some bits are not equally probable to be different from the others, so maybe an additional modification is necessary.</w:t>
        <w:br/>
        <w:t>C: We are looking at a time series in addition, where maybe the Cocktail Problem would be a good direction to look,</w:t>
        <w:b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AoB</w:t>
      </w:r>
    </w:p>
    <w:p>
      <w:pPr>
        <w:pStyle w:val="Normal"/>
        <w:numPr>
          <w:ilvl w:val="1"/>
          <w:numId w:val="2"/>
        </w:numP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</w:pPr>
      <w:r>
        <w:rPr>
          <w:rFonts w:eastAsia="MS Mincho;ＭＳ 明朝" w:cs="Times New Roman"/>
          <w:color w:val="auto"/>
          <w:kern w:val="0"/>
          <w:sz w:val="22"/>
          <w:szCs w:val="20"/>
          <w:lang w:val="en-US" w:eastAsia="zh-CN" w:bidi="ar-SA"/>
        </w:rPr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11:52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/>
      </w:pPr>
      <w:r>
        <w:rPr/>
      </w:r>
    </w:p>
    <w:tbl>
      <w:tblPr>
        <w:tblW w:w="89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5850"/>
      </w:tblGrid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Name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Andersdotter, Amelia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Sky Group/Comcast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Ansley, Carol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Cox Communications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baron, stephane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DeLaOlivaDelgado, Antonio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Harkins, Daniel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suppressAutoHyphens w:val="true"/>
              <w:overflowPunct w:val="true"/>
              <w:bidi w:val="0"/>
              <w:spacing w:before="0" w:after="0"/>
              <w:ind w:left="0" w:right="900" w:hanging="0"/>
              <w:jc w:val="left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Hewlett Packard Enterprise (Aruba Networks)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Hawkes, Philip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Incorporated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Henry, Jerome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Levy, Joseph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Luo, Chaoming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Beijing OPPO telecommunications corp., ltd.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Malinen, Jouni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Qualcomm Technologies, Inc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McCann, Stephen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RISON, Mark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Samsung Cambridge Solution Centre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Sam, Harvey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Smith, Luther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306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Sun, Bo</w:t>
            </w:r>
          </w:p>
        </w:tc>
        <w:tc>
          <w:tcPr>
            <w:tcW w:w="5850" w:type="dxa"/>
            <w:tcBorders/>
            <w:vAlign w:val="center"/>
          </w:tcPr>
          <w:p>
            <w:pPr>
              <w:pStyle w:val="TableContents"/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Sanechips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Group/Comcast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Feb 2023</w:t>
      <w:tab/>
      <w:tab/>
      <w:t>doc.: IEEE 802.11-23/0228r0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bCs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Arial" w:hAnsi="Arial" w:cs="Arial"/>
    </w:rPr>
  </w:style>
  <w:style w:type="character" w:styleId="WW8Num29z0">
    <w:name w:val="WW8Num29z0"/>
    <w:qFormat/>
    <w:rPr>
      <w:rFonts w:ascii="Arial" w:hAnsi="Arial" w:cs="Aria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Arial" w:hAnsi="Arial" w:cs="Arial"/>
    </w:rPr>
  </w:style>
  <w:style w:type="character" w:styleId="WW8Num35z0">
    <w:name w:val="WW8Num35z0"/>
    <w:qFormat/>
    <w:rPr>
      <w:rFonts w:ascii="Arial" w:hAnsi="Arial" w:cs="Arial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rial" w:hAnsi="Arial" w:cs="Arial"/>
    </w:rPr>
  </w:style>
  <w:style w:type="character" w:styleId="WW8Num40z0">
    <w:name w:val="WW8Num40z0"/>
    <w:qFormat/>
    <w:rPr>
      <w:rFonts w:ascii="Arial" w:hAnsi="Arial" w:cs="Arial"/>
    </w:rPr>
  </w:style>
  <w:style w:type="character" w:styleId="WW8Num41z0">
    <w:name w:val="WW8Num41z0"/>
    <w:qFormat/>
    <w:rPr>
      <w:rFonts w:ascii="Arial" w:hAnsi="Arial" w:cs="Arial"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2z2">
    <w:name w:val="WW8Num42z2"/>
    <w:qFormat/>
    <w:rPr>
      <w:rFonts w:ascii="Times New Roman" w:hAnsi="Times New Roman" w:cs="Times New Roman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Times New Roman" w:hAnsi="Times New Roman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Arial" w:hAnsi="Arial" w:cs="Arial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cs="Arial"/>
    </w:rPr>
  </w:style>
  <w:style w:type="character" w:styleId="WW8Num55z0">
    <w:name w:val="WW8Num55z0"/>
    <w:qFormat/>
    <w:rPr/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Internetlnk">
    <w:name w:val="Internetlänk"/>
    <w:qFormat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>
    <w:name w:val="Comment Text Char"/>
    <w:qFormat/>
    <w:rPr>
      <w:sz w:val="22"/>
    </w:rPr>
  </w:style>
  <w:style w:type="character" w:styleId="CommentSubjectChar">
    <w:name w:val="Comment Subject Char"/>
    <w:qFormat/>
    <w:rPr>
      <w:b/>
      <w:bCs/>
      <w:sz w:val="22"/>
    </w:rPr>
  </w:style>
  <w:style w:type="character" w:styleId="BalloonTextChar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>
    <w:name w:val="Body Text Char"/>
    <w:qFormat/>
    <w:rPr>
      <w:sz w:val="22"/>
    </w:rPr>
  </w:style>
  <w:style w:type="character" w:styleId="AnvndInternetlnk">
    <w:name w:val="Använd Internetlänk"/>
    <w:qFormat/>
    <w:rPr>
      <w:color w:val="954F72"/>
      <w:u w:val="single"/>
    </w:rPr>
  </w:style>
  <w:style w:type="character" w:styleId="Numreringstecken">
    <w:name w:val="Numreringstecken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eastAsia="zh-CN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Objektutanfyllning">
    <w:name w:val="Objekt utan fyllning"/>
    <w:basedOn w:val="Standard"/>
    <w:qFormat/>
    <w:pPr/>
    <w:rPr/>
  </w:style>
  <w:style w:type="paragraph" w:styleId="Objektutanfyllningochutanlinjer">
    <w:name w:val="Objekt utan fyllning och utan linjer"/>
    <w:basedOn w:val="Standard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0"/>
      <w:sz w:val="36"/>
      <w:szCs w:val="24"/>
      <w:lang w:val="sv-SE" w:eastAsia="zh-CN" w:bidi="hi-IN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SlideLTGliederung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>
    <w:name w:val="Title Slide~LT~Gliederung 6"/>
    <w:basedOn w:val="TitleSlideLTGliederung5"/>
    <w:qFormat/>
    <w:pPr/>
    <w:rPr/>
  </w:style>
  <w:style w:type="paragraph" w:styleId="TitleSlideLTGliederung7">
    <w:name w:val="Title Slide~LT~Gliederung 7"/>
    <w:basedOn w:val="TitleSlideLTGliederung6"/>
    <w:qFormat/>
    <w:pPr/>
    <w:rPr/>
  </w:style>
  <w:style w:type="paragraph" w:styleId="TitleSlideLTGliederung8">
    <w:name w:val="Title Slide~LT~Gliederung 8"/>
    <w:basedOn w:val="TitleSlideLTGliederung7"/>
    <w:qFormat/>
    <w:pPr/>
    <w:rPr/>
  </w:style>
  <w:style w:type="paragraph" w:styleId="TitleSlideLTGliederung9">
    <w:name w:val="Title Slide~LT~Gliederung 9"/>
    <w:basedOn w:val="TitleSlideLTGliederung8"/>
    <w:qFormat/>
    <w:pPr/>
    <w:rPr/>
  </w:style>
  <w:style w:type="paragraph" w:styleId="TitleSlideLTTitel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SlideLTNotizen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auto"/>
      <w:kern w:val="2"/>
      <w:sz w:val="36"/>
      <w:szCs w:val="24"/>
      <w:lang w:val="sv-SE" w:eastAsia="zh-CN" w:bidi="hi-IN"/>
    </w:rPr>
  </w:style>
  <w:style w:type="paragraph" w:styleId="Gray1">
    <w:name w:val="gray1"/>
    <w:basedOn w:val="Default"/>
    <w:qFormat/>
    <w:pPr/>
    <w:rPr/>
  </w:style>
  <w:style w:type="paragraph" w:styleId="Gray2">
    <w:name w:val="gray2"/>
    <w:basedOn w:val="Default"/>
    <w:qFormat/>
    <w:pPr/>
    <w:rPr/>
  </w:style>
  <w:style w:type="paragraph" w:styleId="Gray3">
    <w:name w:val="gray3"/>
    <w:basedOn w:val="Default"/>
    <w:qFormat/>
    <w:pPr/>
    <w:rPr/>
  </w:style>
  <w:style w:type="paragraph" w:styleId="Bw1">
    <w:name w:val="bw1"/>
    <w:basedOn w:val="Default"/>
    <w:qFormat/>
    <w:pPr/>
    <w:rPr/>
  </w:style>
  <w:style w:type="paragraph" w:styleId="Bw2">
    <w:name w:val="bw2"/>
    <w:basedOn w:val="Default"/>
    <w:qFormat/>
    <w:pPr/>
    <w:rPr/>
  </w:style>
  <w:style w:type="paragraph" w:styleId="Bw3">
    <w:name w:val="bw3"/>
    <w:basedOn w:val="Default"/>
    <w:qFormat/>
    <w:pPr/>
    <w:rPr/>
  </w:style>
  <w:style w:type="paragraph" w:styleId="Orange1">
    <w:name w:val="orange1"/>
    <w:basedOn w:val="Default"/>
    <w:qFormat/>
    <w:pPr/>
    <w:rPr/>
  </w:style>
  <w:style w:type="paragraph" w:styleId="Orange2">
    <w:name w:val="orange2"/>
    <w:basedOn w:val="Default"/>
    <w:qFormat/>
    <w:pPr/>
    <w:rPr/>
  </w:style>
  <w:style w:type="paragraph" w:styleId="Orange3">
    <w:name w:val="orange3"/>
    <w:basedOn w:val="Default"/>
    <w:qFormat/>
    <w:pPr/>
    <w:rPr/>
  </w:style>
  <w:style w:type="paragraph" w:styleId="Turquoise1">
    <w:name w:val="turquoise1"/>
    <w:basedOn w:val="Default"/>
    <w:qFormat/>
    <w:pPr/>
    <w:rPr/>
  </w:style>
  <w:style w:type="paragraph" w:styleId="Turquoise2">
    <w:name w:val="turquoise2"/>
    <w:basedOn w:val="Default"/>
    <w:qFormat/>
    <w:pPr/>
    <w:rPr/>
  </w:style>
  <w:style w:type="paragraph" w:styleId="Turquoise3">
    <w:name w:val="turquoise3"/>
    <w:basedOn w:val="Default"/>
    <w:qFormat/>
    <w:pPr/>
    <w:rPr/>
  </w:style>
  <w:style w:type="paragraph" w:styleId="Blue1">
    <w:name w:val="blue1"/>
    <w:basedOn w:val="Default"/>
    <w:qFormat/>
    <w:pPr/>
    <w:rPr/>
  </w:style>
  <w:style w:type="paragraph" w:styleId="Blue2">
    <w:name w:val="blue2"/>
    <w:basedOn w:val="Default"/>
    <w:qFormat/>
    <w:pPr/>
    <w:rPr/>
  </w:style>
  <w:style w:type="paragraph" w:styleId="Blue3">
    <w:name w:val="blue3"/>
    <w:basedOn w:val="Default"/>
    <w:qFormat/>
    <w:pPr/>
    <w:rPr/>
  </w:style>
  <w:style w:type="paragraph" w:styleId="Sun1">
    <w:name w:val="sun1"/>
    <w:basedOn w:val="Default"/>
    <w:qFormat/>
    <w:pPr/>
    <w:rPr/>
  </w:style>
  <w:style w:type="paragraph" w:styleId="Sun2">
    <w:name w:val="sun2"/>
    <w:basedOn w:val="Default"/>
    <w:qFormat/>
    <w:pPr/>
    <w:rPr/>
  </w:style>
  <w:style w:type="paragraph" w:styleId="Sun3">
    <w:name w:val="sun3"/>
    <w:basedOn w:val="Default"/>
    <w:qFormat/>
    <w:pPr/>
    <w:rPr/>
  </w:style>
  <w:style w:type="paragraph" w:styleId="Earth1">
    <w:name w:val="earth1"/>
    <w:basedOn w:val="Default"/>
    <w:qFormat/>
    <w:pPr/>
    <w:rPr/>
  </w:style>
  <w:style w:type="paragraph" w:styleId="Earth2">
    <w:name w:val="earth2"/>
    <w:basedOn w:val="Default"/>
    <w:qFormat/>
    <w:pPr/>
    <w:rPr/>
  </w:style>
  <w:style w:type="paragraph" w:styleId="Earth3">
    <w:name w:val="earth3"/>
    <w:basedOn w:val="Default"/>
    <w:qFormat/>
    <w:pPr/>
    <w:rPr/>
  </w:style>
  <w:style w:type="paragraph" w:styleId="Green1">
    <w:name w:val="green1"/>
    <w:basedOn w:val="Default"/>
    <w:qFormat/>
    <w:pPr/>
    <w:rPr/>
  </w:style>
  <w:style w:type="paragraph" w:styleId="Green2">
    <w:name w:val="green2"/>
    <w:basedOn w:val="Default"/>
    <w:qFormat/>
    <w:pPr/>
    <w:rPr/>
  </w:style>
  <w:style w:type="paragraph" w:styleId="Green3">
    <w:name w:val="green3"/>
    <w:basedOn w:val="Default"/>
    <w:qFormat/>
    <w:pPr/>
    <w:rPr/>
  </w:style>
  <w:style w:type="paragraph" w:styleId="Seetang1">
    <w:name w:val="seetang1"/>
    <w:basedOn w:val="Default"/>
    <w:qFormat/>
    <w:pPr/>
    <w:rPr/>
  </w:style>
  <w:style w:type="paragraph" w:styleId="Seetang2">
    <w:name w:val="seetang2"/>
    <w:basedOn w:val="Default"/>
    <w:qFormat/>
    <w:pPr/>
    <w:rPr/>
  </w:style>
  <w:style w:type="paragraph" w:styleId="Seetang3">
    <w:name w:val="seetang3"/>
    <w:basedOn w:val="Default"/>
    <w:qFormat/>
    <w:pPr/>
    <w:rPr/>
  </w:style>
  <w:style w:type="paragraph" w:styleId="Lightblue1">
    <w:name w:val="lightblue1"/>
    <w:basedOn w:val="Default"/>
    <w:qFormat/>
    <w:pPr/>
    <w:rPr/>
  </w:style>
  <w:style w:type="paragraph" w:styleId="Lightblue2">
    <w:name w:val="lightblue2"/>
    <w:basedOn w:val="Default"/>
    <w:qFormat/>
    <w:pPr/>
    <w:rPr/>
  </w:style>
  <w:style w:type="paragraph" w:styleId="Lightblue3">
    <w:name w:val="lightblue3"/>
    <w:basedOn w:val="Default"/>
    <w:qFormat/>
    <w:pPr/>
    <w:rPr/>
  </w:style>
  <w:style w:type="paragraph" w:styleId="Yellow1">
    <w:name w:val="yellow1"/>
    <w:basedOn w:val="Default"/>
    <w:qFormat/>
    <w:pPr/>
    <w:rPr/>
  </w:style>
  <w:style w:type="paragraph" w:styleId="Yellow2">
    <w:name w:val="yellow2"/>
    <w:basedOn w:val="Default"/>
    <w:qFormat/>
    <w:pPr/>
    <w:rPr/>
  </w:style>
  <w:style w:type="paragraph" w:styleId="Yellow3">
    <w:name w:val="yellow3"/>
    <w:basedOn w:val="Default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Bakgrund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Anteckningar">
    <w:name w:val="Anteckningar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Disposition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DejaVu Sans" w:cs="Noto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DejaVu Sans" w:cs="Noto Sans"/>
      <w:color w:val="FFFFFF"/>
      <w:kern w:val="2"/>
      <w:sz w:val="48"/>
      <w:szCs w:val="24"/>
      <w:lang w:val="sv-SE" w:eastAsia="zh-CN" w:bidi="hi-IN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eastAsia="DejaVu Sans" w:cs="Noto Sans"/>
      <w:color w:val="auto"/>
      <w:kern w:val="2"/>
      <w:sz w:val="64"/>
      <w:szCs w:val="24"/>
      <w:lang w:val="sv-SE" w:eastAsia="zh-CN" w:bidi="hi-IN"/>
    </w:rPr>
  </w:style>
  <w:style w:type="paragraph" w:styleId="TitleandContentLTNotizen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DejaVu Sans" w:hAnsi="DejaVu Sans" w:eastAsia="DejaVu Sans" w:cs="Noto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sv-SE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1/dcn/23/11-23-0224-00-00bi-february-march-telecon-agenda.pptx" TargetMode="External"/><Relationship Id="rId3" Type="http://schemas.openxmlformats.org/officeDocument/2006/relationships/hyperlink" Target="https://mentor.ieee.org/802.11/dcn/23/11-23-0166-00-00bi-mechanism-of-simultaneous-changes-to-sn-scrambler-seed-pn-aid-and-tid.pptx" TargetMode="External"/><Relationship Id="rId4" Type="http://schemas.openxmlformats.org/officeDocument/2006/relationships/hyperlink" Target="https://mentor.ieee.org/802.11/dcn/23/11-23-0167-00-00bi-obfuscate-ssid-of-bpe-ap.pptx" TargetMode="External"/><Relationship Id="rId5" Type="http://schemas.openxmlformats.org/officeDocument/2006/relationships/hyperlink" Target="https://mentor.ieee.org/802.11/dcn/23/11-23-0168-00-00bi-varying-pmkid-and-sae-password-id.pptx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19181</TotalTime>
  <Application>LibreOffice/7.4.5.1$Linux_X86_64 LibreOffice_project/40$Build-1</Application>
  <AppVersion>15.0000</AppVersion>
  <Pages>3</Pages>
  <Words>836</Words>
  <Characters>4495</Characters>
  <CharactersWithSpaces>5264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2021-10-07T15:28:00Z</dcterms:created>
  <dc:creator>Stephen McCann</dc:creator>
  <dc:description>Stephen McCann, Huawei</dc:description>
  <cp:keywords> </cp:keywords>
  <dc:language>sv-SE</dc:language>
  <cp:lastModifiedBy>Amelia Andersdotter</cp:lastModifiedBy>
  <dcterms:modified xsi:type="dcterms:W3CDTF">2023-02-23T21:06:56Z</dcterms:modified>
  <cp:revision>94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