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1B9FA9E" w:rsidR="00CA09B2" w:rsidRDefault="00C52294" w:rsidP="00907CAC">
            <w:pPr>
              <w:pStyle w:val="T2"/>
            </w:pPr>
            <w:r>
              <w:t>UHR SG</w:t>
            </w:r>
            <w:r w:rsidR="00A35B52">
              <w:t xml:space="preserve"> </w:t>
            </w:r>
            <w:r w:rsidR="00AF6007">
              <w:t>January</w:t>
            </w:r>
            <w:r>
              <w:t>-</w:t>
            </w:r>
            <w:r w:rsidR="00AF6007">
              <w:t>February</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120B722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02</w:t>
            </w:r>
            <w:r w:rsidR="00C274C2">
              <w:rPr>
                <w:b w:val="0"/>
                <w:sz w:val="20"/>
              </w:rPr>
              <w:t>-</w:t>
            </w:r>
            <w:r w:rsidR="00AD1CC3">
              <w:rPr>
                <w:b w:val="0"/>
                <w:sz w:val="20"/>
              </w:rPr>
              <w:t>0</w:t>
            </w:r>
            <w:r w:rsidR="00AF600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75E84E" w:rsidR="00DE1257" w:rsidRDefault="00DE1257">
                            <w:pPr>
                              <w:jc w:val="both"/>
                            </w:pPr>
                            <w:r>
                              <w:t xml:space="preserve">This document contains the draft agenda for </w:t>
                            </w:r>
                            <w:r w:rsidR="00AF6007">
                              <w:t>January</w:t>
                            </w:r>
                            <w:r w:rsidR="00C52294">
                              <w:t xml:space="preserve"> and </w:t>
                            </w:r>
                            <w:r w:rsidR="00AF6007">
                              <w:t>February</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0575E84E" w:rsidR="00DE1257" w:rsidRDefault="00DE1257">
                      <w:pPr>
                        <w:jc w:val="both"/>
                      </w:pPr>
                      <w:r>
                        <w:t xml:space="preserve">This document contains the draft agenda for </w:t>
                      </w:r>
                      <w:r w:rsidR="00AF6007">
                        <w:t>January</w:t>
                      </w:r>
                      <w:r w:rsidR="00C52294">
                        <w:t xml:space="preserve"> and </w:t>
                      </w:r>
                      <w:r w:rsidR="00AF6007">
                        <w:t>February</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4D6D56D7" w:rsidR="004F3060" w:rsidRPr="004F3060" w:rsidRDefault="00AF6007" w:rsidP="004F3060">
      <w:pPr>
        <w:rPr>
          <w:b/>
          <w:bCs/>
          <w:sz w:val="24"/>
          <w:szCs w:val="22"/>
          <w:lang w:eastAsia="en-GB"/>
        </w:rPr>
      </w:pPr>
      <w:r>
        <w:rPr>
          <w:b/>
          <w:bCs/>
          <w:sz w:val="24"/>
          <w:szCs w:val="22"/>
          <w:highlight w:val="green"/>
          <w:lang w:eastAsia="en-GB"/>
        </w:rPr>
        <w:t>February</w:t>
      </w:r>
      <w:r w:rsidR="00C52294">
        <w:rPr>
          <w:b/>
          <w:bCs/>
          <w:sz w:val="24"/>
          <w:szCs w:val="22"/>
          <w:highlight w:val="green"/>
          <w:lang w:eastAsia="en-GB"/>
        </w:rPr>
        <w:t xml:space="preserve"> </w:t>
      </w:r>
      <w:r w:rsidR="00360D7B">
        <w:rPr>
          <w:b/>
          <w:bCs/>
          <w:sz w:val="24"/>
          <w:szCs w:val="22"/>
          <w:highlight w:val="green"/>
          <w:lang w:eastAsia="en-GB"/>
        </w:rPr>
        <w:t>6</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3C2C3ED9" w:rsidR="004F3060" w:rsidRPr="004F3060" w:rsidRDefault="00360D7B" w:rsidP="004F3060">
      <w:pPr>
        <w:rPr>
          <w:b/>
          <w:bCs/>
          <w:sz w:val="24"/>
          <w:szCs w:val="22"/>
          <w:lang w:eastAsia="en-GB"/>
        </w:rPr>
      </w:pPr>
      <w:r>
        <w:rPr>
          <w:b/>
          <w:bCs/>
          <w:sz w:val="24"/>
          <w:szCs w:val="22"/>
          <w:highlight w:val="green"/>
          <w:lang w:eastAsia="en-GB"/>
        </w:rPr>
        <w:t>February</w:t>
      </w:r>
      <w:r w:rsidR="00C52294">
        <w:rPr>
          <w:b/>
          <w:bCs/>
          <w:sz w:val="24"/>
          <w:szCs w:val="22"/>
          <w:highlight w:val="green"/>
          <w:lang w:eastAsia="en-GB"/>
        </w:rPr>
        <w:t xml:space="preserve"> </w:t>
      </w:r>
      <w:r>
        <w:rPr>
          <w:b/>
          <w:bCs/>
          <w:sz w:val="24"/>
          <w:szCs w:val="22"/>
          <w:highlight w:val="green"/>
          <w:lang w:eastAsia="en-GB"/>
        </w:rPr>
        <w:t>20</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149610A" w14:textId="77777777" w:rsidR="0020531B" w:rsidRPr="00C121C0" w:rsidRDefault="0020531B" w:rsidP="0020531B">
      <w:pPr>
        <w:textAlignment w:val="baseline"/>
        <w:rPr>
          <w:szCs w:val="22"/>
        </w:rPr>
      </w:pPr>
      <w:r w:rsidRPr="00C121C0">
        <w:rPr>
          <w:szCs w:val="22"/>
        </w:rPr>
        <w:t>2204r0</w:t>
      </w:r>
      <w:r w:rsidRPr="00C121C0">
        <w:rPr>
          <w:szCs w:val="22"/>
        </w:rPr>
        <w:tab/>
        <w:t xml:space="preserve">Dynamic </w:t>
      </w:r>
      <w:proofErr w:type="spellStart"/>
      <w:r w:rsidRPr="00C121C0">
        <w:rPr>
          <w:szCs w:val="22"/>
        </w:rPr>
        <w:t>Subband</w:t>
      </w:r>
      <w:proofErr w:type="spellEnd"/>
      <w:r w:rsidRPr="00C121C0">
        <w:rPr>
          <w:szCs w:val="22"/>
        </w:rPr>
        <w:t xml:space="preserve"> Operation </w:t>
      </w:r>
      <w:r w:rsidRPr="00C121C0">
        <w:rPr>
          <w:szCs w:val="22"/>
        </w:rPr>
        <w:tab/>
        <w:t>Sindhu Verma</w:t>
      </w:r>
    </w:p>
    <w:p w14:paraId="071C9D98" w14:textId="7EA7FA3F" w:rsidR="0020531B" w:rsidRPr="00C121C0" w:rsidRDefault="0020531B" w:rsidP="0020531B">
      <w:pPr>
        <w:rPr>
          <w:szCs w:val="22"/>
          <w:shd w:val="clear" w:color="auto" w:fill="FFFFFF"/>
        </w:rPr>
      </w:pPr>
      <w:r w:rsidRPr="00C121C0">
        <w:rPr>
          <w:szCs w:val="22"/>
          <w:shd w:val="clear" w:color="auto" w:fill="FFFFFF"/>
        </w:rPr>
        <w:t>00</w:t>
      </w:r>
      <w:r w:rsidRPr="00C121C0">
        <w:rPr>
          <w:szCs w:val="22"/>
          <w:shd w:val="clear" w:color="auto" w:fill="FFFFFF"/>
        </w:rPr>
        <w:t>10r0</w:t>
      </w:r>
      <w:r w:rsidRPr="00C121C0">
        <w:rPr>
          <w:szCs w:val="22"/>
          <w:shd w:val="clear" w:color="auto" w:fill="FFFFFF"/>
        </w:rPr>
        <w:tab/>
        <w:t>Considerations for enabling AP power save</w:t>
      </w:r>
      <w:r w:rsidRPr="00C121C0">
        <w:rPr>
          <w:szCs w:val="22"/>
          <w:shd w:val="clear" w:color="auto" w:fill="FFFFFF"/>
        </w:rPr>
        <w:tab/>
        <w:t>Alfred</w:t>
      </w:r>
    </w:p>
    <w:p w14:paraId="6FD68557" w14:textId="77777777" w:rsidR="0020531B" w:rsidRPr="00C121C0" w:rsidRDefault="0020531B" w:rsidP="0020531B">
      <w:pPr>
        <w:rPr>
          <w:szCs w:val="22"/>
        </w:rPr>
      </w:pPr>
      <w:r w:rsidRPr="00C121C0">
        <w:rPr>
          <w:szCs w:val="22"/>
        </w:rPr>
        <w:t>0015r0</w:t>
      </w:r>
      <w:r w:rsidRPr="00C121C0">
        <w:rPr>
          <w:szCs w:val="22"/>
        </w:rPr>
        <w:tab/>
        <w:t>AP MLD power management</w:t>
      </w:r>
      <w:r w:rsidRPr="00C121C0">
        <w:rPr>
          <w:szCs w:val="22"/>
        </w:rPr>
        <w:tab/>
        <w:t>Liwen</w:t>
      </w:r>
    </w:p>
    <w:p w14:paraId="13C6527E" w14:textId="77777777" w:rsidR="0020531B" w:rsidRPr="00C121C0" w:rsidRDefault="0020531B" w:rsidP="0020531B">
      <w:pPr>
        <w:rPr>
          <w:szCs w:val="22"/>
        </w:rPr>
      </w:pPr>
      <w:r w:rsidRPr="00C121C0">
        <w:rPr>
          <w:szCs w:val="22"/>
        </w:rPr>
        <w:t>0016r0</w:t>
      </w:r>
      <w:r w:rsidRPr="00C121C0">
        <w:rPr>
          <w:szCs w:val="22"/>
        </w:rPr>
        <w:tab/>
        <w:t>single radio MLD</w:t>
      </w:r>
      <w:r w:rsidRPr="00C121C0">
        <w:rPr>
          <w:szCs w:val="22"/>
        </w:rPr>
        <w:tab/>
        <w:t>Liwen</w:t>
      </w:r>
    </w:p>
    <w:p w14:paraId="3A57773A" w14:textId="77777777" w:rsidR="0020531B" w:rsidRPr="00C121C0" w:rsidRDefault="0020531B" w:rsidP="0020531B">
      <w:pPr>
        <w:rPr>
          <w:szCs w:val="22"/>
        </w:rPr>
      </w:pPr>
      <w:r w:rsidRPr="00C121C0">
        <w:rPr>
          <w:szCs w:val="22"/>
        </w:rPr>
        <w:t>0018r0</w:t>
      </w:r>
      <w:r w:rsidRPr="00C121C0">
        <w:rPr>
          <w:szCs w:val="22"/>
        </w:rPr>
        <w:tab/>
        <w:t>Low latency support in UHR</w:t>
      </w:r>
      <w:r w:rsidRPr="00C121C0">
        <w:rPr>
          <w:szCs w:val="22"/>
        </w:rPr>
        <w:tab/>
        <w:t>Kiseon</w:t>
      </w:r>
    </w:p>
    <w:p w14:paraId="4E84F323" w14:textId="77777777" w:rsidR="0020531B" w:rsidRPr="00C121C0" w:rsidRDefault="0020531B" w:rsidP="0020531B">
      <w:pPr>
        <w:rPr>
          <w:szCs w:val="22"/>
        </w:rPr>
      </w:pPr>
      <w:r w:rsidRPr="00C121C0">
        <w:rPr>
          <w:szCs w:val="22"/>
        </w:rPr>
        <w:t>0034r0</w:t>
      </w:r>
      <w:r w:rsidRPr="00C121C0">
        <w:rPr>
          <w:szCs w:val="22"/>
        </w:rPr>
        <w:tab/>
        <w:t>Non-primary Channel Utilization</w:t>
      </w:r>
      <w:r w:rsidRPr="00C121C0">
        <w:rPr>
          <w:szCs w:val="22"/>
        </w:rPr>
        <w:tab/>
        <w:t>Sindhu Verma</w:t>
      </w:r>
    </w:p>
    <w:p w14:paraId="5D7058BC" w14:textId="77777777" w:rsidR="0020531B" w:rsidRPr="00C121C0" w:rsidRDefault="0020531B" w:rsidP="0020531B">
      <w:pPr>
        <w:pStyle w:val="yiv6247217857msonormal"/>
        <w:shd w:val="clear" w:color="auto" w:fill="FFFFFF"/>
        <w:spacing w:before="0" w:beforeAutospacing="0" w:after="0" w:afterAutospacing="0"/>
        <w:rPr>
          <w:sz w:val="22"/>
          <w:szCs w:val="22"/>
        </w:rPr>
      </w:pPr>
      <w:r w:rsidRPr="00C121C0">
        <w:rPr>
          <w:sz w:val="22"/>
          <w:szCs w:val="22"/>
        </w:rPr>
        <w:t>1910r1 Seamless Roaming for UHR</w:t>
      </w:r>
      <w:r w:rsidRPr="00C121C0">
        <w:rPr>
          <w:sz w:val="22"/>
          <w:szCs w:val="22"/>
        </w:rPr>
        <w:tab/>
        <w:t>Duncan</w:t>
      </w:r>
    </w:p>
    <w:p w14:paraId="3A090807"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0037r0</w:t>
      </w:r>
      <w:r w:rsidRPr="00C121C0">
        <w:rPr>
          <w:sz w:val="22"/>
          <w:szCs w:val="22"/>
        </w:rPr>
        <w:tab/>
        <w:t>UHR Feature to Overcome PSD Limitations Distributed-Tone Resource Units</w:t>
      </w:r>
      <w:r w:rsidRPr="00C121C0">
        <w:rPr>
          <w:sz w:val="22"/>
          <w:szCs w:val="22"/>
        </w:rPr>
        <w:tab/>
        <w:t>Jianhan</w:t>
      </w:r>
    </w:p>
    <w:p w14:paraId="0785C552" w14:textId="77777777" w:rsidR="0020531B" w:rsidRPr="00C121C0" w:rsidRDefault="0020531B" w:rsidP="0020531B">
      <w:pPr>
        <w:pStyle w:val="yiv2017911929msonormal"/>
        <w:shd w:val="clear" w:color="auto" w:fill="FFFFFF"/>
        <w:spacing w:before="0" w:beforeAutospacing="0" w:after="0" w:afterAutospacing="0"/>
        <w:rPr>
          <w:sz w:val="22"/>
          <w:szCs w:val="22"/>
          <w:shd w:val="clear" w:color="auto" w:fill="FFFFFF"/>
        </w:rPr>
      </w:pPr>
      <w:r w:rsidRPr="00C121C0">
        <w:rPr>
          <w:sz w:val="22"/>
          <w:szCs w:val="22"/>
          <w:shd w:val="clear" w:color="auto" w:fill="FFFFFF"/>
        </w:rPr>
        <w:t>0041r0</w:t>
      </w:r>
      <w:r w:rsidRPr="00C121C0">
        <w:rPr>
          <w:sz w:val="22"/>
          <w:szCs w:val="22"/>
          <w:shd w:val="clear" w:color="auto" w:fill="FFFFFF"/>
        </w:rPr>
        <w:tab/>
        <w:t>Considerations on Coordinated TDMA</w:t>
      </w:r>
      <w:r w:rsidRPr="00C121C0">
        <w:rPr>
          <w:sz w:val="22"/>
          <w:szCs w:val="22"/>
          <w:shd w:val="clear" w:color="auto" w:fill="FFFFFF"/>
        </w:rPr>
        <w:tab/>
        <w:t>Yanjun</w:t>
      </w:r>
    </w:p>
    <w:p w14:paraId="31EF86EC"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0045r0</w:t>
      </w:r>
      <w:r w:rsidRPr="00C121C0">
        <w:rPr>
          <w:sz w:val="22"/>
          <w:szCs w:val="22"/>
        </w:rPr>
        <w:tab/>
        <w:t>Urgency-based Delivery of Latency Sensitive Traffic</w:t>
      </w:r>
      <w:r w:rsidRPr="00C121C0">
        <w:rPr>
          <w:sz w:val="22"/>
          <w:szCs w:val="22"/>
        </w:rPr>
        <w:tab/>
        <w:t>Liuming</w:t>
      </w:r>
    </w:p>
    <w:p w14:paraId="4D17E50C" w14:textId="7E0F9118"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0046r0</w:t>
      </w:r>
      <w:r w:rsidRPr="00C121C0">
        <w:rPr>
          <w:sz w:val="22"/>
          <w:szCs w:val="22"/>
        </w:rPr>
        <w:tab/>
        <w:t>Multi-AP Coordination for Low Latency Traffic Delivery: Usage Scenarios</w:t>
      </w:r>
      <w:r w:rsidRPr="00C121C0">
        <w:rPr>
          <w:sz w:val="22"/>
          <w:szCs w:val="22"/>
        </w:rPr>
        <w:tab/>
      </w:r>
      <w:r w:rsidRPr="00C121C0">
        <w:rPr>
          <w:sz w:val="22"/>
          <w:szCs w:val="22"/>
        </w:rPr>
        <w:t>Liuming</w:t>
      </w:r>
    </w:p>
    <w:p w14:paraId="28BAEAFB"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0058r0</w:t>
      </w:r>
      <w:r w:rsidRPr="00C121C0">
        <w:rPr>
          <w:sz w:val="22"/>
          <w:szCs w:val="22"/>
        </w:rPr>
        <w:tab/>
        <w:t>UHR SG</w:t>
      </w:r>
      <w:r w:rsidRPr="00C121C0">
        <w:rPr>
          <w:sz w:val="22"/>
          <w:szCs w:val="22"/>
        </w:rPr>
        <w:tab/>
        <w:t>Spatial Reuse in Coordinated M-AP for UHR</w:t>
      </w:r>
      <w:r w:rsidRPr="00C121C0">
        <w:rPr>
          <w:sz w:val="22"/>
          <w:szCs w:val="22"/>
        </w:rPr>
        <w:tab/>
        <w:t>Rui Yang (</w:t>
      </w:r>
      <w:proofErr w:type="spellStart"/>
      <w:r w:rsidRPr="00C121C0">
        <w:rPr>
          <w:sz w:val="22"/>
          <w:szCs w:val="22"/>
        </w:rPr>
        <w:t>InterDigital</w:t>
      </w:r>
      <w:proofErr w:type="spellEnd"/>
      <w:r w:rsidRPr="00C121C0">
        <w:rPr>
          <w:sz w:val="22"/>
          <w:szCs w:val="22"/>
        </w:rPr>
        <w:t>)</w:t>
      </w:r>
    </w:p>
    <w:p w14:paraId="25D56F0F"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0060r0</w:t>
      </w:r>
      <w:r w:rsidRPr="00C121C0">
        <w:rPr>
          <w:sz w:val="22"/>
          <w:szCs w:val="22"/>
        </w:rPr>
        <w:tab/>
        <w:t>Layered QoS and multi-layer transmission follow-up</w:t>
      </w:r>
      <w:r w:rsidRPr="00C121C0">
        <w:rPr>
          <w:sz w:val="22"/>
          <w:szCs w:val="22"/>
        </w:rPr>
        <w:tab/>
        <w:t>Ross Jian Yu (Huawei)</w:t>
      </w:r>
    </w:p>
    <w:p w14:paraId="08125E0E" w14:textId="77777777" w:rsidR="0020531B" w:rsidRPr="00C121C0" w:rsidRDefault="0020531B" w:rsidP="0020531B">
      <w:pPr>
        <w:rPr>
          <w:szCs w:val="22"/>
        </w:rPr>
      </w:pPr>
      <w:r w:rsidRPr="00C121C0">
        <w:rPr>
          <w:szCs w:val="22"/>
        </w:rPr>
        <w:t>0069r0</w:t>
      </w:r>
      <w:r w:rsidRPr="00C121C0">
        <w:rPr>
          <w:szCs w:val="22"/>
        </w:rPr>
        <w:tab/>
        <w:t>Considerations on Latency Improvement</w:t>
      </w:r>
      <w:r w:rsidRPr="00C121C0">
        <w:rPr>
          <w:szCs w:val="22"/>
        </w:rPr>
        <w:tab/>
      </w:r>
      <w:proofErr w:type="spellStart"/>
      <w:r w:rsidRPr="00C121C0">
        <w:rPr>
          <w:szCs w:val="22"/>
        </w:rPr>
        <w:t>Insun</w:t>
      </w:r>
      <w:proofErr w:type="spellEnd"/>
    </w:p>
    <w:p w14:paraId="43AEFD20" w14:textId="77777777" w:rsidR="0020531B" w:rsidRPr="00C121C0" w:rsidRDefault="0020531B" w:rsidP="0020531B">
      <w:pPr>
        <w:rPr>
          <w:szCs w:val="22"/>
        </w:rPr>
      </w:pPr>
      <w:r w:rsidRPr="00C121C0">
        <w:rPr>
          <w:szCs w:val="22"/>
        </w:rPr>
        <w:t>0075r0</w:t>
      </w:r>
      <w:r w:rsidRPr="00C121C0">
        <w:rPr>
          <w:szCs w:val="22"/>
        </w:rPr>
        <w:tab/>
        <w:t>More Discussions on Deep learning for WLAN</w:t>
      </w:r>
      <w:r w:rsidRPr="00C121C0">
        <w:rPr>
          <w:szCs w:val="22"/>
        </w:rPr>
        <w:tab/>
        <w:t>Ziyang Guo, Huawei</w:t>
      </w:r>
    </w:p>
    <w:p w14:paraId="2B319DC0" w14:textId="77777777" w:rsidR="0020531B" w:rsidRPr="00C121C0" w:rsidRDefault="0020531B" w:rsidP="0020531B">
      <w:pPr>
        <w:rPr>
          <w:szCs w:val="22"/>
        </w:rPr>
      </w:pPr>
      <w:r w:rsidRPr="00C121C0">
        <w:rPr>
          <w:szCs w:val="22"/>
        </w:rPr>
        <w:t xml:space="preserve">0066r1 Thoughts on Utilizing </w:t>
      </w:r>
      <w:proofErr w:type="spellStart"/>
      <w:r w:rsidRPr="00C121C0">
        <w:rPr>
          <w:szCs w:val="22"/>
        </w:rPr>
        <w:t>mmWave</w:t>
      </w:r>
      <w:proofErr w:type="spellEnd"/>
      <w:r w:rsidRPr="00C121C0">
        <w:rPr>
          <w:szCs w:val="22"/>
        </w:rPr>
        <w:t xml:space="preserve">, </w:t>
      </w:r>
      <w:proofErr w:type="spellStart"/>
      <w:r w:rsidRPr="00C121C0">
        <w:rPr>
          <w:szCs w:val="22"/>
        </w:rPr>
        <w:t>Mengshi</w:t>
      </w:r>
      <w:proofErr w:type="spellEnd"/>
      <w:r w:rsidRPr="00C121C0">
        <w:rPr>
          <w:szCs w:val="22"/>
        </w:rPr>
        <w:t xml:space="preserve"> Hu (Huawei)</w:t>
      </w:r>
    </w:p>
    <w:p w14:paraId="297DA286" w14:textId="77777777" w:rsidR="0020531B" w:rsidRPr="00C121C0" w:rsidRDefault="0020531B" w:rsidP="0020531B">
      <w:pPr>
        <w:rPr>
          <w:rFonts w:eastAsia="Malgun Gothic"/>
          <w:szCs w:val="22"/>
          <w:lang w:eastAsia="ko-KR"/>
        </w:rPr>
      </w:pPr>
      <w:r w:rsidRPr="00C121C0">
        <w:rPr>
          <w:rFonts w:eastAsia="Malgun Gothic"/>
          <w:szCs w:val="22"/>
          <w:lang w:eastAsia="ko-KR"/>
        </w:rPr>
        <w:t>0092r0</w:t>
      </w:r>
      <w:r w:rsidRPr="00C121C0">
        <w:rPr>
          <w:rFonts w:eastAsia="Malgun Gothic"/>
          <w:szCs w:val="22"/>
          <w:lang w:eastAsia="ko-KR"/>
        </w:rPr>
        <w:tab/>
      </w:r>
      <w:proofErr w:type="spellStart"/>
      <w:r w:rsidRPr="00C121C0">
        <w:rPr>
          <w:rFonts w:eastAsia="Malgun Gothic"/>
          <w:szCs w:val="22"/>
          <w:lang w:eastAsia="ko-KR"/>
        </w:rPr>
        <w:t>Preemption</w:t>
      </w:r>
      <w:proofErr w:type="spellEnd"/>
      <w:r w:rsidRPr="00C121C0">
        <w:rPr>
          <w:rFonts w:eastAsia="Malgun Gothic"/>
          <w:szCs w:val="22"/>
          <w:lang w:eastAsia="ko-KR"/>
        </w:rPr>
        <w:tab/>
        <w:t>Juan Fang</w:t>
      </w:r>
    </w:p>
    <w:p w14:paraId="53D0A500" w14:textId="77777777" w:rsidR="0020531B" w:rsidRPr="00C121C0" w:rsidRDefault="0020531B" w:rsidP="0020531B">
      <w:pPr>
        <w:rPr>
          <w:rFonts w:eastAsia="Malgun Gothic"/>
          <w:szCs w:val="22"/>
          <w:lang w:eastAsia="ko-KR"/>
        </w:rPr>
      </w:pPr>
      <w:r w:rsidRPr="00C121C0">
        <w:rPr>
          <w:rFonts w:eastAsia="Malgun Gothic"/>
          <w:szCs w:val="22"/>
          <w:lang w:eastAsia="ko-KR"/>
        </w:rPr>
        <w:t>0042r0</w:t>
      </w:r>
      <w:r w:rsidRPr="00C121C0">
        <w:rPr>
          <w:rFonts w:eastAsia="Malgun Gothic"/>
          <w:szCs w:val="22"/>
          <w:lang w:eastAsia="ko-KR"/>
        </w:rPr>
        <w:tab/>
        <w:t>Thought for Range Extension in UHR</w:t>
      </w:r>
      <w:r w:rsidRPr="00C121C0">
        <w:rPr>
          <w:rFonts w:eastAsia="Malgun Gothic"/>
          <w:szCs w:val="22"/>
          <w:lang w:eastAsia="ko-KR"/>
        </w:rPr>
        <w:tab/>
        <w:t>Dongguk Lim (LG Electronics)</w:t>
      </w:r>
    </w:p>
    <w:p w14:paraId="0656E54B" w14:textId="46E8EF04" w:rsidR="0020531B" w:rsidRPr="00C121C0" w:rsidRDefault="0020531B" w:rsidP="0020531B">
      <w:pPr>
        <w:rPr>
          <w:szCs w:val="22"/>
        </w:rPr>
      </w:pPr>
      <w:r w:rsidRPr="00C121C0">
        <w:rPr>
          <w:szCs w:val="22"/>
        </w:rPr>
        <w:t>0165</w:t>
      </w:r>
      <w:r w:rsidR="00505D1E" w:rsidRPr="00C121C0">
        <w:rPr>
          <w:szCs w:val="22"/>
        </w:rPr>
        <w:t>r</w:t>
      </w:r>
      <w:r w:rsidRPr="00C121C0">
        <w:rPr>
          <w:szCs w:val="22"/>
        </w:rPr>
        <w:t>0</w:t>
      </w:r>
      <w:r w:rsidR="00505D1E" w:rsidRPr="00C121C0">
        <w:rPr>
          <w:szCs w:val="22"/>
        </w:rPr>
        <w:tab/>
      </w:r>
      <w:r w:rsidRPr="00C121C0">
        <w:rPr>
          <w:szCs w:val="22"/>
        </w:rPr>
        <w:t>Realistic Rates on 60GHz Clients</w:t>
      </w:r>
      <w:r w:rsidR="00505D1E" w:rsidRPr="00C121C0">
        <w:rPr>
          <w:szCs w:val="22"/>
        </w:rPr>
        <w:tab/>
      </w:r>
      <w:r w:rsidRPr="00C121C0">
        <w:rPr>
          <w:szCs w:val="22"/>
        </w:rPr>
        <w:t>Rethna</w:t>
      </w:r>
    </w:p>
    <w:p w14:paraId="50ACC65C" w14:textId="0F428CD8" w:rsidR="00D9377C" w:rsidRPr="0020531B" w:rsidRDefault="00D9377C" w:rsidP="0028750B">
      <w:pPr>
        <w:rPr>
          <w:b/>
          <w:bCs/>
          <w:sz w:val="24"/>
          <w:szCs w:val="22"/>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lastRenderedPageBreak/>
        <w:t>Teleconference Agendas</w:t>
      </w:r>
    </w:p>
    <w:p w14:paraId="7EF1E995" w14:textId="012AB066"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A416F9">
        <w:rPr>
          <w:highlight w:val="green"/>
        </w:rPr>
        <w:t>January</w:t>
      </w:r>
      <w:r w:rsidR="00BC592C" w:rsidRPr="0054776D">
        <w:rPr>
          <w:highlight w:val="green"/>
        </w:rPr>
        <w:t xml:space="preserve"> </w:t>
      </w:r>
      <w:r w:rsidR="00A416F9">
        <w:rPr>
          <w:highlight w:val="green"/>
        </w:rPr>
        <w:t>6</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08058D49" w14:textId="77777777" w:rsidR="00A416F9" w:rsidRPr="00A416F9" w:rsidRDefault="00A416F9" w:rsidP="00A416F9">
      <w:pPr>
        <w:pStyle w:val="ListParagraph"/>
        <w:numPr>
          <w:ilvl w:val="1"/>
          <w:numId w:val="3"/>
        </w:numPr>
        <w:textAlignment w:val="baseline"/>
        <w:rPr>
          <w:szCs w:val="22"/>
        </w:rPr>
      </w:pPr>
      <w:r w:rsidRPr="00A416F9">
        <w:rPr>
          <w:szCs w:val="22"/>
        </w:rPr>
        <w:t>2204r0</w:t>
      </w:r>
      <w:r w:rsidRPr="00A416F9">
        <w:rPr>
          <w:szCs w:val="22"/>
        </w:rPr>
        <w:tab/>
        <w:t xml:space="preserve">Dynamic </w:t>
      </w:r>
      <w:proofErr w:type="spellStart"/>
      <w:r w:rsidRPr="00A416F9">
        <w:rPr>
          <w:szCs w:val="22"/>
        </w:rPr>
        <w:t>Subband</w:t>
      </w:r>
      <w:proofErr w:type="spellEnd"/>
      <w:r w:rsidRPr="00A416F9">
        <w:rPr>
          <w:szCs w:val="22"/>
        </w:rPr>
        <w:t xml:space="preserve"> Operation </w:t>
      </w:r>
      <w:r w:rsidRPr="00A416F9">
        <w:rPr>
          <w:szCs w:val="22"/>
        </w:rPr>
        <w:tab/>
        <w:t>Sindhu Verma</w:t>
      </w:r>
    </w:p>
    <w:p w14:paraId="5809E563" w14:textId="77777777" w:rsidR="00A416F9" w:rsidRPr="00A416F9" w:rsidRDefault="00A416F9" w:rsidP="00A416F9">
      <w:pPr>
        <w:pStyle w:val="ListParagraph"/>
        <w:numPr>
          <w:ilvl w:val="1"/>
          <w:numId w:val="3"/>
        </w:numPr>
        <w:rPr>
          <w:szCs w:val="22"/>
          <w:shd w:val="clear" w:color="auto" w:fill="FFFFFF"/>
        </w:rPr>
      </w:pPr>
      <w:r w:rsidRPr="00A416F9">
        <w:rPr>
          <w:szCs w:val="22"/>
          <w:shd w:val="clear" w:color="auto" w:fill="FFFFFF"/>
        </w:rPr>
        <w:t>0010r0</w:t>
      </w:r>
      <w:r w:rsidRPr="00A416F9">
        <w:rPr>
          <w:szCs w:val="22"/>
          <w:shd w:val="clear" w:color="auto" w:fill="FFFFFF"/>
        </w:rPr>
        <w:tab/>
        <w:t>Considerations for enabling AP power save</w:t>
      </w:r>
      <w:r w:rsidRPr="00A416F9">
        <w:rPr>
          <w:szCs w:val="22"/>
          <w:shd w:val="clear" w:color="auto" w:fill="FFFFFF"/>
        </w:rPr>
        <w:tab/>
        <w:t>Alfred</w:t>
      </w:r>
    </w:p>
    <w:p w14:paraId="0EB1E5D4" w14:textId="77777777" w:rsidR="00A416F9" w:rsidRPr="00A416F9" w:rsidRDefault="00A416F9" w:rsidP="00A416F9">
      <w:pPr>
        <w:pStyle w:val="ListParagraph"/>
        <w:numPr>
          <w:ilvl w:val="1"/>
          <w:numId w:val="3"/>
        </w:numPr>
        <w:rPr>
          <w:szCs w:val="22"/>
        </w:rPr>
      </w:pPr>
      <w:r w:rsidRPr="00A416F9">
        <w:rPr>
          <w:szCs w:val="22"/>
        </w:rPr>
        <w:t>0015r0</w:t>
      </w:r>
      <w:r w:rsidRPr="00A416F9">
        <w:rPr>
          <w:szCs w:val="22"/>
        </w:rPr>
        <w:tab/>
        <w:t>AP MLD power management</w:t>
      </w:r>
      <w:r w:rsidRPr="00A416F9">
        <w:rPr>
          <w:szCs w:val="22"/>
        </w:rPr>
        <w:tab/>
        <w:t>Liwen</w:t>
      </w:r>
    </w:p>
    <w:p w14:paraId="59CAA7D7" w14:textId="77777777" w:rsidR="00A416F9" w:rsidRPr="00A416F9" w:rsidRDefault="00A416F9" w:rsidP="00A416F9">
      <w:pPr>
        <w:pStyle w:val="ListParagraph"/>
        <w:numPr>
          <w:ilvl w:val="1"/>
          <w:numId w:val="3"/>
        </w:numPr>
        <w:rPr>
          <w:szCs w:val="22"/>
        </w:rPr>
      </w:pPr>
      <w:r w:rsidRPr="00A416F9">
        <w:rPr>
          <w:szCs w:val="22"/>
        </w:rPr>
        <w:t>0016r0</w:t>
      </w:r>
      <w:r w:rsidRPr="00A416F9">
        <w:rPr>
          <w:szCs w:val="22"/>
        </w:rPr>
        <w:tab/>
        <w:t>single radio MLD</w:t>
      </w:r>
      <w:r w:rsidRPr="00A416F9">
        <w:rPr>
          <w:szCs w:val="22"/>
        </w:rPr>
        <w:tab/>
        <w:t>Liwen</w:t>
      </w:r>
    </w:p>
    <w:p w14:paraId="4E95DB4A" w14:textId="77777777" w:rsidR="00A416F9" w:rsidRPr="00A416F9" w:rsidRDefault="00A416F9" w:rsidP="00A416F9">
      <w:pPr>
        <w:pStyle w:val="ListParagraph"/>
        <w:numPr>
          <w:ilvl w:val="1"/>
          <w:numId w:val="3"/>
        </w:numPr>
        <w:rPr>
          <w:szCs w:val="22"/>
        </w:rPr>
      </w:pPr>
      <w:r w:rsidRPr="00A416F9">
        <w:rPr>
          <w:szCs w:val="22"/>
        </w:rPr>
        <w:t>0018r0</w:t>
      </w:r>
      <w:r w:rsidRPr="00A416F9">
        <w:rPr>
          <w:szCs w:val="22"/>
        </w:rPr>
        <w:tab/>
        <w:t>Low latency support in UHR</w:t>
      </w:r>
      <w:r w:rsidRPr="00A416F9">
        <w:rPr>
          <w:szCs w:val="22"/>
        </w:rPr>
        <w:tab/>
        <w:t>Kiseon</w:t>
      </w:r>
    </w:p>
    <w:p w14:paraId="504C0A1B" w14:textId="6B1E6495" w:rsidR="00877F4E" w:rsidRPr="007B0D1D" w:rsidRDefault="00877F4E" w:rsidP="00A416F9">
      <w:pPr>
        <w:rPr>
          <w:color w:val="70AD47" w:themeColor="accent6"/>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8DFD0B8" w:rsidR="00604C0E" w:rsidRPr="00BF0021" w:rsidRDefault="00A11DD5" w:rsidP="00604C0E">
      <w:pPr>
        <w:pStyle w:val="Heading3"/>
      </w:pPr>
      <w:r w:rsidRPr="00050B7B">
        <w:rPr>
          <w:highlight w:val="green"/>
        </w:rPr>
        <w:lastRenderedPageBreak/>
        <w:t>2</w:t>
      </w:r>
      <w:r w:rsidRPr="00050B7B">
        <w:rPr>
          <w:highlight w:val="green"/>
          <w:vertAlign w:val="superscript"/>
        </w:rPr>
        <w:t>nd</w:t>
      </w:r>
      <w:r w:rsidRPr="00050B7B">
        <w:rPr>
          <w:highlight w:val="green"/>
        </w:rPr>
        <w:t xml:space="preserve"> Conf. Call: </w:t>
      </w:r>
      <w:r w:rsidR="008F2BBE">
        <w:rPr>
          <w:highlight w:val="green"/>
        </w:rPr>
        <w:t>January</w:t>
      </w:r>
      <w:r w:rsidR="00604C0E" w:rsidRPr="0054776D">
        <w:rPr>
          <w:highlight w:val="green"/>
        </w:rPr>
        <w:t xml:space="preserve"> </w:t>
      </w:r>
      <w:r w:rsidR="008F2BBE">
        <w:rPr>
          <w:highlight w:val="green"/>
        </w:rPr>
        <w:t>20</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31DB1FE0" w14:textId="77777777" w:rsidR="00E71BBB" w:rsidRPr="00E71BBB" w:rsidRDefault="00E71BBB" w:rsidP="00877F4E">
      <w:pPr>
        <w:pStyle w:val="ListParagraph"/>
        <w:rPr>
          <w:lang w:val="en-US"/>
        </w:rPr>
      </w:pP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8302C"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48302C"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8302C"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8302C"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48302C"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8302C"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8302C"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8302C"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8302C"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8302C"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8302C"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8302C"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8302C"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8302C"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8302C"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8302C"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8302C"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88B0" w14:textId="77777777" w:rsidR="0048302C" w:rsidRDefault="0048302C">
      <w:r>
        <w:separator/>
      </w:r>
    </w:p>
  </w:endnote>
  <w:endnote w:type="continuationSeparator" w:id="0">
    <w:p w14:paraId="4FE7DA71" w14:textId="77777777" w:rsidR="0048302C" w:rsidRDefault="0048302C">
      <w:r>
        <w:continuationSeparator/>
      </w:r>
    </w:p>
  </w:endnote>
  <w:endnote w:type="continuationNotice" w:id="1">
    <w:p w14:paraId="708A248A" w14:textId="77777777" w:rsidR="0048302C" w:rsidRDefault="0048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9F9B" w14:textId="77777777" w:rsidR="0048302C" w:rsidRDefault="0048302C">
      <w:r>
        <w:separator/>
      </w:r>
    </w:p>
  </w:footnote>
  <w:footnote w:type="continuationSeparator" w:id="0">
    <w:p w14:paraId="32641286" w14:textId="77777777" w:rsidR="0048302C" w:rsidRDefault="0048302C">
      <w:r>
        <w:continuationSeparator/>
      </w:r>
    </w:p>
  </w:footnote>
  <w:footnote w:type="continuationNotice" w:id="1">
    <w:p w14:paraId="37338FEA" w14:textId="77777777" w:rsidR="0048302C" w:rsidRDefault="00483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1DF3E89" w:rsidR="00DE1257" w:rsidRDefault="0041546F">
    <w:pPr>
      <w:pStyle w:val="Header"/>
      <w:tabs>
        <w:tab w:val="clear" w:pos="6480"/>
        <w:tab w:val="center" w:pos="4680"/>
        <w:tab w:val="right" w:pos="9360"/>
      </w:tabs>
    </w:pPr>
    <w:r>
      <w:t>February</w:t>
    </w:r>
    <w:r w:rsidR="008D0E35">
      <w:t xml:space="preserve"> </w:t>
    </w:r>
    <w:r w:rsidR="00DE1257">
      <w:t>202</w:t>
    </w:r>
    <w:r>
      <w:t>3</w:t>
    </w:r>
    <w:r w:rsidR="00DE1257">
      <w:tab/>
    </w:r>
    <w:r w:rsidR="00DE1257">
      <w:tab/>
    </w:r>
    <w:fldSimple w:instr=" TITLE  \* MERGEFORMAT ">
      <w:r w:rsidR="00311D07">
        <w:t>doc.: IEEE 802.11-</w:t>
      </w:r>
      <w:r w:rsidR="00C93E7A">
        <w:t>2</w:t>
      </w:r>
      <w:r>
        <w:t>3</w:t>
      </w:r>
      <w:r w:rsidR="00311D07">
        <w:t>/</w:t>
      </w:r>
      <w:r>
        <w:t>016</w:t>
      </w:r>
      <w:r w:rsidR="00D87840">
        <w:t>9</w:t>
      </w:r>
      <w:r w:rsidR="00311D07">
        <w:t>r</w:t>
      </w:r>
    </w:fldSimple>
    <w:r w:rsidR="00C5229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8"/>
  </w:num>
  <w:num w:numId="3">
    <w:abstractNumId w:val="34"/>
  </w:num>
  <w:num w:numId="4">
    <w:abstractNumId w:val="0"/>
  </w:num>
  <w:num w:numId="5">
    <w:abstractNumId w:val="30"/>
  </w:num>
  <w:num w:numId="6">
    <w:abstractNumId w:val="2"/>
  </w:num>
  <w:num w:numId="7">
    <w:abstractNumId w:val="17"/>
  </w:num>
  <w:num w:numId="8">
    <w:abstractNumId w:val="4"/>
  </w:num>
  <w:num w:numId="9">
    <w:abstractNumId w:val="23"/>
  </w:num>
  <w:num w:numId="10">
    <w:abstractNumId w:val="35"/>
  </w:num>
  <w:num w:numId="11">
    <w:abstractNumId w:val="25"/>
  </w:num>
  <w:num w:numId="12">
    <w:abstractNumId w:val="1"/>
  </w:num>
  <w:num w:numId="13">
    <w:abstractNumId w:val="24"/>
  </w:num>
  <w:num w:numId="14">
    <w:abstractNumId w:val="5"/>
  </w:num>
  <w:num w:numId="15">
    <w:abstractNumId w:val="26"/>
  </w:num>
  <w:num w:numId="16">
    <w:abstractNumId w:val="12"/>
  </w:num>
  <w:num w:numId="17">
    <w:abstractNumId w:val="14"/>
  </w:num>
  <w:num w:numId="18">
    <w:abstractNumId w:val="6"/>
  </w:num>
  <w:num w:numId="19">
    <w:abstractNumId w:val="29"/>
  </w:num>
  <w:num w:numId="20">
    <w:abstractNumId w:val="18"/>
  </w:num>
  <w:num w:numId="21">
    <w:abstractNumId w:val="22"/>
  </w:num>
  <w:num w:numId="22">
    <w:abstractNumId w:val="31"/>
  </w:num>
  <w:num w:numId="23">
    <w:abstractNumId w:val="21"/>
  </w:num>
  <w:num w:numId="24">
    <w:abstractNumId w:val="27"/>
  </w:num>
  <w:num w:numId="25">
    <w:abstractNumId w:val="7"/>
  </w:num>
  <w:num w:numId="26">
    <w:abstractNumId w:val="15"/>
  </w:num>
  <w:num w:numId="27">
    <w:abstractNumId w:val="3"/>
  </w:num>
  <w:num w:numId="28">
    <w:abstractNumId w:val="33"/>
  </w:num>
  <w:num w:numId="29">
    <w:abstractNumId w:val="13"/>
  </w:num>
  <w:num w:numId="30">
    <w:abstractNumId w:val="37"/>
  </w:num>
  <w:num w:numId="31">
    <w:abstractNumId w:val="28"/>
  </w:num>
  <w:num w:numId="32">
    <w:abstractNumId w:val="11"/>
  </w:num>
  <w:num w:numId="33">
    <w:abstractNumId w:val="9"/>
  </w:num>
  <w:num w:numId="34">
    <w:abstractNumId w:val="16"/>
  </w:num>
  <w:num w:numId="35">
    <w:abstractNumId w:val="10"/>
  </w:num>
  <w:num w:numId="36">
    <w:abstractNumId w:val="36"/>
  </w:num>
  <w:num w:numId="37">
    <w:abstractNumId w:val="20"/>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about/sasb/patcom/materials.html" TargetMode="External"/><Relationship Id="rId21" Type="http://schemas.openxmlformats.org/officeDocument/2006/relationships/hyperlink" Target="mailto:ross.yujian@huawei.com"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61" Type="http://schemas.openxmlformats.org/officeDocument/2006/relationships/hyperlink" Target="http://standards.ieee.org/board/aud/LMSC.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faqs/copyrights.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345</TotalTime>
  <Pages>7</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40</cp:revision>
  <cp:lastPrinted>2021-07-16T17:38:00Z</cp:lastPrinted>
  <dcterms:created xsi:type="dcterms:W3CDTF">2022-09-23T14:13:00Z</dcterms:created>
  <dcterms:modified xsi:type="dcterms:W3CDTF">2023-02-02T16:12:00Z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