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4CCE50EC"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750D36">
              <w:rPr>
                <w:b w:val="0"/>
                <w:sz w:val="20"/>
              </w:rPr>
              <w:t>01</w:t>
            </w:r>
            <w:r w:rsidR="004C39DB">
              <w:rPr>
                <w:b w:val="0"/>
                <w:sz w:val="20"/>
              </w:rPr>
              <w:t>-</w:t>
            </w:r>
            <w:r w:rsidR="00750D36">
              <w:rPr>
                <w:b w:val="0"/>
                <w:sz w:val="20"/>
              </w:rPr>
              <w:t>27</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BA5D5B" w:rsidRDefault="00BA5D5B">
                            <w:pPr>
                              <w:pStyle w:val="T1"/>
                              <w:spacing w:after="120"/>
                            </w:pPr>
                            <w:r>
                              <w:t>Abstract</w:t>
                            </w:r>
                          </w:p>
                          <w:p w14:paraId="62DD9F26" w14:textId="75CC5DF7" w:rsidR="00BA5D5B" w:rsidRDefault="00BA5D5B"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A5D5B" w:rsidRPr="001B4791" w:rsidRDefault="00BA5D5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BA5D5B" w:rsidRDefault="00BA5D5B">
                      <w:pPr>
                        <w:pStyle w:val="T1"/>
                        <w:spacing w:after="120"/>
                      </w:pPr>
                      <w:r>
                        <w:t>Abstract</w:t>
                      </w:r>
                    </w:p>
                    <w:p w14:paraId="62DD9F26" w14:textId="75CC5DF7" w:rsidR="00BA5D5B" w:rsidRDefault="00BA5D5B"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A5D5B" w:rsidRPr="001B4791" w:rsidRDefault="00BA5D5B">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0"/>
      <w:r>
        <w:t>elements</w:t>
      </w:r>
      <w:commentRangeEnd w:id="0"/>
      <w:r w:rsidR="004A7A03">
        <w:rPr>
          <w:rStyle w:val="CommentReference"/>
        </w:rPr>
        <w:commentReference w:id="0"/>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1"/>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1"/>
      <w:r w:rsidR="000A1E2E">
        <w:rPr>
          <w:rStyle w:val="CommentReference"/>
        </w:rPr>
        <w:commentReference w:id="1"/>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2"/>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2"/>
      <w:r>
        <w:rPr>
          <w:rStyle w:val="CommentReference"/>
        </w:rPr>
        <w:commentReference w:id="2"/>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commentRangeStart w:id="3"/>
      <w:r>
        <w:t>RFC 2578</w:t>
      </w:r>
      <w:commentRangeEnd w:id="3"/>
      <w:r w:rsidR="00CA26A7">
        <w:rPr>
          <w:rStyle w:val="CommentReference"/>
        </w:rPr>
        <w:commentReference w:id="3"/>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4"/>
      <w:r>
        <w:t xml:space="preserve"> For </w:t>
      </w:r>
      <w:r w:rsidRPr="00FB6F5F">
        <w:rPr>
          <w:highlight w:val="yellow"/>
        </w:rPr>
        <w:t>ERP-OFDM PPDUs</w:t>
      </w:r>
      <w:r>
        <w:t>, the DATA field that contains the SERVICE field, the PSDU, the TAIL bits, and the PAD bits shall follow 17.3.5 (DATA field).</w:t>
      </w:r>
      <w:commentRangeEnd w:id="4"/>
      <w:r w:rsidR="0061794F">
        <w:rPr>
          <w:rStyle w:val="CommentReference"/>
        </w:rPr>
        <w:commentReference w:id="4"/>
      </w:r>
    </w:p>
    <w:p w14:paraId="3EADADA4" w14:textId="5078813D" w:rsidR="00FB6F5F" w:rsidRDefault="00FB6F5F" w:rsidP="00FB6F5F">
      <w:r w:rsidRPr="00FB6F5F">
        <w:rPr>
          <w:highlight w:val="yellow"/>
        </w:rPr>
        <w:t>An ERP-OFDM PPDU</w:t>
      </w:r>
      <w:r>
        <w:t xml:space="preserve"> is (#14)immediately followed by a period of no transmission with a duration of aSignalExtension(#14)</w:t>
      </w:r>
    </w:p>
    <w:p w14:paraId="27EB32B6" w14:textId="77777777" w:rsidR="00FB6F5F" w:rsidRDefault="00FB6F5F" w:rsidP="00FB6F5F"/>
    <w:p w14:paraId="05054A8F" w14:textId="1EE74F86" w:rsidR="00FB6F5F" w:rsidRDefault="00FB6F5F" w:rsidP="00FB6F5F">
      <w:r>
        <w:t xml:space="preserve">18.4.7.3: The transmit spectral mask for </w:t>
      </w:r>
      <w:r w:rsidRPr="00FB6F5F">
        <w:rPr>
          <w:highlight w:val="yellow"/>
        </w:rPr>
        <w:t>ERP-OFDM PPDUs</w:t>
      </w:r>
      <w:r>
        <w:t xml:space="preserve"> shall follow 17.3.9.3 (Transmit spectrum mask) and is shown in Figure 17-13 (Transmit spectrum mask for 20 MHz transmission) therein. The transmit spectral mask </w:t>
      </w:r>
      <w:r>
        <w:lastRenderedPageBreak/>
        <w:t xml:space="preserve">for </w:t>
      </w:r>
      <w:commentRangeStart w:id="5"/>
      <w:r w:rsidRPr="00FB6F5F">
        <w:rPr>
          <w:highlight w:val="yellow"/>
        </w:rPr>
        <w:t>ERP-DSSS PPDUs</w:t>
      </w:r>
      <w:commentRangeEnd w:id="5"/>
      <w:r w:rsidR="00C56355">
        <w:rPr>
          <w:rStyle w:val="CommentReference"/>
        </w:rPr>
        <w:commentReference w:id="5"/>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Subclause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6"/>
      <w:r w:rsidRPr="00FB6F5F">
        <w:rPr>
          <w:highlight w:val="yellow"/>
        </w:rPr>
        <w:t>ERP-DSSS PPDUs</w:t>
      </w:r>
      <w:commentRangeEnd w:id="6"/>
      <w:r w:rsidR="00C56355">
        <w:rPr>
          <w:rStyle w:val="CommentReference"/>
        </w:rPr>
        <w:commentReference w:id="6"/>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7"/>
      <w:r w:rsidR="00C56355">
        <w:t xml:space="preserve">ERP-CCK </w:t>
      </w:r>
      <w:r w:rsidR="00C56355" w:rsidRPr="00C56355">
        <w:rPr>
          <w:highlight w:val="yellow"/>
        </w:rPr>
        <w:t>PPDUs</w:t>
      </w:r>
      <w:commentRangeEnd w:id="7"/>
      <w:r w:rsidR="00C56355">
        <w:rPr>
          <w:rStyle w:val="CommentReference"/>
        </w:rPr>
        <w:commentReference w:id="7"/>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8"/>
      <w:r w:rsidRPr="00FB6F5F">
        <w:rPr>
          <w:highlight w:val="yellow"/>
        </w:rPr>
        <w:t>ERP-DSSS PPDUs</w:t>
      </w:r>
      <w:commentRangeEnd w:id="8"/>
      <w:r w:rsidR="00C56355">
        <w:rPr>
          <w:rStyle w:val="CommentReference"/>
        </w:rPr>
        <w:commentReference w:id="8"/>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9"/>
      <w:r>
        <w:t>{ the STA's MAC address }</w:t>
      </w:r>
      <w:commentRangeEnd w:id="9"/>
      <w:r w:rsidR="00F13D90">
        <w:rPr>
          <w:rStyle w:val="CommentReference"/>
        </w:rPr>
        <w:commentReference w:id="9"/>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0"/>
      <w:r>
        <w:t>{ dot11BeaconPeriod / 4 }</w:t>
      </w:r>
      <w:commentRangeEnd w:id="10"/>
      <w:r w:rsidR="00F13D90">
        <w:rPr>
          <w:rStyle w:val="CommentReference"/>
        </w:rPr>
        <w:commentReference w:id="10"/>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1571DC" w:rsidRDefault="00FD0C1D" w:rsidP="00FD0C1D">
      <w:pPr>
        <w:ind w:left="720" w:firstLine="720"/>
        <w:rPr>
          <w:i/>
        </w:rPr>
      </w:pPr>
      <w:r w:rsidRPr="001571DC">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1"/>
      <w:r>
        <w:t>MIC</w:t>
      </w:r>
      <w:commentRangeEnd w:id="11"/>
      <w:r w:rsidR="00AA4A5E">
        <w:rPr>
          <w:rStyle w:val="CommentReference"/>
        </w:rPr>
        <w:commentReference w:id="11"/>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2"/>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2"/>
            <w:r w:rsidR="000C3871">
              <w:rPr>
                <w:rStyle w:val="CommentReference"/>
                <w:color w:val="auto"/>
                <w:w w:val="100"/>
                <w:lang w:val="en-GB" w:eastAsia="en-US"/>
              </w:rPr>
              <w:commentReference w:id="12"/>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3"/>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3"/>
      <w:r w:rsidR="00966607">
        <w:rPr>
          <w:rStyle w:val="CommentReference"/>
        </w:rPr>
        <w:commentReference w:id="13"/>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4"/>
      <w:r>
        <w:t>indicate</w:t>
      </w:r>
      <w:r>
        <w:rPr>
          <w:u w:val="single"/>
        </w:rPr>
        <w:t xml:space="preserve"> </w:t>
      </w:r>
      <w:r w:rsidR="0005255A">
        <w:rPr>
          <w:u w:val="single"/>
        </w:rPr>
        <w:t>an</w:t>
      </w:r>
      <w:r>
        <w:t xml:space="preserve"> AKM of TPK handshake (suite type 00-0F-AC:7)</w:t>
      </w:r>
      <w:commentRangeEnd w:id="14"/>
      <w:r w:rsidR="0005255A">
        <w:rPr>
          <w:rStyle w:val="CommentReference"/>
        </w:rPr>
        <w:commentReference w:id="14"/>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7119DE">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5"/>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5"/>
      <w:r w:rsidR="008B7D82">
        <w:rPr>
          <w:rStyle w:val="CommentReference"/>
        </w:rPr>
        <w:commentReference w:id="15"/>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6"/>
      <w:r>
        <w:t>italicising the title.</w:t>
      </w:r>
      <w:commentRangeEnd w:id="16"/>
      <w:r>
        <w:rPr>
          <w:rStyle w:val="CommentReference"/>
        </w:rPr>
        <w:commentReference w:id="16"/>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01878321" w:rsidR="0057286E" w:rsidRDefault="0057286E" w:rsidP="00717B85"/>
    <w:p w14:paraId="6BAB82C7" w14:textId="7DEDAC3E" w:rsidR="00A305C5" w:rsidRDefault="00A305C5" w:rsidP="00A305C5">
      <w:pPr>
        <w:ind w:left="720"/>
      </w:pPr>
      <w:r>
        <w:t>c) If the recipient set the MFPC bit on a given link to 1, it(#199) shall maintain a single replay counter for received individually addressed</w:t>
      </w:r>
      <w:r>
        <w:rPr>
          <w:u w:val="single"/>
        </w:rPr>
        <w:t xml:space="preserve"> non-PV1</w:t>
      </w:r>
      <w:r>
        <w:t xml:space="preserve"> robust Management frames that are received with the To DS subfield equal to 0, and</w:t>
      </w:r>
      <w:r>
        <w:rPr>
          <w:u w:val="single"/>
        </w:rPr>
        <w:t xml:space="preserve"> (S1G STA only)</w:t>
      </w:r>
      <w:r>
        <w:t xml:space="preserve">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The QMF </w:t>
      </w:r>
      <w:r>
        <w:t xml:space="preserve">receiver shall use the ACI encoded in the Sequence Number field of the received frame to select the replay counter to use for the received frame, and shall use the PN from the received frame to detect </w:t>
      </w:r>
      <w:r>
        <w:lastRenderedPageBreak/>
        <w:t>replays.</w:t>
      </w:r>
      <w:r w:rsidRPr="00265A86">
        <w:rPr>
          <w:strike/>
        </w:rPr>
        <w:t xml:space="preserve"> A replayed frame occurs when the PN from the frame is less than or equal to the current value of the management frame replay counter that corresponds to the ACI of the frame.</w:t>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022B05A8"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non-PV1 robust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6F9E4911" w:rsidR="00A305C5" w:rsidRPr="001B0F3C" w:rsidRDefault="001B0F3C" w:rsidP="00717B85">
      <w:r w:rsidRPr="001B0F3C">
        <w:t>Change 12.5.2.4.1 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116B0D8" w:rsidR="001B0F3C" w:rsidRPr="001B0F3C" w:rsidRDefault="001B0F3C" w:rsidP="001B0F3C">
      <w:pPr>
        <w:ind w:left="720"/>
      </w:pPr>
      <w:r w:rsidRPr="0057286E">
        <w:rPr>
          <w:u w:val="single"/>
        </w:rPr>
        <w:t>NOTE</w:t>
      </w:r>
      <w:r>
        <w:rPr>
          <w:u w:val="single"/>
        </w:rPr>
        <w:t xml:space="preserve"> 3</w:t>
      </w:r>
      <w:r w:rsidRPr="0057286E">
        <w:rPr>
          <w:u w:val="single"/>
        </w:rPr>
        <w:t>—QMF is not supported for PV1 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611EF40C" w:rsidR="0097175F" w:rsidRDefault="0097175F" w:rsidP="001B0F3C">
      <w:pPr>
        <w:rPr>
          <w:u w:val="single"/>
        </w:rPr>
      </w:pPr>
    </w:p>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received group addressed robust Management frames that use QMF. The receiver shall use the ACI encoded in</w:t>
      </w:r>
      <w:r>
        <w:t xml:space="preserve"> </w:t>
      </w:r>
      <w:r w:rsidRPr="0097175F">
        <w:t>the Sequence Number field of received GQMFs protected by BIP to select the replay counter to use for the</w:t>
      </w:r>
      <w:r>
        <w:t xml:space="preserve"> </w:t>
      </w:r>
      <w:r w:rsidRPr="0097175F">
        <w:t>received frame, and shall use the IPN from the received frame to detect replays.</w:t>
      </w:r>
    </w:p>
    <w:p w14:paraId="35060F9C" w14:textId="65535911" w:rsidR="0097175F" w:rsidRPr="001B0F3C" w:rsidRDefault="0097175F" w:rsidP="0097175F">
      <w:pPr>
        <w:ind w:left="720"/>
      </w:pPr>
      <w:r w:rsidRPr="0057286E">
        <w:rPr>
          <w:u w:val="single"/>
        </w:rPr>
        <w:t>NOTE—QMF is not supported for PV1 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BF5358C" w:rsidR="0097175F" w:rsidRPr="0097175F" w:rsidRDefault="0097175F" w:rsidP="0097175F">
      <w:pPr>
        <w:ind w:left="720"/>
      </w:pPr>
      <w:r w:rsidRPr="0097175F">
        <w:t>If dot11RSNAProtectedManagementFramesActivated is true and dot11MeshSecurityActivated is true, the</w:t>
      </w:r>
      <w:r>
        <w:t xml:space="preserve"> </w:t>
      </w:r>
      <w:r w:rsidRPr="0097175F">
        <w:t>recipient shall maintain a single replay counter for received group addressed robust Management frames that</w:t>
      </w:r>
      <w:r>
        <w:t xml:space="preserve"> </w:t>
      </w:r>
      <w:r w:rsidRPr="0097175F">
        <w:t>do not use the QMF service and shall use the PN from the received frame to detect replays. If</w:t>
      </w:r>
      <w:r>
        <w:t xml:space="preserve"> </w:t>
      </w:r>
      <w:r w:rsidRPr="0097175F">
        <w:t xml:space="preserve">dot11QMFActivated is also true, the recipient shall maintain an additional replay counter for each ACI </w:t>
      </w:r>
      <w:r w:rsidRPr="0097175F">
        <w:lastRenderedPageBreak/>
        <w:t>for</w:t>
      </w:r>
      <w:r>
        <w:t xml:space="preserve"> </w:t>
      </w:r>
      <w:r w:rsidRPr="0097175F">
        <w:t>received group addressed robust Management frames that use the QMF service. The QMF receiver shall use</w:t>
      </w:r>
      <w:r>
        <w:t xml:space="preserve"> </w:t>
      </w:r>
      <w:r w:rsidRPr="0097175F">
        <w:t>the ACI encoded in the Sequence Number field of the received frame to select the replay counter to use for the</w:t>
      </w:r>
      <w:r>
        <w:t xml:space="preserve"> </w:t>
      </w:r>
      <w:r w:rsidRPr="0097175F">
        <w:t>received frame, and shall use the PN from the received frame to detect replays. A replayed frame occurs when</w:t>
      </w:r>
      <w:r>
        <w:t xml:space="preserve"> </w:t>
      </w:r>
      <w:r w:rsidRPr="0097175F">
        <w:t>the PN from the frame is less than or equal to the value of the management frame replay counter that</w:t>
      </w:r>
      <w:r>
        <w:t xml:space="preserve"> </w:t>
      </w:r>
      <w:r w:rsidRPr="0097175F">
        <w:t>corresponds to the ACI of the frame. The transmitter shall preserve the order of protected robust Management</w:t>
      </w:r>
      <w:r>
        <w:t xml:space="preserve"> </w:t>
      </w:r>
      <w:r w:rsidRPr="0097175F">
        <w:t>frames transmitted to the same DA without the QMF service. When the QMF service is used, the transmitter</w:t>
      </w:r>
      <w:r>
        <w:t xml:space="preserve"> </w:t>
      </w:r>
      <w:r w:rsidRPr="0097175F">
        <w:t>shall not reorder robust GQMFs within an AC when the frames are transmitted to the same RA.</w:t>
      </w:r>
    </w:p>
    <w:p w14:paraId="5087E719" w14:textId="6C897B2C" w:rsidR="0097175F" w:rsidRDefault="0097175F" w:rsidP="001B0F3C">
      <w:pPr>
        <w:rPr>
          <w:u w:val="single"/>
        </w:rPr>
      </w:pPr>
    </w:p>
    <w:p w14:paraId="71473CD8" w14:textId="501F1116"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7F203AD8" w:rsidR="0097175F" w:rsidRPr="0097175F" w:rsidRDefault="0097175F" w:rsidP="0097175F">
      <w:pPr>
        <w:ind w:left="720"/>
      </w:pPr>
      <w:r w:rsidRPr="0097175F">
        <w:t xml:space="preserve">NOTE—QMF is not supported for PV1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75AE58FE" w14:textId="68B5EE3B" w:rsidR="00A15B35" w:rsidRPr="00A15B35" w:rsidRDefault="00A15B35" w:rsidP="001B0F3C">
      <w:r w:rsidRPr="00A15B35">
        <w:rPr>
          <w:highlight w:val="yellow"/>
        </w:rPr>
        <w:t>Make equivalent changes in the G</w:t>
      </w:r>
      <w:r w:rsidRPr="0097175F">
        <w:rPr>
          <w:highlight w:val="yellow"/>
        </w:rPr>
        <w:t>CMP subclauses,</w:t>
      </w:r>
      <w:r w:rsidR="0097175F" w:rsidRPr="0097175F">
        <w:rPr>
          <w:highlight w:val="yellow"/>
        </w:rPr>
        <w:t xml:space="preserve"> but only for PV0 (“An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A496C24"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17"/>
      <w:r w:rsidR="009866FE">
        <w:rPr>
          <w:u w:val="single"/>
        </w:rPr>
        <w:t>except that MLME-ADDBA primitives are not used</w:t>
      </w:r>
      <w:commentRangeEnd w:id="17"/>
      <w:r w:rsidR="001E0F7A">
        <w:rPr>
          <w:rStyle w:val="CommentReference"/>
        </w:rPr>
        <w:commentReference w:id="17"/>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18"/>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18"/>
      <w:r w:rsidR="00B615F9">
        <w:rPr>
          <w:rStyle w:val="CommentReference"/>
        </w:rPr>
        <w:commentReference w:id="18"/>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0FC44E1F" w:rsidR="00445325" w:rsidRDefault="00445325" w:rsidP="00445325">
      <w:r w:rsidRPr="00445325">
        <w:t>Here</w:t>
      </w:r>
      <w:r>
        <w:t xml:space="preserve"> are the instances of “drop” excluding those adjacent to { </w:t>
      </w:r>
      <w:r w:rsidRPr="00B6449B">
        <w:t>eligib protectedframe dot11 level eaves</w:t>
      </w:r>
      <w:r>
        <w:t xml:space="preserve"> }</w:t>
      </w:r>
      <w:r w:rsidR="00F529AB">
        <w:t xml:space="preserve"> -- it is proposed to change “drop”</w:t>
      </w:r>
      <w:r w:rsidR="000B38C9">
        <w:t>/“dropped”</w:t>
      </w:r>
      <w:r w:rsidR="00F529AB">
        <w:t xml:space="preserve"> highlighted in yellow to “discard”</w:t>
      </w:r>
      <w:r w:rsidR="000B38C9">
        <w:t>/“discarded”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GAMode associated with the Query Request is true and the advertisement server(#571) has no response to the Query Request, the advertisement server(#571) may </w:t>
      </w:r>
      <w:commentRangeStart w:id="19"/>
      <w:r w:rsidRPr="00445325">
        <w:rPr>
          <w:highlight w:val="yellow"/>
        </w:rPr>
        <w:t>drop</w:t>
      </w:r>
      <w:commentRangeEnd w:id="19"/>
      <w:r w:rsidR="00F529AB">
        <w:rPr>
          <w:rStyle w:val="CommentReference"/>
        </w:rPr>
        <w:commentReference w:id="19"/>
      </w:r>
      <w:r>
        <w:t xml:space="preserve"> the request.</w:t>
      </w:r>
    </w:p>
    <w:p w14:paraId="7442FE62" w14:textId="621F9F66"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server(#571),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server(#571)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server(#571),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server(#571)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t xml:space="preserve">2832.57: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 xml:space="preserve">2942.17: Any (#1836)EAPOL-Key PDUs with an invalid MIC are </w:t>
      </w:r>
      <w:r w:rsidRPr="009A2605">
        <w:rPr>
          <w:highlight w:val="yellow"/>
        </w:rPr>
        <w:t>dropped</w:t>
      </w:r>
      <w:r>
        <w:t xml:space="preserve"> and ignored.</w:t>
      </w:r>
    </w:p>
    <w:p w14:paraId="2AABA77C" w14:textId="7E742F57" w:rsidR="009A2605" w:rsidRDefault="009A2605" w:rsidP="009A2605">
      <w:r>
        <w:lastRenderedPageBreak/>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20"/>
      <w:r w:rsidRPr="00F529AB">
        <w:rPr>
          <w:highlight w:val="yellow"/>
        </w:rPr>
        <w:t>dropping</w:t>
      </w:r>
      <w:commentRangeEnd w:id="20"/>
      <w:r w:rsidR="00596461">
        <w:rPr>
          <w:rStyle w:val="CommentReference"/>
        </w:rPr>
        <w:commentReference w:id="20"/>
      </w:r>
      <w:r>
        <w:t xml:space="preserve"> the frame, and </w:t>
      </w:r>
      <w:r w:rsidRPr="00596461">
        <w:rPr>
          <w:i/>
        </w:rPr>
        <w:t>p</w:t>
      </w:r>
      <w:r w:rsidRPr="00596461">
        <w:rPr>
          <w:i/>
          <w:vertAlign w:val="subscript"/>
        </w:rPr>
        <w:t>e</w:t>
      </w:r>
      <w:r>
        <w:t xml:space="preserve"> as the</w:t>
      </w:r>
    </w:p>
    <w:p w14:paraId="49EE74C6" w14:textId="77777777" w:rsidR="00F529AB" w:rsidRDefault="00F529AB" w:rsidP="00F529AB">
      <w:r>
        <w:t>probability of the frame not being transmitted successfully (i.e., either the Data frame or the Ack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r w:rsidRPr="00596461">
        <w:rPr>
          <w:i/>
        </w:rPr>
        <w:t>p</w:t>
      </w:r>
      <w:r w:rsidRPr="00596461">
        <w:rPr>
          <w:i/>
          <w:highlight w:val="yellow"/>
          <w:vertAlign w:val="subscript"/>
        </w:rPr>
        <w:t>drop</w:t>
      </w:r>
      <w:r w:rsidRPr="00596461">
        <w:rPr>
          <w:i/>
        </w:rPr>
        <w:t xml:space="preserve"> = p</w:t>
      </w:r>
      <w:r w:rsidRPr="00596461">
        <w:rPr>
          <w:i/>
          <w:vertAlign w:val="subscript"/>
        </w:rPr>
        <w:t>e</w:t>
      </w:r>
      <w:r w:rsidRPr="00596461">
        <w:rPr>
          <w:i/>
          <w:vertAlign w:val="superscript"/>
        </w:rPr>
        <w:t>Np + 1</w:t>
      </w:r>
    </w:p>
    <w:p w14:paraId="5E6D5F91" w14:textId="77777777" w:rsidR="00F529AB" w:rsidRDefault="00F529AB" w:rsidP="00F529AB">
      <w:r>
        <w:t xml:space="preserve">For example, in such a channel, if </w:t>
      </w:r>
      <w:r w:rsidRPr="00596461">
        <w:rPr>
          <w:i/>
        </w:rPr>
        <w:t>p</w:t>
      </w:r>
      <w:r w:rsidRPr="00596461">
        <w:rPr>
          <w:i/>
          <w:vertAlign w:val="subscript"/>
        </w:rPr>
        <w:t>e</w:t>
      </w:r>
      <w:r w:rsidRPr="00596461">
        <w:rPr>
          <w:i/>
        </w:rPr>
        <w:t xml:space="preserve"> </w:t>
      </w:r>
      <w:r>
        <w:t xml:space="preserve">= 0.1 and </w:t>
      </w:r>
      <w:r w:rsidRPr="00596461">
        <w:rPr>
          <w:i/>
        </w:rPr>
        <w:t>p</w:t>
      </w:r>
      <w:r w:rsidRPr="00596461">
        <w:rPr>
          <w:i/>
          <w:highlight w:val="yellow"/>
          <w:vertAlign w:val="subscript"/>
        </w:rPr>
        <w:t>drop</w:t>
      </w:r>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r>
        <w:t xml:space="preserve">Also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lastRenderedPageBreak/>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3B7B422C" w:rsidR="00BC704C" w:rsidRDefault="00BC704C" w:rsidP="00BC704C">
      <w:r>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commentRangeStart w:id="21"/>
      <w:r w:rsidRPr="00BC704C">
        <w:rPr>
          <w:highlight w:val="yellow"/>
        </w:rPr>
        <w:t>ignores</w:t>
      </w:r>
      <w:commentRangeEnd w:id="21"/>
      <w:r>
        <w:rPr>
          <w:rStyle w:val="CommentReference"/>
        </w:rPr>
        <w:commentReference w:id="21"/>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 xml:space="preserve">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(#274)in which case the responder shall </w:t>
      </w:r>
      <w:r w:rsidRPr="00BC704C">
        <w:rPr>
          <w:highlight w:val="yellow"/>
        </w:rPr>
        <w:t>ignore</w:t>
      </w:r>
      <w:r>
        <w:t xml:space="preserve"> the received FST Setup </w:t>
      </w:r>
      <w:commentRangeStart w:id="22"/>
      <w:r>
        <w:t>Request</w:t>
      </w:r>
      <w:commentRangeEnd w:id="22"/>
      <w:r>
        <w:rPr>
          <w:rStyle w:val="CommentReference"/>
        </w:rPr>
        <w:commentReference w:id="22"/>
      </w:r>
      <w:r>
        <w:t>.</w:t>
      </w:r>
    </w:p>
    <w:p w14:paraId="6C1C8D7C" w14:textId="4CDAE08A"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commentRangeStart w:id="23"/>
      <w:r w:rsidRPr="00E46892">
        <w:rPr>
          <w:highlight w:val="yellow"/>
        </w:rPr>
        <w:t>ignore</w:t>
      </w:r>
      <w:commentRangeEnd w:id="23"/>
      <w:r>
        <w:rPr>
          <w:rStyle w:val="CommentReference"/>
        </w:rPr>
        <w:commentReference w:id="23"/>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4"/>
      <w:r>
        <w:t>receiving STA’s BSSIDs</w:t>
      </w:r>
      <w:commentRangeEnd w:id="24"/>
      <w:r>
        <w:rPr>
          <w:rStyle w:val="CommentReference"/>
        </w:rPr>
        <w:commentReference w:id="24"/>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C9A56A5" w14:textId="7A41B5E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77777777" w:rsidR="008A41E5" w:rsidRDefault="008A41E5" w:rsidP="00BA5D5B"/>
    <w:p w14:paraId="6936714F" w14:textId="596FA5D1" w:rsidR="00BA5D5B" w:rsidRDefault="008A41E5" w:rsidP="00BA5D5B">
      <w:r>
        <w:t>Delete the following from D2.1</w:t>
      </w:r>
      <w:r w:rsidR="00BA5D5B">
        <w:t xml:space="preserve"> (entire subclause unless otherwise specified):</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1D8BA28C" w:rsidR="00BA5D5B" w:rsidRDefault="00BA5D5B" w:rsidP="00BA5D5B">
      <w:r>
        <w:t>PSMP</w:t>
      </w:r>
    </w:p>
    <w:p w14:paraId="4EAC5638" w14:textId="1CA8D0B6" w:rsidR="00BA5D5B" w:rsidRDefault="00BA5D5B" w:rsidP="00BA5D5B">
      <w:r>
        <w:t>PSMP-DTT</w:t>
      </w:r>
    </w:p>
    <w:p w14:paraId="65342AEC" w14:textId="5FCB4D8F" w:rsidR="00BA5D5B" w:rsidRDefault="00BA5D5B" w:rsidP="00BA5D5B">
      <w:r>
        <w:t>PSMP-UTT</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1F73F2C5" w:rsidR="00BA5D5B" w:rsidRDefault="00BA5D5B" w:rsidP="00BA5D5B">
      <w:r w:rsidRPr="00BA5D5B">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 xml:space="preserve">parameters of primitive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019CDD17" w14:textId="0CDDD715" w:rsidR="00BA5D5B" w:rsidRPr="008A41E5" w:rsidRDefault="00BA5D5B" w:rsidP="00BA5D5B">
      <w:pPr>
        <w:rPr>
          <w:highlight w:val="cyan"/>
        </w:rPr>
      </w:pPr>
      <w:r w:rsidRPr="008A41E5">
        <w:rPr>
          <w:highlight w:val="cyan"/>
        </w:rPr>
        <w:t>Table 9-27—MFB subfield in the CMMG variant HT Control field -- fix broken references to 10.30.4</w:t>
      </w:r>
    </w:p>
    <w:p w14:paraId="7BAAF21E" w14:textId="207B87E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lastRenderedPageBreak/>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77777777" w:rsidR="00BA5D5B" w:rsidRPr="00BA5D5B" w:rsidRDefault="00BA5D5B" w:rsidP="00BA5D5B">
      <w:pPr>
        <w:rPr>
          <w:highlight w:val="yellow"/>
        </w:rPr>
      </w:pPr>
      <w:r>
        <w:t>dot11FortyMHzFrameReceivedCount (Counter32)</w:t>
      </w:r>
      <w:r w:rsidRPr="00BA5D5B">
        <w:rPr>
          <w:highlight w:val="yellow"/>
        </w:rPr>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4013074F"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Default="007B10E5" w:rsidP="00BA5D5B">
      <w:r w:rsidRPr="007B10E5">
        <w:t>9.6.11.4 PSMP frame format</w:t>
      </w:r>
    </w:p>
    <w:p w14:paraId="46B7F982" w14:textId="2E3CD0CC" w:rsidR="007B10E5" w:rsidRDefault="007B10E5" w:rsidP="00BA5D5B"/>
    <w:p w14:paraId="6E22FF8B" w14:textId="5A505154" w:rsidR="007B10E5" w:rsidRPr="007B10E5" w:rsidRDefault="007B10E5" w:rsidP="00BA5D5B">
      <w:pPr>
        <w:rPr>
          <w:lang w:val="fr-FR"/>
        </w:rPr>
      </w:pPr>
      <w:r w:rsidRPr="007B10E5">
        <w:rPr>
          <w:lang w:val="fr-FR"/>
        </w:rPr>
        <w:t>Table 9-629—A-MPDU contexts:</w:t>
      </w:r>
    </w:p>
    <w:p w14:paraId="564CE166" w14:textId="1BE34E67" w:rsidR="007B10E5" w:rsidRPr="007B10E5" w:rsidRDefault="007B10E5" w:rsidP="00BA5D5B">
      <w:pPr>
        <w:rPr>
          <w:lang w:val="fr-FR"/>
        </w:rPr>
      </w:pPr>
      <w:r w:rsidRPr="007B10E5">
        <w:rPr>
          <w:lang w:val="fr-FR"/>
        </w:rPr>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There are additional restrictions regarding when RIFS may be employed as defi</w:t>
      </w:r>
      <w:r>
        <w:t xml:space="preserve">ned in 10.29 (Reverse direction </w:t>
      </w:r>
      <w:r>
        <w:t xml:space="preserve">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lastRenderedPageBreak/>
        <w:t xml:space="preserve">If the BSSBasicRateSet parameter is not empty, </w:t>
      </w:r>
      <w:r w:rsidRPr="007B10E5">
        <w:rPr>
          <w:highlight w:val="yellow"/>
        </w:rPr>
        <w:t>a non-STBC PSMP frame or</w:t>
      </w:r>
      <w:r>
        <w:t xml:space="preserve"> a non-STBC Beacon frame </w:t>
      </w:r>
      <w:r>
        <w:t xml:space="preserve">that </w:t>
      </w:r>
      <w:r>
        <w:t>is not an ER beacon or HE beacon shall be transmitted in a non-HT PPDU using one of the rates included in the</w:t>
      </w:r>
      <w:r>
        <w:t xml:space="preserve"> </w:t>
      </w:r>
      <w:r>
        <w:t>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w:t>
      </w:r>
      <w:r>
        <w:t xml:space="preserve">nd Management frames, excluding </w:t>
      </w:r>
      <w:r>
        <w:t>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w:t>
      </w:r>
      <w:r w:rsidRPr="007B10E5">
        <w:rPr>
          <w:highlight w:val="yellow"/>
        </w:rPr>
        <w:t xml:space="preserve">he AP or the STAs participating </w:t>
      </w:r>
      <w:r w:rsidRPr="007B10E5">
        <w:rPr>
          <w:highlight w:val="yellow"/>
        </w:rPr>
        <w:t>in the PSMP sequence, but the specific restrictions on transmission during a PSMP sequence described</w:t>
      </w:r>
      <w:r w:rsidRPr="007B10E5">
        <w:rPr>
          <w:highlight w:val="yellow"/>
        </w:rPr>
        <w:t xml:space="preserve"> </w:t>
      </w:r>
      <w:r w:rsidRPr="007B10E5">
        <w:rPr>
          <w:highlight w:val="yellow"/>
        </w:rPr>
        <w:t>in 10.30 (PSMP operation) do apply.</w:t>
      </w:r>
    </w:p>
    <w:p w14:paraId="001F7664" w14:textId="24E13B3D" w:rsidR="007B10E5" w:rsidRDefault="007B10E5" w:rsidP="00BA5D5B"/>
    <w:p w14:paraId="29067370" w14:textId="4AB59AF3" w:rsidR="007B10E5" w:rsidRDefault="007B10E5" w:rsidP="007B10E5">
      <w:commentRangeStart w:id="25"/>
      <w:r>
        <w:t>10.25.5 Selection of BlockAck and BlockAckReq variants</w:t>
      </w:r>
      <w:r>
        <w:t>:</w:t>
      </w:r>
      <w:commentRangeEnd w:id="25"/>
      <w:r>
        <w:rPr>
          <w:rStyle w:val="CommentReference"/>
        </w:rPr>
        <w:commentReference w:id="25"/>
      </w:r>
    </w:p>
    <w:p w14:paraId="6FAA479B" w14:textId="0BD008EB" w:rsidR="007B10E5" w:rsidRDefault="007B10E5" w:rsidP="007B10E5">
      <w:r>
        <w:t xml:space="preserve">(11ax)The Multi-TID BlockAck variant shall </w:t>
      </w:r>
      <w:r w:rsidRPr="007B10E5">
        <w:rPr>
          <w:highlight w:val="yellow"/>
        </w:rPr>
        <w:t>be used for all BlockAck fr</w:t>
      </w:r>
      <w:r w:rsidRPr="007B10E5">
        <w:rPr>
          <w:highlight w:val="yellow"/>
        </w:rPr>
        <w:t xml:space="preserve">ames related to an HT-immediate </w:t>
      </w:r>
      <w:r w:rsidRPr="007B10E5">
        <w:rPr>
          <w:highlight w:val="yellow"/>
        </w:rPr>
        <w:t>agreement transmitted inside a PSMP sequence and shall</w:t>
      </w:r>
      <w:r>
        <w:t xml:space="preserve"> not be used </w:t>
      </w:r>
      <w:r w:rsidRPr="007B10E5">
        <w:rPr>
          <w:highlight w:val="yellow"/>
        </w:rPr>
        <w:t>otherwise</w:t>
      </w:r>
      <w:r>
        <w:t xml:space="preserve">. For non-HE STAs, the Multi-TID BlockAckReq variant shall </w:t>
      </w:r>
      <w:r w:rsidRPr="007B10E5">
        <w:rPr>
          <w:highlight w:val="yellow"/>
        </w:rPr>
        <w:t>be used for all BlockAckReq frames related to an HT-immediate agreement</w:t>
      </w:r>
      <w:r w:rsidRPr="007B10E5">
        <w:rPr>
          <w:highlight w:val="yellow"/>
        </w:rPr>
        <w:t xml:space="preserve"> </w:t>
      </w:r>
      <w:r w:rsidRPr="007B10E5">
        <w:rPr>
          <w:highlight w:val="yellow"/>
        </w:rPr>
        <w:t>transmitted inside a PSMP sequence and</w:t>
      </w:r>
      <w:r>
        <w:t xml:space="preserve"> shall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w:t>
      </w:r>
      <w:r>
        <w:t xml:space="preserve">ames by an HT STA, DMG STA, or </w:t>
      </w:r>
      <w:r>
        <w:t>S1G STA</w:t>
      </w:r>
      <w:r>
        <w:t>:</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r>
        <w:t>:</w:t>
      </w:r>
    </w:p>
    <w:p w14:paraId="7624A424" w14:textId="02C5EB15" w:rsidR="007B10E5" w:rsidRDefault="007B10E5" w:rsidP="007B10E5">
      <w:r>
        <w:t>An RDG shall not be present unless the MPDU carrying the grant, or ever</w:t>
      </w:r>
      <w:r>
        <w:t xml:space="preserve">y MPDU carrying the grant in an </w:t>
      </w:r>
      <w:r>
        <w:t xml:space="preserve">A-MPDU, matches one of the following conditions: </w:t>
      </w:r>
    </w:p>
    <w:p w14:paraId="5883068E" w14:textId="4512C9E6" w:rsidR="007B10E5" w:rsidRDefault="007B10E5" w:rsidP="007B10E5">
      <w:r>
        <w:t>— (11ay)For a STA that is not an EDMG STA, a QoS Data frame wit</w:t>
      </w:r>
      <w:r>
        <w:t xml:space="preserve">h an ack policy other than </w:t>
      </w:r>
      <w:r w:rsidRPr="007B10E5">
        <w:rPr>
          <w:highlight w:val="yellow"/>
        </w:rPr>
        <w:t xml:space="preserve">PSMP </w:t>
      </w:r>
      <w:r w:rsidRPr="007B10E5">
        <w:rPr>
          <w:highlight w:val="yellow"/>
        </w:rPr>
        <w:t>Ack,</w:t>
      </w:r>
      <w:r>
        <w:t xml:space="preserve"> (11ay)No explicit acknowledgment, or Scheduled Ack (i.e., including Implicit BAR), or</w:t>
      </w:r>
    </w:p>
    <w:p w14:paraId="3F09B3FD" w14:textId="3E603E6C" w:rsidR="007B10E5" w:rsidRDefault="007B10E5" w:rsidP="007B10E5">
      <w:r>
        <w:t>— (11ay)For an EDMG STA, a QoS Data frame with the Ack Policy field eq</w:t>
      </w:r>
      <w:r>
        <w:t xml:space="preserve">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w:t>
      </w:r>
      <w:r>
        <w:t xml:space="preserve">ed to an HT-immediate block ack </w:t>
      </w:r>
      <w:r>
        <w:t>agreement, or</w:t>
      </w:r>
    </w:p>
    <w:p w14:paraId="5F7FE538" w14:textId="6ABF769C" w:rsidR="007B10E5" w:rsidRDefault="007B10E5" w:rsidP="007B10E5">
      <w:r>
        <w:t>— (11ay)For a non-DMG STA, an MPDU not needing an immediate response (e.g., block ack under an</w:t>
      </w:r>
      <w:r>
        <w:t xml:space="preserve"> </w:t>
      </w:r>
      <w:r>
        <w:t>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631ADA1F" w:rsidR="007B10E5" w:rsidRDefault="007B10E5" w:rsidP="007B10E5">
      <w:r>
        <w:t>(11ay)The EDMG STA may aggregate in a multi-TID A-MPDU QoS Da</w:t>
      </w:r>
      <w:r>
        <w:t xml:space="preserve">ta frames with multiple TIDs as </w:t>
      </w:r>
      <w:r>
        <w:t xml:space="preserve">defined in Table 9-631 (A-MPDU contents in the data enabled no immediate response context) </w:t>
      </w:r>
      <w:r w:rsidRPr="007B10E5">
        <w:rPr>
          <w:highlight w:val="yellow"/>
        </w:rPr>
        <w:t>or Table 9-</w:t>
      </w:r>
      <w:r w:rsidRPr="007B10E5">
        <w:rPr>
          <w:highlight w:val="yellow"/>
        </w:rPr>
        <w:t xml:space="preserve"> </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6"/>
      <w:r w:rsidRPr="00BF483F">
        <w:t>10.70.1 General</w:t>
      </w:r>
      <w:r>
        <w:t>:</w:t>
      </w:r>
      <w:commentRangeEnd w:id="26"/>
      <w:r w:rsidR="0070601A">
        <w:rPr>
          <w:rStyle w:val="CommentReference"/>
        </w:rPr>
        <w:commentReference w:id="26"/>
      </w:r>
    </w:p>
    <w:p w14:paraId="125C29A7" w14:textId="46918E4F" w:rsidR="00BF483F" w:rsidRDefault="00BF483F" w:rsidP="00BF483F">
      <w:r>
        <w:t>An EDMG STA may aggregate in a multi-TID A-MPDU QoS Data frames with multiple TIDs as defined in</w:t>
      </w:r>
      <w:r>
        <w:t xml:space="preserve"> </w:t>
      </w:r>
      <w:r>
        <w:t xml:space="preserve">Table 9-631 (A-MPDU contents in the data enabled no immediate response context) </w:t>
      </w:r>
      <w:r w:rsidRPr="00BF483F">
        <w:rPr>
          <w:highlight w:val="yellow"/>
        </w:rPr>
        <w:t>or Table 9-632 (A-</w:t>
      </w:r>
      <w:r w:rsidRPr="00BF483F">
        <w:rPr>
          <w:highlight w:val="yellow"/>
        </w:rPr>
        <w:t>M</w:t>
      </w:r>
      <w:r w:rsidRPr="00BF483F">
        <w:rPr>
          <w:highlight w:val="yellow"/>
        </w:rPr>
        <w:t>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lastRenderedPageBreak/>
        <w:t>11.2.3.19 CMMG TXOP power save</w:t>
      </w:r>
      <w:r>
        <w:t>:</w:t>
      </w:r>
    </w:p>
    <w:p w14:paraId="192C60FD" w14:textId="675EB364" w:rsidR="00BF483F" w:rsidRDefault="00BF483F" w:rsidP="00BF483F">
      <w:r w:rsidRPr="00BF483F">
        <w:rPr>
          <w:highlight w:val="yellow"/>
        </w:rPr>
        <w:t>— In a received PSMP frame, the STA finds that the STA_AID field in</w:t>
      </w:r>
      <w:r w:rsidRPr="00BF483F">
        <w:rPr>
          <w:highlight w:val="yellow"/>
        </w:rPr>
        <w:t xml:space="preserve"> the PSMP STA Info field is not </w:t>
      </w:r>
      <w:r w:rsidRPr="00BF483F">
        <w:rPr>
          <w:highlight w:val="yellow"/>
        </w:rPr>
        <w:t>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If the reassociation is to the same AP (as described above), the following sta</w:t>
      </w:r>
      <w:r>
        <w:t xml:space="preserve">tes, agreements, and </w:t>
      </w:r>
      <w:r>
        <w:t xml:space="preserve">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0D25A2AA" w:rsidR="00AE5C56" w:rsidRDefault="00AE5C56" w:rsidP="00BA5D5B">
      <w:r w:rsidRPr="00AE5C56">
        <w:t>Table 19-25—HT PHY characteristics</w:t>
      </w:r>
      <w:r>
        <w:t xml:space="preserve">: </w:t>
      </w:r>
      <w:r w:rsidRPr="00AE5C56">
        <w:t>aDTT2UTTTime</w:t>
      </w:r>
      <w:r>
        <w:t xml:space="preserve"> row</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w:t>
      </w:r>
      <w:r>
        <w:t>(PSMP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27"/>
      <w:r>
        <w:t>dot11RMNeighborReportExtCapSPSMPSup</w:t>
      </w:r>
      <w:commentRangeEnd w:id="27"/>
      <w:r>
        <w:rPr>
          <w:rStyle w:val="CommentReference"/>
        </w:rPr>
        <w:commentReference w:id="27"/>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 xml:space="preserve">delete upsmpMode(6), </w:t>
      </w:r>
      <w:r>
        <w:t>spsmpMode(7),</w:t>
      </w:r>
    </w:p>
    <w:p w14:paraId="1208B8CF" w14:textId="29D993E6" w:rsidR="00BF483F" w:rsidRDefault="00BF483F" w:rsidP="00BA5D5B"/>
    <w:p w14:paraId="1B0BB433" w14:textId="667616B8" w:rsidR="00BF483F" w:rsidRDefault="00BF483F" w:rsidP="00BA5D5B">
      <w:r w:rsidRPr="00BF483F">
        <w:t>Table G-1—Attributes applicable to frame exchange sequence definition</w:t>
      </w:r>
      <w:r>
        <w:t>:</w:t>
      </w:r>
    </w:p>
    <w:p w14:paraId="5B528FD9" w14:textId="00984464" w:rsidR="00BF483F" w:rsidRDefault="00BF483F" w:rsidP="00BA5D5B">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10E91DBD"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w:t>
      </w:r>
      <w:r>
        <w:t>requiring-response may be included with any of the following sequences in any position, except the initial position when this contains a BlockAck frame or Multi-TID BlockAck frame: ppdu-bar, ppdu-ba-bar, ppdu-ba, ppdu-</w:t>
      </w:r>
      <w:r>
        <w:t>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lastRenderedPageBreak/>
        <w:t>Proposed resolution:</w:t>
      </w:r>
    </w:p>
    <w:p w14:paraId="0158ACC5" w14:textId="77777777" w:rsidR="00BA5D5B" w:rsidRDefault="00BA5D5B" w:rsidP="00BA5D5B">
      <w:pPr>
        <w:rPr>
          <w:b/>
          <w:sz w:val="24"/>
        </w:rPr>
      </w:pPr>
    </w:p>
    <w:p w14:paraId="41E8A17C" w14:textId="77777777" w:rsidR="00BA5D5B" w:rsidRDefault="00BA5D5B" w:rsidP="00BA5D5B">
      <w: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003BB9">
        <w:tc>
          <w:tcPr>
            <w:tcW w:w="1809" w:type="dxa"/>
          </w:tcPr>
          <w:p w14:paraId="37539816" w14:textId="77777777" w:rsidR="00C451E5" w:rsidRDefault="00C451E5" w:rsidP="00003BB9">
            <w:r>
              <w:lastRenderedPageBreak/>
              <w:t>Identifiers</w:t>
            </w:r>
          </w:p>
        </w:tc>
        <w:tc>
          <w:tcPr>
            <w:tcW w:w="4383" w:type="dxa"/>
          </w:tcPr>
          <w:p w14:paraId="1CFE4BDA" w14:textId="77777777" w:rsidR="00C451E5" w:rsidRDefault="00C451E5" w:rsidP="00003BB9">
            <w:r>
              <w:t>Comment</w:t>
            </w:r>
          </w:p>
        </w:tc>
        <w:tc>
          <w:tcPr>
            <w:tcW w:w="3384" w:type="dxa"/>
          </w:tcPr>
          <w:p w14:paraId="62B0A516" w14:textId="77777777" w:rsidR="00C451E5" w:rsidRDefault="00C451E5" w:rsidP="00003BB9">
            <w:r>
              <w:t>Proposed change</w:t>
            </w:r>
          </w:p>
        </w:tc>
      </w:tr>
      <w:tr w:rsidR="00C451E5" w:rsidRPr="002C1619" w14:paraId="5C27EFC6" w14:textId="77777777" w:rsidTr="00003BB9">
        <w:tc>
          <w:tcPr>
            <w:tcW w:w="1809" w:type="dxa"/>
          </w:tcPr>
          <w:p w14:paraId="5B774818" w14:textId="47E47FB3" w:rsidR="00C451E5" w:rsidRDefault="00C451E5" w:rsidP="00003BB9">
            <w:r>
              <w:t>CID 3697</w:t>
            </w:r>
          </w:p>
          <w:p w14:paraId="0A15B409" w14:textId="77777777" w:rsidR="00C451E5" w:rsidRDefault="00C451E5" w:rsidP="00003BB9">
            <w:r>
              <w:t>Mark RISON</w:t>
            </w:r>
          </w:p>
          <w:p w14:paraId="7DA885A6" w14:textId="70246B34" w:rsidR="00C451E5" w:rsidRDefault="00C451E5" w:rsidP="00003BB9">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w:t>
            </w:r>
            <w:r>
              <w:t>on of "dot11RMCivicConfigured"</w:t>
            </w:r>
            <w:r>
              <w:t>, there is a reference to dot11STACivicLocationEntry. However, dot11STACivicLocationEntry is not defined anywhere.</w:t>
            </w:r>
          </w:p>
        </w:tc>
        <w:tc>
          <w:tcPr>
            <w:tcW w:w="3384" w:type="dxa"/>
          </w:tcPr>
          <w:p w14:paraId="62907D68" w14:textId="562B8F36" w:rsidR="00C451E5" w:rsidRPr="002C1619" w:rsidRDefault="00C451E5" w:rsidP="00003BB9">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0882FAC7" w:rsidR="00C451E5" w:rsidRDefault="00C451E5" w:rsidP="00C451E5">
      <w:r w:rsidRPr="00C451E5">
        <w:t>dot11STACivicLocation</w:t>
      </w:r>
      <w:r>
        <w:t xml:space="preserve"> does indeed not appear in the main body of the standard, but it influences </w:t>
      </w:r>
      <w:r w:rsidRPr="00C451E5">
        <w:t>dot11RMLCIConfigured</w:t>
      </w:r>
      <w:r>
        <w:t>, which “</w:t>
      </w:r>
      <w:r>
        <w:t>is written by the SME, which sets it t</w:t>
      </w:r>
      <w:r>
        <w:t>o false when an external manage</w:t>
      </w:r>
      <w:r>
        <w:t>ment entity configures dot11STACivicLocation and dot11ST</w:t>
      </w:r>
      <w:r>
        <w:t>ACivicLocation</w:t>
      </w:r>
      <w:r>
        <w:t>Type</w:t>
      </w:r>
      <w:r>
        <w:t xml:space="preserve">” and does appear in the main body of the standard.  So this part of the comment at least should be </w:t>
      </w:r>
      <w:r w:rsidR="00581896">
        <w:t xml:space="preserve">rejected, e.g. “Setting </w:t>
      </w:r>
      <w:r w:rsidR="00581896">
        <w:t>dot11STACivicLocation</w:t>
      </w:r>
      <w:r w:rsidR="00581896">
        <w:t xml:space="preserve"> or </w:t>
      </w:r>
      <w:r w:rsidR="00581896">
        <w:t>dot11STACivicLocation</w:t>
      </w:r>
      <w:r w:rsidR="00581896">
        <w:t xml:space="preserve">Type can change </w:t>
      </w:r>
      <w:r w:rsidR="00581896" w:rsidRPr="00C451E5">
        <w:t>dot11RMLCIConfigured</w:t>
      </w:r>
      <w:r w:rsidR="00581896">
        <w:t xml:space="preserve"> and dot11RMCivic</w:t>
      </w:r>
      <w:r w:rsidR="00581896" w:rsidRPr="00C451E5">
        <w:t>Configured</w:t>
      </w:r>
      <w:r w:rsidR="00581896">
        <w:t xml:space="preserve">, so </w:t>
      </w:r>
      <w:r w:rsidR="00581896">
        <w:t>dot11STACivicLocation</w:t>
      </w:r>
      <w:r w:rsidR="00581896">
        <w:t xml:space="preserve"> and </w:t>
      </w:r>
      <w:r w:rsidR="00581896">
        <w:t>dot11STACivicLocation</w:t>
      </w:r>
      <w:r w:rsidR="00581896">
        <w:t>Type are indirectly referred to in the main body of the standard.”</w:t>
      </w:r>
    </w:p>
    <w:p w14:paraId="20A5D3AD" w14:textId="168EF49E" w:rsidR="00C451E5" w:rsidRDefault="00C451E5" w:rsidP="00C451E5"/>
    <w:p w14:paraId="054B1D9B" w14:textId="67DEEA5B" w:rsidR="00C451E5" w:rsidRDefault="00C451E5" w:rsidP="00C451E5">
      <w:r>
        <w:t xml:space="preserve">There are no instances of </w:t>
      </w:r>
      <w:r>
        <w:t>dot11STACivicLocationEntry</w:t>
      </w:r>
      <w:r>
        <w:t xml:space="preserve"> in D2.0</w:t>
      </w:r>
      <w:r w:rsidR="000241E9">
        <w:t>, so that part can also be rejected</w:t>
      </w:r>
      <w:r w:rsidR="00581896">
        <w:t>, e.g. “</w:t>
      </w:r>
      <w:r w:rsidR="00581896">
        <w:t>dot11STACivicLocationEntry</w:t>
      </w:r>
      <w:r w:rsidR="00581896">
        <w:t xml:space="preserve"> does not appear anywhere in D2.0.”</w:t>
      </w:r>
    </w:p>
    <w:p w14:paraId="7A3745F6" w14:textId="77777777" w:rsidR="00C451E5" w:rsidRDefault="00C451E5" w:rsidP="00C451E5"/>
    <w:p w14:paraId="7A8AEFD2" w14:textId="031C92C5" w:rsidR="00C451E5" w:rsidRDefault="00C451E5" w:rsidP="00C451E5">
      <w:r>
        <w:t xml:space="preserve">Who can check whether </w:t>
      </w:r>
      <w:r>
        <w:t>dot11STACivicLocationConfigTable</w:t>
      </w:r>
      <w:r>
        <w:t xml:space="preserve"> compiles?</w:t>
      </w:r>
    </w:p>
    <w:p w14:paraId="30882D88" w14:textId="77777777" w:rsidR="00C451E5" w:rsidRDefault="00C451E5" w:rsidP="00C451E5"/>
    <w:p w14:paraId="73477E97" w14:textId="77777777" w:rsidR="00C451E5" w:rsidRDefault="00C451E5" w:rsidP="00C451E5">
      <w:pPr>
        <w:rPr>
          <w:u w:val="single"/>
        </w:rPr>
      </w:pPr>
      <w:r>
        <w:rPr>
          <w:u w:val="single"/>
        </w:rPr>
        <w:t>Proposed changes</w:t>
      </w:r>
      <w:r w:rsidRPr="00F70C97">
        <w:rPr>
          <w:u w:val="single"/>
        </w:rPr>
        <w:t>:</w:t>
      </w:r>
    </w:p>
    <w:p w14:paraId="18D04BF0" w14:textId="77777777" w:rsidR="00C451E5" w:rsidRDefault="00C451E5" w:rsidP="00C451E5">
      <w:pPr>
        <w:rPr>
          <w:u w:val="single"/>
        </w:rPr>
      </w:pPr>
    </w:p>
    <w:p w14:paraId="09FDEB04" w14:textId="77777777" w:rsidR="00C451E5" w:rsidRDefault="00C451E5" w:rsidP="00C451E5">
      <w:pPr>
        <w:rPr>
          <w:u w:val="single"/>
        </w:rPr>
      </w:pPr>
    </w:p>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77777777" w:rsidR="00C451E5" w:rsidRDefault="00C451E5" w:rsidP="00C451E5">
      <w:r>
        <w:t>REVISED</w:t>
      </w:r>
    </w:p>
    <w:p w14:paraId="63357CFF" w14:textId="77777777" w:rsidR="00C451E5" w:rsidRDefault="00C451E5" w:rsidP="00C451E5"/>
    <w:p w14:paraId="00CFF89E" w14:textId="16093D99" w:rsidR="009C3E09" w:rsidRDefault="00C451E5" w:rsidP="00C451E5">
      <w:r>
        <w:t xml:space="preserve">Make the changes shown under “Proposed changes” for CID xxx in &lt;this document&gt;, which xxx </w:t>
      </w:r>
      <w:r w:rsidR="009C3E09">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003BB9">
        <w:tc>
          <w:tcPr>
            <w:tcW w:w="1809" w:type="dxa"/>
          </w:tcPr>
          <w:p w14:paraId="2FE432A2" w14:textId="77777777" w:rsidR="000241E9" w:rsidRDefault="000241E9" w:rsidP="00003BB9">
            <w:r>
              <w:lastRenderedPageBreak/>
              <w:t>Identifiers</w:t>
            </w:r>
          </w:p>
        </w:tc>
        <w:tc>
          <w:tcPr>
            <w:tcW w:w="4383" w:type="dxa"/>
          </w:tcPr>
          <w:p w14:paraId="60774D3D" w14:textId="77777777" w:rsidR="000241E9" w:rsidRDefault="000241E9" w:rsidP="00003BB9">
            <w:r>
              <w:t>Comment</w:t>
            </w:r>
          </w:p>
        </w:tc>
        <w:tc>
          <w:tcPr>
            <w:tcW w:w="3384" w:type="dxa"/>
          </w:tcPr>
          <w:p w14:paraId="5BDAF593" w14:textId="77777777" w:rsidR="000241E9" w:rsidRDefault="000241E9" w:rsidP="00003BB9">
            <w:r>
              <w:t>Proposed change</w:t>
            </w:r>
          </w:p>
        </w:tc>
      </w:tr>
      <w:tr w:rsidR="000241E9" w:rsidRPr="002C1619" w14:paraId="7037499A" w14:textId="77777777" w:rsidTr="00003BB9">
        <w:tc>
          <w:tcPr>
            <w:tcW w:w="1809" w:type="dxa"/>
          </w:tcPr>
          <w:p w14:paraId="36E19FF4" w14:textId="2E25BBDD" w:rsidR="000241E9" w:rsidRDefault="000241E9" w:rsidP="00003BB9">
            <w:r>
              <w:t xml:space="preserve">CID </w:t>
            </w:r>
            <w:r w:rsidRPr="000241E9">
              <w:t>3694</w:t>
            </w:r>
          </w:p>
          <w:p w14:paraId="08C21AE7" w14:textId="77777777" w:rsidR="000241E9" w:rsidRDefault="000241E9" w:rsidP="00003BB9">
            <w:r>
              <w:t>Mark RISON</w:t>
            </w:r>
          </w:p>
          <w:p w14:paraId="198EB96E" w14:textId="3102A6BC" w:rsidR="000241E9" w:rsidRDefault="000241E9" w:rsidP="00003BB9">
            <w:r>
              <w:t>C.3</w:t>
            </w:r>
          </w:p>
        </w:tc>
        <w:tc>
          <w:tcPr>
            <w:tcW w:w="4383" w:type="dxa"/>
          </w:tcPr>
          <w:p w14:paraId="136C7C91" w14:textId="6EA91177" w:rsidR="000241E9" w:rsidRPr="002C1619" w:rsidRDefault="000241E9" w:rsidP="00003BB9">
            <w:r w:rsidRPr="000241E9">
              <w:t>Why is there a MIB variable dot11VHTNumberSoundingDimensions but not dot11VHTBeamformeeSTSCapability</w:t>
            </w:r>
          </w:p>
        </w:tc>
        <w:tc>
          <w:tcPr>
            <w:tcW w:w="3384" w:type="dxa"/>
          </w:tcPr>
          <w:p w14:paraId="43F384B7" w14:textId="338783D9" w:rsidR="000241E9" w:rsidRPr="002C1619" w:rsidRDefault="000241E9" w:rsidP="00003BB9">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3DDA5CB3" w14:textId="75EF44F1" w:rsidR="000241E9" w:rsidRDefault="000241E9" w:rsidP="000241E9">
      <w:r>
        <w:t>Does the group agree with this direction?  On what basis is the decision on whether to have a MIB attribute for a STA capability made?</w:t>
      </w:r>
    </w:p>
    <w:p w14:paraId="4BB9020E" w14:textId="77777777" w:rsidR="000241E9" w:rsidRDefault="000241E9" w:rsidP="000241E9"/>
    <w:p w14:paraId="7D231C3C" w14:textId="77777777" w:rsidR="000241E9" w:rsidRDefault="000241E9" w:rsidP="000241E9">
      <w:pPr>
        <w:rPr>
          <w:u w:val="single"/>
        </w:rPr>
      </w:pPr>
      <w:r>
        <w:rPr>
          <w:u w:val="single"/>
        </w:rPr>
        <w:t>Proposed changes</w:t>
      </w:r>
      <w:r w:rsidRPr="00F70C97">
        <w:rPr>
          <w:u w:val="single"/>
        </w:rPr>
        <w:t>:</w:t>
      </w:r>
    </w:p>
    <w:p w14:paraId="46FF2880" w14:textId="77777777" w:rsidR="000241E9" w:rsidRDefault="000241E9" w:rsidP="000241E9">
      <w:pPr>
        <w:rPr>
          <w:u w:val="single"/>
        </w:rPr>
      </w:pPr>
    </w:p>
    <w:p w14:paraId="45C19655" w14:textId="77777777" w:rsidR="000241E9" w:rsidRDefault="000241E9" w:rsidP="000241E9">
      <w:pPr>
        <w:rPr>
          <w:u w:val="single"/>
        </w:rPr>
      </w:pPr>
    </w:p>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t>REVISED</w:t>
      </w:r>
    </w:p>
    <w:p w14:paraId="6511743E" w14:textId="77777777" w:rsidR="000241E9" w:rsidRDefault="000241E9" w:rsidP="000241E9"/>
    <w:p w14:paraId="69A56223" w14:textId="77777777" w:rsidR="000241E9" w:rsidRDefault="000241E9" w:rsidP="000241E9">
      <w:r>
        <w:t xml:space="preserve">Make the changes shown under “Proposed changes” for CID xxx in &lt;this document&gt;, which xxx </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003BB9">
        <w:tc>
          <w:tcPr>
            <w:tcW w:w="1809" w:type="dxa"/>
          </w:tcPr>
          <w:p w14:paraId="5272169C" w14:textId="77777777" w:rsidR="000241E9" w:rsidRDefault="000241E9" w:rsidP="00003BB9">
            <w:r>
              <w:lastRenderedPageBreak/>
              <w:t>Identifiers</w:t>
            </w:r>
          </w:p>
        </w:tc>
        <w:tc>
          <w:tcPr>
            <w:tcW w:w="4383" w:type="dxa"/>
          </w:tcPr>
          <w:p w14:paraId="7DDA4BD7" w14:textId="77777777" w:rsidR="000241E9" w:rsidRDefault="000241E9" w:rsidP="00003BB9">
            <w:r>
              <w:t>Comment</w:t>
            </w:r>
          </w:p>
        </w:tc>
        <w:tc>
          <w:tcPr>
            <w:tcW w:w="3384" w:type="dxa"/>
          </w:tcPr>
          <w:p w14:paraId="3A9C69E5" w14:textId="77777777" w:rsidR="000241E9" w:rsidRDefault="000241E9" w:rsidP="00003BB9">
            <w:r>
              <w:t>Proposed change</w:t>
            </w:r>
          </w:p>
        </w:tc>
      </w:tr>
      <w:tr w:rsidR="000241E9" w:rsidRPr="002C1619" w14:paraId="44216EA7" w14:textId="77777777" w:rsidTr="00003BB9">
        <w:tc>
          <w:tcPr>
            <w:tcW w:w="1809" w:type="dxa"/>
          </w:tcPr>
          <w:p w14:paraId="52788279" w14:textId="65551861" w:rsidR="000241E9" w:rsidRDefault="000241E9" w:rsidP="00003BB9">
            <w:r>
              <w:t>CID 3538</w:t>
            </w:r>
          </w:p>
          <w:p w14:paraId="743233D8" w14:textId="77777777" w:rsidR="000241E9" w:rsidRDefault="000241E9" w:rsidP="00003BB9">
            <w:r>
              <w:t>Mark RISON</w:t>
            </w:r>
          </w:p>
          <w:p w14:paraId="51F2807B" w14:textId="53CEA0B9" w:rsidR="000241E9" w:rsidRDefault="000241E9" w:rsidP="00003BB9">
            <w:r>
              <w:t>C.3</w:t>
            </w:r>
          </w:p>
          <w:p w14:paraId="44FBE825" w14:textId="4EDB665B" w:rsidR="000241E9" w:rsidRDefault="000241E9" w:rsidP="00003BB9"/>
        </w:tc>
        <w:tc>
          <w:tcPr>
            <w:tcW w:w="4383" w:type="dxa"/>
          </w:tcPr>
          <w:p w14:paraId="0F05A4E4" w14:textId="4F7689BC" w:rsidR="000241E9" w:rsidRPr="002C1619" w:rsidRDefault="000241E9" w:rsidP="00003BB9">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003BB9">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w:t>
      </w:r>
      <w:r>
        <w:t>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7777777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08223B" w:rsidRPr="0008223B">
        <w:t>Dot11DMGCountersEntry</w:t>
      </w:r>
      <w:r w:rsidR="0008223B">
        <w:t>.</w:t>
      </w:r>
    </w:p>
    <w:p w14:paraId="4AB2DD49" w14:textId="77777777" w:rsidR="0008223B" w:rsidRDefault="0008223B" w:rsidP="00B64E90"/>
    <w:p w14:paraId="65AC796B" w14:textId="28AE8862" w:rsidR="000241E9" w:rsidRDefault="0008223B" w:rsidP="00B64E90">
      <w:r>
        <w:t xml:space="preserve">Note also </w:t>
      </w:r>
      <w:r w:rsidR="000241E9">
        <w:t>there is no dot11RSNAStatsG</w:t>
      </w:r>
      <w:r w:rsidR="000241E9">
        <w:t>MACReplays</w:t>
      </w:r>
      <w:r w:rsidR="00B64E90">
        <w:t xml:space="preserve"> or dot11RSNAStatsG</w:t>
      </w:r>
      <w:r w:rsidR="00B64E90">
        <w:t>CMPDecryptErrors</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 xml:space="preserve">[CCMP general] </w:t>
      </w:r>
      <w:r>
        <w:t>When discarding a frame, th</w:t>
      </w:r>
      <w:r w:rsidR="003F5D3E">
        <w:t xml:space="preserve">e receiver shall increment by 1 </w:t>
      </w:r>
      <w:r>
        <w:t>dot</w:t>
      </w:r>
      <w:r>
        <w:t xml:space="preserve">11RSNAStatsCCMPReplays for Data </w:t>
      </w:r>
      <w:r>
        <w:t>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 xml:space="preserve">[BIP] </w:t>
      </w:r>
      <w:r>
        <w:t>If the value from the received MME IPN/BIPN field is less than or equal to</w:t>
      </w:r>
      <w:r>
        <w:t xml:space="preserve"> </w:t>
      </w:r>
      <w:r>
        <w:t>the replay counter value for this IGTK, the receiver shall disc</w:t>
      </w:r>
      <w:r>
        <w:t xml:space="preserve">ard the frame and increment the </w:t>
      </w:r>
      <w:r>
        <w:t>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 xml:space="preserve">[GCMP general] </w:t>
      </w:r>
      <w:r>
        <w:t xml:space="preserve">When discarding a frame, the receiver shall increment by </w:t>
      </w:r>
      <w:r>
        <w:t xml:space="preserve">1 dot11RSNAStatsGCMPReplays for </w:t>
      </w:r>
      <w:r>
        <w:t>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w:t>
      </w:r>
      <w:r>
        <w:rPr>
          <w:rFonts w:ascii="Courier New" w:hAnsi="Courier New" w:cs="Courier New"/>
          <w:sz w:val="20"/>
          <w:u w:val="single"/>
        </w:rPr>
        <w:t xml:space="preserve">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 dot11RSNAStatsEntry 8 }</w:t>
      </w:r>
      <w:r w:rsidRPr="0008223B">
        <w:rPr>
          <w:rFonts w:ascii="Courier New" w:hAnsi="Courier New" w:cs="Courier New"/>
          <w:sz w:val="20"/>
        </w:rPr>
        <w:t xml:space="preserve">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1DC3C688"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 MPDUs discarded (#1401)due to CMAC</w:t>
      </w:r>
      <w:r>
        <w:rPr>
          <w:rFonts w:ascii="Courier New" w:hAnsi="Courier New" w:cs="Courier New"/>
          <w:sz w:val="20"/>
          <w:u w:val="single"/>
        </w:rPr>
        <w:t xml:space="preserve"> or GMAC</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55CD739C"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{dot11RSNAStatsEntry 13}</w:t>
      </w:r>
      <w:r w:rsidRPr="0008223B">
        <w:rPr>
          <w:rFonts w:ascii="Courier New" w:hAnsi="Courier New" w:cs="Courier New"/>
          <w:sz w:val="20"/>
        </w:rPr>
        <w:t xml:space="preserve">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w:t>
      </w:r>
      <w:r w:rsidRPr="0008223B">
        <w:rPr>
          <w:rFonts w:ascii="Courier New" w:hAnsi="Courier New" w:cs="Courier New"/>
          <w:sz w:val="20"/>
          <w:u w:val="single"/>
        </w:rPr>
        <w:t>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w:t>
      </w:r>
      <w:r>
        <w:rPr>
          <w:rFonts w:ascii="Courier New" w:hAnsi="Courier New" w:cs="Courier New"/>
          <w:sz w:val="20"/>
          <w:u w:val="single"/>
        </w:rPr>
        <w:t xml:space="preserve">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6955C4B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u w:val="single"/>
        </w:rPr>
        <w:t>.</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lastRenderedPageBreak/>
        <w:t>Proposed resolution:</w:t>
      </w:r>
    </w:p>
    <w:p w14:paraId="477AE2F7" w14:textId="77777777" w:rsidR="000241E9" w:rsidRDefault="000241E9" w:rsidP="000241E9">
      <w:pPr>
        <w:rPr>
          <w:b/>
          <w:sz w:val="24"/>
        </w:rPr>
      </w:pPr>
    </w:p>
    <w:p w14:paraId="5061F16D" w14:textId="77777777" w:rsidR="000241E9" w:rsidRDefault="000241E9" w:rsidP="000241E9">
      <w:r>
        <w:t>REVISED</w:t>
      </w:r>
    </w:p>
    <w:p w14:paraId="5877B851" w14:textId="77777777" w:rsidR="000241E9" w:rsidRDefault="000241E9" w:rsidP="000241E9"/>
    <w:p w14:paraId="03E6CD7A" w14:textId="5749A7B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003BB9">
        <w:tc>
          <w:tcPr>
            <w:tcW w:w="1809" w:type="dxa"/>
          </w:tcPr>
          <w:p w14:paraId="61AB10A1" w14:textId="77777777" w:rsidR="00E45D13" w:rsidRDefault="00E45D13" w:rsidP="00003BB9">
            <w:r>
              <w:lastRenderedPageBreak/>
              <w:t>Identifiers</w:t>
            </w:r>
          </w:p>
        </w:tc>
        <w:tc>
          <w:tcPr>
            <w:tcW w:w="4383" w:type="dxa"/>
          </w:tcPr>
          <w:p w14:paraId="7AA9D244" w14:textId="77777777" w:rsidR="00E45D13" w:rsidRDefault="00E45D13" w:rsidP="00003BB9">
            <w:r>
              <w:t>Comment</w:t>
            </w:r>
          </w:p>
        </w:tc>
        <w:tc>
          <w:tcPr>
            <w:tcW w:w="3384" w:type="dxa"/>
          </w:tcPr>
          <w:p w14:paraId="5FF47C7A" w14:textId="77777777" w:rsidR="00E45D13" w:rsidRDefault="00E45D13" w:rsidP="00003BB9">
            <w:r>
              <w:t>Proposed change</w:t>
            </w:r>
          </w:p>
        </w:tc>
      </w:tr>
      <w:tr w:rsidR="00E45D13" w:rsidRPr="002C1619" w14:paraId="72815A06" w14:textId="77777777" w:rsidTr="00003BB9">
        <w:tc>
          <w:tcPr>
            <w:tcW w:w="1809" w:type="dxa"/>
          </w:tcPr>
          <w:p w14:paraId="726504BB" w14:textId="38F8AED2" w:rsidR="00E45D13" w:rsidRDefault="00E45D13" w:rsidP="00003BB9">
            <w:r>
              <w:t>CID 3526</w:t>
            </w:r>
          </w:p>
          <w:p w14:paraId="28737664" w14:textId="77777777" w:rsidR="00E45D13" w:rsidRDefault="00E45D13" w:rsidP="00003BB9">
            <w:r>
              <w:t>Mark RISON</w:t>
            </w:r>
          </w:p>
          <w:p w14:paraId="7091A8ED" w14:textId="72F12CA7" w:rsidR="00E45D13" w:rsidRDefault="00E45D13" w:rsidP="00003BB9">
            <w:r>
              <w:t>6.5.4.2</w:t>
            </w:r>
          </w:p>
        </w:tc>
        <w:tc>
          <w:tcPr>
            <w:tcW w:w="4383" w:type="dxa"/>
          </w:tcPr>
          <w:p w14:paraId="1F0A7AB2" w14:textId="703E1F55" w:rsidR="00E45D13" w:rsidRPr="002C1619" w:rsidRDefault="00E45D13" w:rsidP="00003BB9">
            <w:r w:rsidRPr="00E45D13">
              <w:t>aCMMGPPMinListeningTime and other PHY characteristics are missing from 6.5.4.2</w:t>
            </w:r>
          </w:p>
        </w:tc>
        <w:tc>
          <w:tcPr>
            <w:tcW w:w="3384" w:type="dxa"/>
          </w:tcPr>
          <w:p w14:paraId="7011B609" w14:textId="13A6CBCF" w:rsidR="00E45D13" w:rsidRPr="002C1619" w:rsidRDefault="00E45D13" w:rsidP="00003BB9">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bookmarkStart w:id="28" w:name="_GoBack"/>
      <w:bookmarkEnd w:id="28"/>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003BB9">
        <w:tc>
          <w:tcPr>
            <w:tcW w:w="1809" w:type="dxa"/>
          </w:tcPr>
          <w:p w14:paraId="13715A8F" w14:textId="77777777" w:rsidR="00100D60" w:rsidRDefault="00100D60" w:rsidP="00003BB9">
            <w:r>
              <w:lastRenderedPageBreak/>
              <w:t>Identifiers</w:t>
            </w:r>
          </w:p>
        </w:tc>
        <w:tc>
          <w:tcPr>
            <w:tcW w:w="4383" w:type="dxa"/>
          </w:tcPr>
          <w:p w14:paraId="7EABE6AE" w14:textId="77777777" w:rsidR="00100D60" w:rsidRDefault="00100D60" w:rsidP="00003BB9">
            <w:r>
              <w:t>Comment</w:t>
            </w:r>
          </w:p>
        </w:tc>
        <w:tc>
          <w:tcPr>
            <w:tcW w:w="3384" w:type="dxa"/>
          </w:tcPr>
          <w:p w14:paraId="23BD8D09" w14:textId="77777777" w:rsidR="00100D60" w:rsidRDefault="00100D60" w:rsidP="00003BB9">
            <w:r>
              <w:t>Proposed change</w:t>
            </w:r>
          </w:p>
        </w:tc>
      </w:tr>
      <w:tr w:rsidR="00100D60" w:rsidRPr="002C1619" w14:paraId="36BB2652" w14:textId="77777777" w:rsidTr="00003BB9">
        <w:tc>
          <w:tcPr>
            <w:tcW w:w="1809" w:type="dxa"/>
          </w:tcPr>
          <w:p w14:paraId="3B2BE8B6" w14:textId="3B8CAA40" w:rsidR="00100D60" w:rsidRDefault="00100D60" w:rsidP="00003BB9">
            <w:r>
              <w:t>CID 3504</w:t>
            </w:r>
          </w:p>
          <w:p w14:paraId="1E8B6569" w14:textId="77777777" w:rsidR="00100D60" w:rsidRDefault="00100D60" w:rsidP="00003BB9">
            <w:r>
              <w:t>Mark RISON</w:t>
            </w:r>
          </w:p>
          <w:p w14:paraId="64BE3812" w14:textId="5225A411" w:rsidR="00100D60" w:rsidRDefault="00100D60" w:rsidP="00003BB9">
            <w:r>
              <w:t>C.3</w:t>
            </w:r>
          </w:p>
        </w:tc>
        <w:tc>
          <w:tcPr>
            <w:tcW w:w="4383" w:type="dxa"/>
          </w:tcPr>
          <w:p w14:paraId="7079FCF4" w14:textId="309DDB33" w:rsidR="00100D60" w:rsidRPr="002C1619" w:rsidRDefault="00100D60" w:rsidP="00003BB9">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003BB9">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110AD200" w:rsidR="00100D60" w:rsidRDefault="00100D60" w:rsidP="00100D60">
      <w:r>
        <w:t xml:space="preserve">Does the group agree with this direction?  Or does a STA have the </w:t>
      </w:r>
      <w:r w:rsidR="00753F2F">
        <w:t xml:space="preserve">exact </w:t>
      </w:r>
      <w:r>
        <w:t>same controls for its relationship to the AP as for its relationship to peer TDLS STAs?</w:t>
      </w:r>
    </w:p>
    <w:p w14:paraId="5C0E64CA" w14:textId="77777777" w:rsidR="00100D60" w:rsidRDefault="00100D60" w:rsidP="00100D60"/>
    <w:p w14:paraId="27CBECF5" w14:textId="77777777" w:rsidR="00100D60" w:rsidRDefault="00100D60" w:rsidP="00100D60">
      <w:pPr>
        <w:rPr>
          <w:u w:val="single"/>
        </w:rPr>
      </w:pPr>
      <w:r>
        <w:rPr>
          <w:u w:val="single"/>
        </w:rPr>
        <w:t>Proposed changes</w:t>
      </w:r>
      <w:r w:rsidRPr="00F70C97">
        <w:rPr>
          <w:u w:val="single"/>
        </w:rPr>
        <w:t>:</w:t>
      </w:r>
    </w:p>
    <w:p w14:paraId="554E2B6D" w14:textId="77777777" w:rsidR="00100D60" w:rsidRDefault="00100D60" w:rsidP="00100D60">
      <w:pPr>
        <w:rPr>
          <w:u w:val="single"/>
        </w:rPr>
      </w:pPr>
    </w:p>
    <w:p w14:paraId="32E4C5D2" w14:textId="77777777" w:rsidR="00100D60" w:rsidRDefault="00100D60" w:rsidP="00100D60">
      <w:pPr>
        <w:rPr>
          <w:u w:val="single"/>
        </w:rPr>
      </w:pPr>
    </w:p>
    <w:p w14:paraId="0D85DF3C" w14:textId="77777777" w:rsidR="00100D60" w:rsidRPr="00FF305B" w:rsidRDefault="00100D60" w:rsidP="00100D60">
      <w:pPr>
        <w:rPr>
          <w:u w:val="single"/>
        </w:rPr>
      </w:pPr>
      <w:r w:rsidRPr="00FF305B">
        <w:rPr>
          <w:u w:val="single"/>
        </w:rPr>
        <w:t>Proposed resolution:</w:t>
      </w:r>
    </w:p>
    <w:p w14:paraId="63D1C162" w14:textId="77777777" w:rsidR="00100D60" w:rsidRDefault="00100D60" w:rsidP="00100D60">
      <w:pPr>
        <w:rPr>
          <w:b/>
          <w:sz w:val="24"/>
        </w:rPr>
      </w:pPr>
    </w:p>
    <w:p w14:paraId="00F4BC79" w14:textId="77777777" w:rsidR="00100D60" w:rsidRDefault="00100D60" w:rsidP="00100D60">
      <w:r>
        <w:t>REVISED</w:t>
      </w:r>
    </w:p>
    <w:p w14:paraId="47EF28B3" w14:textId="77777777" w:rsidR="00100D60" w:rsidRDefault="00100D60" w:rsidP="00100D60"/>
    <w:p w14:paraId="3CF94474" w14:textId="77777777" w:rsidR="00100D60" w:rsidRDefault="00100D60" w:rsidP="00100D60">
      <w:r>
        <w:t xml:space="preserve">Make the changes shown under “Proposed changes” for CID xxx in &lt;this document&gt;, which xxx </w:t>
      </w:r>
    </w:p>
    <w:p w14:paraId="390E7D56" w14:textId="77777777"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003BB9">
        <w:tc>
          <w:tcPr>
            <w:tcW w:w="1809" w:type="dxa"/>
          </w:tcPr>
          <w:p w14:paraId="01D8E646" w14:textId="77777777" w:rsidR="00A44E48" w:rsidRDefault="00A44E48" w:rsidP="00003BB9">
            <w:r>
              <w:lastRenderedPageBreak/>
              <w:t>Identifiers</w:t>
            </w:r>
          </w:p>
        </w:tc>
        <w:tc>
          <w:tcPr>
            <w:tcW w:w="4383" w:type="dxa"/>
          </w:tcPr>
          <w:p w14:paraId="7906BEE7" w14:textId="77777777" w:rsidR="00A44E48" w:rsidRDefault="00A44E48" w:rsidP="00003BB9">
            <w:r>
              <w:t>Comment</w:t>
            </w:r>
          </w:p>
        </w:tc>
        <w:tc>
          <w:tcPr>
            <w:tcW w:w="3384" w:type="dxa"/>
          </w:tcPr>
          <w:p w14:paraId="12D69BF5" w14:textId="77777777" w:rsidR="00A44E48" w:rsidRDefault="00A44E48" w:rsidP="00003BB9">
            <w:r>
              <w:t>Proposed change</w:t>
            </w:r>
          </w:p>
        </w:tc>
      </w:tr>
      <w:tr w:rsidR="00A44E48" w:rsidRPr="002C1619" w14:paraId="47FEA3C6" w14:textId="77777777" w:rsidTr="00003BB9">
        <w:tc>
          <w:tcPr>
            <w:tcW w:w="1809" w:type="dxa"/>
          </w:tcPr>
          <w:p w14:paraId="35218E4D" w14:textId="2ADE32D7" w:rsidR="00A44E48" w:rsidRDefault="00A44E48" w:rsidP="00003BB9">
            <w:r>
              <w:t>CID 3271</w:t>
            </w:r>
          </w:p>
          <w:p w14:paraId="635CE86D" w14:textId="77777777" w:rsidR="00A44E48" w:rsidRDefault="00A44E48" w:rsidP="00003BB9">
            <w:r>
              <w:t>Mark RISON</w:t>
            </w:r>
          </w:p>
          <w:p w14:paraId="7E4D903C" w14:textId="0FD613DF" w:rsidR="00A44E48" w:rsidRDefault="00A44E48" w:rsidP="00003BB9">
            <w:r>
              <w:t>C.3</w:t>
            </w:r>
          </w:p>
        </w:tc>
        <w:tc>
          <w:tcPr>
            <w:tcW w:w="4383" w:type="dxa"/>
          </w:tcPr>
          <w:p w14:paraId="00A34A8F" w14:textId="67E80EF7" w:rsidR="00A44E48" w:rsidRPr="002C1619" w:rsidRDefault="00A44E48" w:rsidP="00003BB9">
            <w:r w:rsidRPr="00A44E48">
              <w:t>dot11NonAPStationBroadcastCipherSuite -- don't we also need one for the AP?</w:t>
            </w:r>
          </w:p>
        </w:tc>
        <w:tc>
          <w:tcPr>
            <w:tcW w:w="3384" w:type="dxa"/>
          </w:tcPr>
          <w:p w14:paraId="136FEDB3" w14:textId="06F6E994" w:rsidR="00A44E48" w:rsidRPr="002C1619" w:rsidRDefault="00A44E48" w:rsidP="00003BB9">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w:t>
      </w:r>
      <w:r>
        <w:t>dot11NonAPStationUnicastCipherSuite</w:t>
      </w:r>
      <w:r>
        <w:t xml:space="preserve"> and </w:t>
      </w:r>
      <w:r>
        <w:t>dot11NonAPStationBroadcastCipherSuite</w:t>
      </w:r>
      <w:r>
        <w:t xml:space="preserve"> in </w:t>
      </w:r>
      <w:r w:rsidR="00A76180">
        <w:t>the MIB, but no AP equivalents.</w:t>
      </w:r>
    </w:p>
    <w:p w14:paraId="75B5CA7C" w14:textId="77777777" w:rsidR="00A76180" w:rsidRDefault="00A76180" w:rsidP="00A44E48"/>
    <w:p w14:paraId="5791EBB8" w14:textId="5FC723D0" w:rsidR="00A44E48" w:rsidRDefault="00A44E48" w:rsidP="00A44E48">
      <w:r>
        <w:t xml:space="preserve">The former is mentioned in </w:t>
      </w:r>
      <w:r w:rsidRPr="00A44E48">
        <w:t>R.4.2.5 Link Layer Encryption Method</w:t>
      </w:r>
      <w:r>
        <w:t xml:space="preserve"> (in R.4.2 </w:t>
      </w:r>
      <w:r w:rsidRPr="00A44E48">
        <w:t>SSPN interface parameters</w:t>
      </w:r>
      <w:r>
        <w:t>).  However it is not immediately clear 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6D6D8C4A" w14:textId="5EF3ACA1" w:rsidR="00A76180" w:rsidRDefault="00A76180" w:rsidP="00A76180">
      <w:r w:rsidRPr="00A44E48">
        <w:t xml:space="preserve">Deprecate dot11NonAPStationUnicastCipherSuite and dot11NonAPStationBroadcastCipherSuite and delete </w:t>
      </w:r>
      <w:r>
        <w:t>reference in R.4.2.5?</w:t>
      </w:r>
    </w:p>
    <w:p w14:paraId="1EABED3E" w14:textId="77777777" w:rsidR="00A76180" w:rsidRDefault="00A76180" w:rsidP="00A76180">
      <w:r>
        <w:t>Deprecate dot11NonAPStationBroadcastCipherSuite?</w:t>
      </w:r>
    </w:p>
    <w:p w14:paraId="44B92ED4" w14:textId="77777777" w:rsidR="00A76180" w:rsidRDefault="00A76180" w:rsidP="00A76180">
      <w:pPr>
        <w:rPr>
          <w:u w:val="single"/>
        </w:rPr>
      </w:pPr>
      <w:r>
        <w:t>Add dot11APUnicastCipherSuite (which could be per-STA) and dot11APBroadcastCipherSuite?</w:t>
      </w:r>
    </w:p>
    <w:p w14:paraId="132862F7" w14:textId="77777777" w:rsidR="00A76180" w:rsidRDefault="00A76180" w:rsidP="00A44E48">
      <w:pPr>
        <w:rPr>
          <w:u w:val="single"/>
        </w:rPr>
      </w:pPr>
    </w:p>
    <w:p w14:paraId="05C56C37" w14:textId="30A7099C" w:rsidR="00A44E48" w:rsidRDefault="00A44E48" w:rsidP="00A44E48">
      <w:pPr>
        <w:rPr>
          <w:u w:val="single"/>
        </w:rPr>
      </w:pPr>
      <w:r>
        <w:rPr>
          <w:u w:val="single"/>
        </w:rPr>
        <w:t>Proposed changes</w:t>
      </w:r>
      <w:r w:rsidRPr="00F70C97">
        <w:rPr>
          <w:u w:val="single"/>
        </w:rPr>
        <w:t>:</w:t>
      </w:r>
    </w:p>
    <w:p w14:paraId="01D5285D" w14:textId="77777777" w:rsidR="00A44E48" w:rsidRDefault="00A44E48" w:rsidP="00A44E48">
      <w:pPr>
        <w:rPr>
          <w:u w:val="single"/>
        </w:rPr>
      </w:pPr>
    </w:p>
    <w:p w14:paraId="6CA201A6" w14:textId="77777777" w:rsidR="00A44E48" w:rsidRDefault="00A44E48"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t>REVISED</w:t>
      </w:r>
    </w:p>
    <w:p w14:paraId="3AE62D44" w14:textId="77777777" w:rsidR="00A44E48" w:rsidRDefault="00A44E48" w:rsidP="00A44E48"/>
    <w:p w14:paraId="2B636C29" w14:textId="77777777" w:rsidR="00A44E48" w:rsidRDefault="00A44E48" w:rsidP="00A44E48">
      <w:r>
        <w:t xml:space="preserve">Make the changes shown under “Proposed changes” for CID xxx in &lt;this document&gt;, which xxx </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003BB9">
        <w:tc>
          <w:tcPr>
            <w:tcW w:w="1809" w:type="dxa"/>
          </w:tcPr>
          <w:p w14:paraId="0091A368" w14:textId="77777777" w:rsidR="0054050E" w:rsidRDefault="0054050E" w:rsidP="00003BB9">
            <w:r>
              <w:lastRenderedPageBreak/>
              <w:t>Identifiers</w:t>
            </w:r>
          </w:p>
        </w:tc>
        <w:tc>
          <w:tcPr>
            <w:tcW w:w="4383" w:type="dxa"/>
          </w:tcPr>
          <w:p w14:paraId="6E366AC0" w14:textId="77777777" w:rsidR="0054050E" w:rsidRDefault="0054050E" w:rsidP="00003BB9">
            <w:r>
              <w:t>Comment</w:t>
            </w:r>
          </w:p>
        </w:tc>
        <w:tc>
          <w:tcPr>
            <w:tcW w:w="3384" w:type="dxa"/>
          </w:tcPr>
          <w:p w14:paraId="38AA3AC4" w14:textId="77777777" w:rsidR="0054050E" w:rsidRDefault="0054050E" w:rsidP="00003BB9">
            <w:r>
              <w:t>Proposed change</w:t>
            </w:r>
          </w:p>
        </w:tc>
      </w:tr>
      <w:tr w:rsidR="0054050E" w:rsidRPr="002C1619" w14:paraId="04E5D5E6" w14:textId="77777777" w:rsidTr="00003BB9">
        <w:tc>
          <w:tcPr>
            <w:tcW w:w="1809" w:type="dxa"/>
          </w:tcPr>
          <w:p w14:paraId="2F06EEA7" w14:textId="7855A573" w:rsidR="0054050E" w:rsidRDefault="0054050E" w:rsidP="00003BB9">
            <w:r>
              <w:t>CID 3508</w:t>
            </w:r>
          </w:p>
          <w:p w14:paraId="37FE3CBC" w14:textId="77777777" w:rsidR="0054050E" w:rsidRDefault="0054050E" w:rsidP="00003BB9">
            <w:r>
              <w:t>Mark RISON</w:t>
            </w:r>
          </w:p>
          <w:p w14:paraId="2F6CB763" w14:textId="24B937A6" w:rsidR="0054050E" w:rsidRDefault="0054050E" w:rsidP="00003BB9">
            <w:r>
              <w:t>11.52</w:t>
            </w:r>
          </w:p>
        </w:tc>
        <w:tc>
          <w:tcPr>
            <w:tcW w:w="4383" w:type="dxa"/>
          </w:tcPr>
          <w:p w14:paraId="78C4288E" w14:textId="2EC8A602" w:rsidR="0054050E" w:rsidRPr="002C1619" w:rsidRDefault="0054050E" w:rsidP="00003BB9">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003BB9">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350E91F6" w14:textId="75FE8CB9" w:rsidR="000241E9" w:rsidRDefault="0054050E">
      <w:commentRangeStart w:id="29"/>
      <w:r w:rsidRPr="0054050E">
        <w:t>At the end of the third para of the referenced subclause add "If dot11BeaconProtectionEnabled is true, a non-AP STA shall discard broadcast Probe Response frames received from an associated AP."</w:t>
      </w:r>
      <w:commentRangeEnd w:id="29"/>
      <w:r>
        <w:rPr>
          <w:rStyle w:val="CommentReference"/>
        </w:rPr>
        <w:commentReference w:id="29"/>
      </w:r>
      <w:r w:rsidR="000241E9">
        <w:br w:type="page"/>
      </w:r>
    </w:p>
    <w:p w14:paraId="6140B2CF" w14:textId="3FD6F8AB" w:rsidR="000A241B" w:rsidRDefault="000A241B">
      <w:r>
        <w:lastRenderedPageBreak/>
        <w:t>TBD:</w:t>
      </w:r>
      <w:r w:rsidR="001C66FD">
        <w:br/>
      </w:r>
    </w:p>
    <w:p w14:paraId="54CEB4FE" w14:textId="06AFA84A" w:rsidR="002E1F1B" w:rsidRDefault="00612ED1">
      <w:r>
        <w:t xml:space="preserve"> </w:t>
      </w:r>
      <w:r w:rsidR="002E1F1B">
        <w:t>3233: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B3EE110" w:rsidR="003D048E" w:rsidRDefault="003D048E">
      <w:r>
        <w:t xml:space="preserve">3225: what </w:t>
      </w:r>
      <w:r w:rsidR="007B1730">
        <w:t xml:space="preserve">exactly </w:t>
      </w:r>
      <w:r>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7170348" w:rsidR="00E11C8B" w:rsidRDefault="00F12F4F" w:rsidP="00E11C8B">
      <w:r>
        <w:t>DONE</w:t>
      </w:r>
      <w:r w:rsidR="008C1D04">
        <w:t xml:space="preserve"> </w:t>
      </w:r>
      <w:r w:rsidR="003A7841">
        <w:t>3796: tagged v untagged -- ACCEPT</w:t>
      </w:r>
    </w:p>
    <w:p w14:paraId="20E830AA" w14:textId="034BEB9F" w:rsidR="005852F4" w:rsidRDefault="005852F4" w:rsidP="00E11C8B"/>
    <w:p w14:paraId="228A4E9A" w14:textId="03F682AF" w:rsidR="00315A7E" w:rsidRDefault="008B0FF4">
      <w:r>
        <w:t xml:space="preserve"> </w:t>
      </w:r>
      <w:r w:rsidR="00315A7E">
        <w:t>3693: provide “subfield” locations</w:t>
      </w:r>
    </w:p>
    <w:p w14:paraId="7507B947" w14:textId="7937C8DA" w:rsidR="006D0DA5" w:rsidRPr="008E2ED9" w:rsidRDefault="008B0FF4">
      <w:pPr>
        <w:rPr>
          <w:b/>
        </w:rPr>
      </w:pPr>
      <w:r w:rsidRPr="008E2ED9">
        <w:rPr>
          <w:b/>
        </w:rPr>
        <w:t xml:space="preserve"> </w:t>
      </w:r>
      <w:r w:rsidR="006D0DA5" w:rsidRPr="008E2ED9">
        <w:rPr>
          <w:b/>
        </w:rPr>
        <w:t>3726: “MIB attribute” in C.3</w:t>
      </w:r>
      <w:r w:rsidR="009B720D" w:rsidRPr="008E2ED9">
        <w:rPr>
          <w:b/>
        </w:rPr>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2A43B2F4" w:rsidR="009566D1" w:rsidRDefault="008657BC">
      <w:r>
        <w:t xml:space="preserve"> </w:t>
      </w:r>
      <w:r w:rsidR="009566D1">
        <w:t>3289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6"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134C4220" w:rsidR="00F13294" w:rsidRDefault="00F13294">
      <w:r>
        <w:t xml:space="preserve"> 3181: operating class of the advertised BSS’s channel (channel has attributes OC and index); or maybe make 1.4/1.5 comment about OC of BSS/AP means OC of channel on which BSS/AP operates</w:t>
      </w:r>
    </w:p>
    <w:p w14:paraId="68A56AB3" w14:textId="5717034A" w:rsidR="006426C7" w:rsidRDefault="00C451E5">
      <w:r>
        <w:t xml:space="preserve"> 3697 d</w:t>
      </w:r>
      <w:r w:rsidRPr="00C451E5">
        <w:t>elete dot11STACivicLocation</w:t>
      </w:r>
    </w:p>
    <w:p w14:paraId="28E60F97" w14:textId="28276D94" w:rsidR="00C451E5" w:rsidRDefault="00C451E5">
      <w:r>
        <w:t xml:space="preserve"> 3694 </w:t>
      </w:r>
      <w:r w:rsidRPr="00C451E5">
        <w:t>Why is there a MIB variable dot11VHTN</w:t>
      </w:r>
      <w:r>
        <w:t xml:space="preserve">umberSoundingDimensions but not </w:t>
      </w:r>
      <w:r w:rsidRPr="00C451E5">
        <w:t>dot11VHTBeamformeeSTSCapability</w:t>
      </w:r>
      <w:r w:rsidRPr="00C451E5">
        <w:tab/>
        <w:t>Add a MIB attribute dot11VHTBeamformeeSTSCapability</w:t>
      </w:r>
    </w:p>
    <w:p w14:paraId="0BA38436" w14:textId="115A23EC" w:rsidR="00A44E48" w:rsidRPr="00A76180" w:rsidRDefault="00A44E48">
      <w:pPr>
        <w:rPr>
          <w:rFonts w:eastAsia="Times New Roman"/>
          <w:szCs w:val="22"/>
          <w:lang w:eastAsia="ja-JP"/>
        </w:rPr>
      </w:pPr>
      <w:r w:rsidRPr="00A76180">
        <w:rPr>
          <w:szCs w:val="22"/>
        </w:rPr>
        <w:t xml:space="preserve"> 3408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1C48176B" w14:textId="77777777" w:rsidR="00C451E5" w:rsidRDefault="00C451E5"/>
    <w:p w14:paraId="030831DB" w14:textId="79D44B26" w:rsidR="009C3E09" w:rsidRPr="00896929" w:rsidRDefault="008E2ED9" w:rsidP="009C3E09">
      <w:r>
        <w:t xml:space="preserve"> </w:t>
      </w:r>
      <w:r w:rsidR="009C3E09">
        <w:t>3175 how Action frames are described</w:t>
      </w:r>
    </w:p>
    <w:p w14:paraId="6DD65038" w14:textId="60373A48" w:rsidR="0085219B" w:rsidRPr="0085219B" w:rsidRDefault="00612ED1">
      <w:pPr>
        <w:rPr>
          <w:i/>
        </w:rPr>
      </w:pPr>
      <w:r>
        <w:t xml:space="preserve"> </w:t>
      </w:r>
      <w:r w:rsidR="0085219B">
        <w:t>3375/3514: “</w:t>
      </w:r>
      <w:r w:rsidR="0085219B" w:rsidRPr="0085219B">
        <w:t>Its value is determined by device capabilities</w:t>
      </w:r>
      <w:r w:rsidR="0085219B">
        <w:t>” (also post to reflector)</w:t>
      </w:r>
      <w:r>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391DC33B" w:rsidR="00AE3CD5" w:rsidRDefault="00B7226E">
      <w:r>
        <w:t xml:space="preserve"> </w:t>
      </w:r>
      <w:r w:rsidR="00AE3CD5">
        <w:t>3361: locations for uppercase frame in 3.1/3.2</w:t>
      </w:r>
    </w:p>
    <w:p w14:paraId="45D790E4" w14:textId="70B48889" w:rsidR="00004A3E" w:rsidRDefault="00004A3E">
      <w:r>
        <w:lastRenderedPageBreak/>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613B2CDF" w:rsidR="00257C6D" w:rsidRDefault="00AE3F31" w:rsidP="00716EF9">
      <w:r>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17"/>
      <w:footerReference w:type="default" r:id="rId1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12-03T11:06:00Z" w:initials="mgr">
    <w:p w14:paraId="37DB5E51" w14:textId="7F6FB2A5" w:rsidR="00BA5D5B" w:rsidRPr="004A7A03" w:rsidRDefault="00BA5D5B">
      <w:pPr>
        <w:pStyle w:val="CommentText"/>
      </w:pPr>
      <w:r>
        <w:rPr>
          <w:rStyle w:val="CommentReference"/>
        </w:rPr>
        <w:annotationRef/>
      </w:r>
      <w:r>
        <w:t>Or subelements?</w:t>
      </w:r>
    </w:p>
  </w:comment>
  <w:comment w:id="1" w:author="Mark Rison" w:date="2022-12-05T13:56:00Z" w:initials="mgr">
    <w:p w14:paraId="167E48E7" w14:textId="5A70DBCF" w:rsidR="00BA5D5B" w:rsidRDefault="00BA5D5B">
      <w:pPr>
        <w:pStyle w:val="CommentText"/>
      </w:pPr>
      <w:r>
        <w:rPr>
          <w:rStyle w:val="CommentReference"/>
        </w:rPr>
        <w:annotationRef/>
      </w:r>
      <w:r>
        <w:t>This is the only thing I can think of that works, but it does mean you don’t know which channels are supported on other bands</w:t>
      </w:r>
    </w:p>
  </w:comment>
  <w:comment w:id="2" w:author="Mark Rison" w:date="2022-11-28T09:48:00Z" w:initials="mgr">
    <w:p w14:paraId="79E3D86E" w14:textId="15EB4968" w:rsidR="00BA5D5B" w:rsidRDefault="00BA5D5B">
      <w:pPr>
        <w:pStyle w:val="CommentText"/>
      </w:pPr>
      <w:r>
        <w:rPr>
          <w:rStyle w:val="CommentReference"/>
        </w:rPr>
        <w:annotationRef/>
      </w:r>
      <w:r>
        <w:t>Hm, wonder if we obey this…</w:t>
      </w:r>
    </w:p>
  </w:comment>
  <w:comment w:id="3" w:author="Mark Rison" w:date="2023-01-27T13:50:00Z" w:initials="mgr">
    <w:p w14:paraId="56E031E7" w14:textId="0BFC594D" w:rsidR="00CA26A7" w:rsidRDefault="00CA26A7">
      <w:pPr>
        <w:pStyle w:val="CommentText"/>
      </w:pPr>
      <w:r>
        <w:rPr>
          <w:rStyle w:val="CommentReference"/>
        </w:rPr>
        <w:annotationRef/>
      </w:r>
      <w:r>
        <w:t>But RFC 2578 is not referred to in the standard.  Add to the bibliography?</w:t>
      </w:r>
    </w:p>
  </w:comment>
  <w:comment w:id="4" w:author="Mark Rison" w:date="2022-11-28T12:29:00Z" w:initials="mgr">
    <w:p w14:paraId="31DF454A" w14:textId="485B85FD" w:rsidR="00BA5D5B" w:rsidRDefault="00BA5D5B">
      <w:pPr>
        <w:pStyle w:val="CommentText"/>
      </w:pPr>
      <w:r>
        <w:rPr>
          <w:rStyle w:val="CommentReference"/>
        </w:rPr>
        <w:annotationRef/>
      </w:r>
      <w:r>
        <w:t xml:space="preserve"> Duplication.  Delete and change previous sentence to just “The format of an ERP-OFDM PPDU is described in […]”?</w:t>
      </w:r>
    </w:p>
  </w:comment>
  <w:comment w:id="5" w:author="Mark Rison" w:date="2022-11-28T12:27:00Z" w:initials="mgr">
    <w:p w14:paraId="447A8347" w14:textId="505B55CE" w:rsidR="00BA5D5B" w:rsidRDefault="00BA5D5B">
      <w:pPr>
        <w:pStyle w:val="CommentText"/>
      </w:pPr>
      <w:r>
        <w:rPr>
          <w:rStyle w:val="CommentReference"/>
        </w:rPr>
        <w:annotationRef/>
      </w:r>
      <w:r>
        <w:t>+/CCK?</w:t>
      </w:r>
    </w:p>
  </w:comment>
  <w:comment w:id="6" w:author="Mark Rison" w:date="2022-11-28T12:27:00Z" w:initials="mgr">
    <w:p w14:paraId="3212778E" w14:textId="25F7C7B9" w:rsidR="00BA5D5B" w:rsidRDefault="00BA5D5B">
      <w:pPr>
        <w:pStyle w:val="CommentText"/>
      </w:pPr>
      <w:r>
        <w:rPr>
          <w:rStyle w:val="CommentReference"/>
        </w:rPr>
        <w:annotationRef/>
      </w:r>
      <w:r>
        <w:t>+/CCK?</w:t>
      </w:r>
    </w:p>
  </w:comment>
  <w:comment w:id="7" w:author="Mark Rison" w:date="2022-11-28T12:27:00Z" w:initials="mgr">
    <w:p w14:paraId="5B790D1F" w14:textId="3B0DCAAB" w:rsidR="00BA5D5B" w:rsidRDefault="00BA5D5B">
      <w:pPr>
        <w:pStyle w:val="CommentText"/>
      </w:pPr>
      <w:r>
        <w:rPr>
          <w:rStyle w:val="CommentReference"/>
        </w:rPr>
        <w:annotationRef/>
      </w:r>
      <w:r>
        <w:t>+DSSS/?</w:t>
      </w:r>
    </w:p>
  </w:comment>
  <w:comment w:id="8" w:author="Mark Rison" w:date="2022-11-28T12:28:00Z" w:initials="mgr">
    <w:p w14:paraId="69B96CAC" w14:textId="678C48D0" w:rsidR="00BA5D5B" w:rsidRDefault="00BA5D5B">
      <w:pPr>
        <w:pStyle w:val="CommentText"/>
      </w:pPr>
      <w:r>
        <w:rPr>
          <w:rStyle w:val="CommentReference"/>
        </w:rPr>
        <w:annotationRef/>
      </w:r>
      <w:r>
        <w:t>+/CCK?</w:t>
      </w:r>
    </w:p>
  </w:comment>
  <w:comment w:id="9" w:author="Mark Rison" w:date="2022-12-04T17:20:00Z" w:initials="mgr">
    <w:p w14:paraId="3F6E425E" w14:textId="5A12FF7F" w:rsidR="00BA5D5B" w:rsidRDefault="00BA5D5B">
      <w:pPr>
        <w:pStyle w:val="CommentText"/>
      </w:pPr>
      <w:r>
        <w:rPr>
          <w:rStyle w:val="CommentReference"/>
        </w:rPr>
        <w:annotationRef/>
      </w:r>
      <w:r>
        <w:t>Is this kind of thing allowed?</w:t>
      </w:r>
    </w:p>
  </w:comment>
  <w:comment w:id="10" w:author="Mark Rison" w:date="2022-12-04T17:20:00Z" w:initials="mgr">
    <w:p w14:paraId="5CEEB01F" w14:textId="4A1553E0" w:rsidR="00BA5D5B" w:rsidRDefault="00BA5D5B">
      <w:pPr>
        <w:pStyle w:val="CommentText"/>
      </w:pPr>
      <w:r>
        <w:rPr>
          <w:rStyle w:val="CommentReference"/>
        </w:rPr>
        <w:annotationRef/>
      </w:r>
      <w:r>
        <w:t>Are calculations allowed?</w:t>
      </w:r>
    </w:p>
  </w:comment>
  <w:comment w:id="11" w:author="Mark Rison" w:date="2022-12-02T17:54:00Z" w:initials="mgr">
    <w:p w14:paraId="129AD6F8" w14:textId="65BBF8ED" w:rsidR="00BA5D5B" w:rsidRDefault="00BA5D5B">
      <w:pPr>
        <w:pStyle w:val="CommentText"/>
      </w:pPr>
      <w:r>
        <w:rPr>
          <w:rStyle w:val="CommentReference"/>
        </w:rPr>
        <w:annotationRef/>
      </w:r>
      <w:r>
        <w:t>Is this good enough?  At 2922.45 it’s just a vague “MIC”</w:t>
      </w:r>
    </w:p>
  </w:comment>
  <w:comment w:id="12" w:author="Mark Rison" w:date="2022-12-07T13:50:00Z" w:initials="mgr">
    <w:p w14:paraId="6C6D79A6" w14:textId="5770FEB6" w:rsidR="00BA5D5B" w:rsidRDefault="00BA5D5B">
      <w:pPr>
        <w:pStyle w:val="CommentText"/>
      </w:pPr>
      <w:r>
        <w:rPr>
          <w:rStyle w:val="CommentReference"/>
        </w:rPr>
        <w:annotationRef/>
      </w:r>
      <w:r>
        <w:t>Or “</w:t>
      </w:r>
      <w:r w:rsidRPr="00124AAE">
        <w:t>See corresponding entry in Table 19-1 (TXVECTOR and RXVECTOR parameters)</w:t>
      </w:r>
      <w:r>
        <w:t>.”?</w:t>
      </w:r>
    </w:p>
  </w:comment>
  <w:comment w:id="13" w:author="Mark Rison" w:date="2022-12-07T21:30:00Z" w:initials="mgr">
    <w:p w14:paraId="201210CB" w14:textId="68F0BA73" w:rsidR="00BA5D5B" w:rsidRDefault="00BA5D5B">
      <w:pPr>
        <w:pStyle w:val="CommentText"/>
      </w:pPr>
      <w:r>
        <w:rPr>
          <w:rStyle w:val="CommentReference"/>
        </w:rPr>
        <w:annotationRef/>
      </w:r>
      <w:r>
        <w:t>Or is the opposite, i.e. with the deletion of those fields these frames are no longer allowed in those contexts ever?</w:t>
      </w:r>
    </w:p>
  </w:comment>
  <w:comment w:id="14" w:author="Mark Rison" w:date="2023-01-18T18:42:00Z" w:initials="mgr">
    <w:p w14:paraId="18427B73" w14:textId="7CD9A179" w:rsidR="00BA5D5B" w:rsidRDefault="00BA5D5B">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5" w:author="Mark Rison" w:date="2022-12-10T09:48:00Z" w:initials="mgr">
    <w:p w14:paraId="3D85AF30" w14:textId="3BE2A4FC" w:rsidR="00BA5D5B" w:rsidRDefault="00BA5D5B">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6" w:author="Mark Rison" w:date="2022-12-12T12:26:00Z" w:initials="mgr">
    <w:p w14:paraId="1AFC0FD3" w14:textId="3121BE83" w:rsidR="00BA5D5B" w:rsidRDefault="00BA5D5B">
      <w:pPr>
        <w:pStyle w:val="CommentText"/>
      </w:pPr>
      <w:r>
        <w:rPr>
          <w:rStyle w:val="CommentReference"/>
        </w:rPr>
        <w:annotationRef/>
      </w:r>
      <w:r>
        <w:t>?</w:t>
      </w:r>
    </w:p>
  </w:comment>
  <w:comment w:id="17" w:author="Mark Rison" w:date="2023-01-06T14:15:00Z" w:initials="mgr">
    <w:p w14:paraId="01F5DB7A" w14:textId="398DAB68" w:rsidR="00BA5D5B" w:rsidRDefault="00BA5D5B">
      <w:pPr>
        <w:pStyle w:val="CommentText"/>
      </w:pPr>
      <w:r>
        <w:rPr>
          <w:rStyle w:val="CommentReference"/>
        </w:rPr>
        <w:annotationRef/>
      </w:r>
      <w:r>
        <w:t>Or are they still used at the recipient?</w:t>
      </w:r>
    </w:p>
  </w:comment>
  <w:comment w:id="18" w:author="Mark Rison" w:date="2023-01-09T18:03:00Z" w:initials="mgr">
    <w:p w14:paraId="7A1AA18E" w14:textId="32F09E3C" w:rsidR="00BA5D5B" w:rsidRDefault="00BA5D5B">
      <w:pPr>
        <w:pStyle w:val="CommentText"/>
      </w:pPr>
      <w:r>
        <w:rPr>
          <w:rStyle w:val="CommentReference"/>
        </w:rPr>
        <w:annotationRef/>
      </w:r>
      <w:r>
        <w:t xml:space="preserve">Why isn’t this in </w:t>
      </w:r>
      <w:r w:rsidRPr="00B615F9">
        <w:t>Figure 9-810—Request Tuple field format</w:t>
      </w:r>
      <w:r>
        <w:t>?</w:t>
      </w:r>
    </w:p>
  </w:comment>
  <w:comment w:id="19" w:author="Mark Rison" w:date="2023-01-09T17:15:00Z" w:initials="mgr">
    <w:p w14:paraId="66F678F6" w14:textId="0B3F57AB" w:rsidR="00BA5D5B" w:rsidRDefault="00BA5D5B">
      <w:pPr>
        <w:pStyle w:val="CommentText"/>
      </w:pPr>
      <w:r>
        <w:rPr>
          <w:rStyle w:val="CommentReference"/>
        </w:rPr>
        <w:annotationRef/>
      </w:r>
      <w:r>
        <w:t>Or change to ignore?  Ditto up to and excluding 2686.32</w:t>
      </w:r>
    </w:p>
  </w:comment>
  <w:comment w:id="20" w:author="Mark Rison" w:date="2023-01-09T17:36:00Z" w:initials="mgr">
    <w:p w14:paraId="6602F27F" w14:textId="076A0106" w:rsidR="00BA5D5B" w:rsidRDefault="00BA5D5B">
      <w:pPr>
        <w:pStyle w:val="CommentText"/>
      </w:pPr>
      <w:r>
        <w:rPr>
          <w:rStyle w:val="CommentReference"/>
        </w:rPr>
        <w:annotationRef/>
      </w:r>
      <w:r>
        <w:t>Or losing?  Missing?  Failing to receive?  Ditto to end</w:t>
      </w:r>
    </w:p>
  </w:comment>
  <w:comment w:id="21" w:author="Mark Rison" w:date="2023-01-09T18:14:00Z" w:initials="mgr">
    <w:p w14:paraId="44F88CE5" w14:textId="0AEC5BC7" w:rsidR="00BA5D5B" w:rsidRDefault="00BA5D5B">
      <w:pPr>
        <w:pStyle w:val="CommentText"/>
      </w:pPr>
      <w:r>
        <w:rPr>
          <w:rStyle w:val="CommentReference"/>
        </w:rPr>
        <w:annotationRef/>
      </w:r>
      <w:r>
        <w:t>?</w:t>
      </w:r>
    </w:p>
  </w:comment>
  <w:comment w:id="22" w:author="Mark Rison" w:date="2023-01-09T18:15:00Z" w:initials="mgr">
    <w:p w14:paraId="0129EB9D" w14:textId="6986156D" w:rsidR="00BA5D5B" w:rsidRDefault="00BA5D5B">
      <w:pPr>
        <w:pStyle w:val="CommentText"/>
      </w:pPr>
      <w:r>
        <w:rPr>
          <w:rStyle w:val="CommentReference"/>
        </w:rPr>
        <w:annotationRef/>
      </w:r>
      <w:r>
        <w:t>+frame</w:t>
      </w:r>
    </w:p>
  </w:comment>
  <w:comment w:id="23" w:author="Mark Rison" w:date="2023-01-09T18:20:00Z" w:initials="mgr">
    <w:p w14:paraId="57E0C254" w14:textId="0EE5345F" w:rsidR="00BA5D5B" w:rsidRDefault="00BA5D5B">
      <w:pPr>
        <w:pStyle w:val="CommentText"/>
      </w:pPr>
      <w:r>
        <w:rPr>
          <w:rStyle w:val="CommentReference"/>
        </w:rPr>
        <w:annotationRef/>
      </w:r>
      <w:r>
        <w:t>?</w:t>
      </w:r>
    </w:p>
  </w:comment>
  <w:comment w:id="24" w:author="Mark Rison" w:date="2023-01-13T16:08:00Z" w:initials="mgr">
    <w:p w14:paraId="6A5B0EFC" w14:textId="673140B3" w:rsidR="00BA5D5B" w:rsidRDefault="00BA5D5B">
      <w:pPr>
        <w:pStyle w:val="CommentText"/>
      </w:pPr>
      <w:r>
        <w:rPr>
          <w:rStyle w:val="CommentReference"/>
        </w:rPr>
        <w:annotationRef/>
      </w:r>
      <w:r>
        <w:t>?</w:t>
      </w:r>
    </w:p>
  </w:comment>
  <w:comment w:id="25" w:author="Mark Rison" w:date="2023-01-26T18:47:00Z" w:initials="mgr">
    <w:p w14:paraId="10177884" w14:textId="2CFB0735" w:rsidR="007B10E5" w:rsidRDefault="007B10E5">
      <w:pPr>
        <w:pStyle w:val="CommentText"/>
      </w:pPr>
      <w:r>
        <w:rPr>
          <w:rStyle w:val="CommentReference"/>
        </w:rPr>
        <w:annotationRef/>
      </w:r>
      <w:r>
        <w:t>Hm…</w:t>
      </w:r>
    </w:p>
  </w:comment>
  <w:comment w:id="26" w:author="Mark Rison" w:date="2023-01-26T19:53:00Z" w:initials="mgr">
    <w:p w14:paraId="167D3418" w14:textId="26436C47" w:rsidR="0070601A" w:rsidRDefault="0070601A">
      <w:pPr>
        <w:pStyle w:val="CommentText"/>
      </w:pPr>
      <w:r>
        <w:rPr>
          <w:rStyle w:val="CommentReference"/>
        </w:rPr>
        <w:annotationRef/>
      </w:r>
      <w:r>
        <w:t>Why are we saying this twice?</w:t>
      </w:r>
    </w:p>
  </w:comment>
  <w:comment w:id="27" w:author="Mark Rison" w:date="2023-01-26T18:56:00Z" w:initials="mgr">
    <w:p w14:paraId="6AC01D7D" w14:textId="26EB6C1E" w:rsidR="00BF483F" w:rsidRDefault="00BF483F">
      <w:pPr>
        <w:pStyle w:val="CommentText"/>
      </w:pPr>
      <w:r>
        <w:rPr>
          <w:rStyle w:val="CommentReference"/>
        </w:rPr>
        <w:annotationRef/>
      </w:r>
      <w:r>
        <w:t>sic</w:t>
      </w:r>
    </w:p>
  </w:comment>
  <w:comment w:id="29" w:author="Mark Rison" w:date="2023-01-27T13:45:00Z" w:initials="mgr">
    <w:p w14:paraId="3D88E2B4" w14:textId="2B05D16E" w:rsidR="0054050E" w:rsidRDefault="0054050E">
      <w:pPr>
        <w:pStyle w:val="CommentText"/>
      </w:pPr>
      <w:r>
        <w:rPr>
          <w:rStyle w:val="CommentReference"/>
        </w:rPr>
        <w:annotationRef/>
      </w:r>
      <w:r>
        <w:t>… except for the EDCA Parameters element, if not passed in beacons?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10177884" w15:done="0"/>
  <w15:commentEx w15:paraId="167D3418" w15:done="0"/>
  <w15:commentEx w15:paraId="6AC01D7D" w15:done="0"/>
  <w15:commentEx w15:paraId="3D88E2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A4C5" w14:textId="77777777" w:rsidR="00396200" w:rsidRDefault="00396200">
      <w:r>
        <w:separator/>
      </w:r>
    </w:p>
  </w:endnote>
  <w:endnote w:type="continuationSeparator" w:id="0">
    <w:p w14:paraId="6C4F46F1" w14:textId="77777777" w:rsidR="00396200" w:rsidRDefault="0039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4B748FE" w:rsidR="00BA5D5B" w:rsidRDefault="00BA5D5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E68D3">
      <w:rPr>
        <w:noProof/>
      </w:rPr>
      <w:t>92</w:t>
    </w:r>
    <w:r>
      <w:rPr>
        <w:noProof/>
      </w:rPr>
      <w:fldChar w:fldCharType="end"/>
    </w:r>
    <w:r>
      <w:tab/>
    </w:r>
    <w:fldSimple w:instr=" COMMENTS  \* MERGEFORMAT ">
      <w:r>
        <w:t>Mark RISON (Samsung)</w:t>
      </w:r>
    </w:fldSimple>
  </w:p>
  <w:p w14:paraId="38435E49" w14:textId="77777777" w:rsidR="00BA5D5B" w:rsidRDefault="00BA5D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CED7" w14:textId="77777777" w:rsidR="00396200" w:rsidRDefault="00396200">
      <w:r>
        <w:separator/>
      </w:r>
    </w:p>
  </w:footnote>
  <w:footnote w:type="continuationSeparator" w:id="0">
    <w:p w14:paraId="1C36EF35" w14:textId="77777777" w:rsidR="00396200" w:rsidRDefault="0039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3595C68" w:rsidR="00BA5D5B" w:rsidRDefault="00BA5D5B">
    <w:pPr>
      <w:pStyle w:val="Header"/>
      <w:tabs>
        <w:tab w:val="clear" w:pos="6480"/>
        <w:tab w:val="center" w:pos="4680"/>
        <w:tab w:val="right" w:pos="9360"/>
      </w:tabs>
    </w:pPr>
    <w:fldSimple w:instr=" KEYWORDS  \* MERGEFORMAT ">
      <w:r w:rsidR="00CB4B80">
        <w:t>March 2023</w:t>
      </w:r>
    </w:fldSimple>
    <w:r>
      <w:tab/>
    </w:r>
    <w:r>
      <w:tab/>
    </w:r>
    <w:fldSimple w:instr=" TITLE  \* MERGEFORMAT ">
      <w:r>
        <w:t>doc.: IEEE 802.11-22/2069r3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12"/>
  </w:num>
  <w:num w:numId="5">
    <w:abstractNumId w:val="8"/>
  </w:num>
  <w:num w:numId="6">
    <w:abstractNumId w:val="20"/>
  </w:num>
  <w:num w:numId="7">
    <w:abstractNumId w:val="15"/>
  </w:num>
  <w:num w:numId="8">
    <w:abstractNumId w:val="3"/>
  </w:num>
  <w:num w:numId="9">
    <w:abstractNumId w:val="5"/>
  </w:num>
  <w:num w:numId="10">
    <w:abstractNumId w:val="16"/>
  </w:num>
  <w:num w:numId="11">
    <w:abstractNumId w:val="13"/>
  </w:num>
  <w:num w:numId="12">
    <w:abstractNumId w:val="17"/>
  </w:num>
  <w:num w:numId="13">
    <w:abstractNumId w:val="1"/>
  </w:num>
  <w:num w:numId="14">
    <w:abstractNumId w:val="10"/>
  </w:num>
  <w:num w:numId="15">
    <w:abstractNumId w:val="9"/>
  </w:num>
  <w:num w:numId="16">
    <w:abstractNumId w:val="4"/>
  </w:num>
  <w:num w:numId="17">
    <w:abstractNumId w:val="7"/>
  </w:num>
  <w:num w:numId="18">
    <w:abstractNumId w:val="19"/>
  </w:num>
  <w:num w:numId="19">
    <w:abstractNumId w:val="6"/>
  </w:num>
  <w:num w:numId="20">
    <w:abstractNumId w:val="2"/>
  </w:num>
  <w:num w:numId="2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2226"/>
    <w:rsid w:val="0008223B"/>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5DC"/>
    <w:rsid w:val="000B26DD"/>
    <w:rsid w:val="000B2A18"/>
    <w:rsid w:val="000B2CCB"/>
    <w:rsid w:val="000B300F"/>
    <w:rsid w:val="000B325C"/>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648"/>
    <w:rsid w:val="000D5B99"/>
    <w:rsid w:val="000D5D11"/>
    <w:rsid w:val="000D5EB4"/>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A03"/>
    <w:rsid w:val="004A7A5B"/>
    <w:rsid w:val="004A7CF4"/>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2EEE"/>
    <w:rsid w:val="004B3292"/>
    <w:rsid w:val="004B363D"/>
    <w:rsid w:val="004B38EC"/>
    <w:rsid w:val="004B3BBA"/>
    <w:rsid w:val="004B40D0"/>
    <w:rsid w:val="004B450C"/>
    <w:rsid w:val="004B49CA"/>
    <w:rsid w:val="004B4C5E"/>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DEF"/>
    <w:rsid w:val="004C3519"/>
    <w:rsid w:val="004C3650"/>
    <w:rsid w:val="004C39DB"/>
    <w:rsid w:val="004C3C41"/>
    <w:rsid w:val="004C45A5"/>
    <w:rsid w:val="004C4C3F"/>
    <w:rsid w:val="004C51B3"/>
    <w:rsid w:val="004C55A1"/>
    <w:rsid w:val="004C5A38"/>
    <w:rsid w:val="004C62FC"/>
    <w:rsid w:val="004C6435"/>
    <w:rsid w:val="004C6755"/>
    <w:rsid w:val="004C69EA"/>
    <w:rsid w:val="004C6D00"/>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82F"/>
    <w:rsid w:val="004E5A08"/>
    <w:rsid w:val="004E6906"/>
    <w:rsid w:val="004E6A0A"/>
    <w:rsid w:val="004E73C8"/>
    <w:rsid w:val="004E765C"/>
    <w:rsid w:val="004E7B80"/>
    <w:rsid w:val="004E7E6F"/>
    <w:rsid w:val="004F00D6"/>
    <w:rsid w:val="004F01FA"/>
    <w:rsid w:val="004F07B7"/>
    <w:rsid w:val="004F0850"/>
    <w:rsid w:val="004F0ACB"/>
    <w:rsid w:val="004F1436"/>
    <w:rsid w:val="004F1548"/>
    <w:rsid w:val="004F1743"/>
    <w:rsid w:val="004F1D39"/>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78C"/>
    <w:rsid w:val="00543EAF"/>
    <w:rsid w:val="0054504D"/>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E1"/>
    <w:rsid w:val="00576E05"/>
    <w:rsid w:val="00576E70"/>
    <w:rsid w:val="00576F2D"/>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5B4"/>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596"/>
    <w:rsid w:val="0063689B"/>
    <w:rsid w:val="00636A62"/>
    <w:rsid w:val="00636A7B"/>
    <w:rsid w:val="00636A98"/>
    <w:rsid w:val="00636FD4"/>
    <w:rsid w:val="006371F0"/>
    <w:rsid w:val="006374B3"/>
    <w:rsid w:val="0064035C"/>
    <w:rsid w:val="0064090D"/>
    <w:rsid w:val="00640E7E"/>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49C"/>
    <w:rsid w:val="006C6AF2"/>
    <w:rsid w:val="006C720F"/>
    <w:rsid w:val="006C74BC"/>
    <w:rsid w:val="006C78F5"/>
    <w:rsid w:val="006D0D78"/>
    <w:rsid w:val="006D0DA5"/>
    <w:rsid w:val="006D159E"/>
    <w:rsid w:val="006D1880"/>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A2"/>
    <w:rsid w:val="00775BD0"/>
    <w:rsid w:val="007765BB"/>
    <w:rsid w:val="00776751"/>
    <w:rsid w:val="007767F2"/>
    <w:rsid w:val="00777585"/>
    <w:rsid w:val="007776CB"/>
    <w:rsid w:val="0078001F"/>
    <w:rsid w:val="007802AC"/>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518"/>
    <w:rsid w:val="007B7829"/>
    <w:rsid w:val="007B788A"/>
    <w:rsid w:val="007B7D45"/>
    <w:rsid w:val="007B7E67"/>
    <w:rsid w:val="007C07D0"/>
    <w:rsid w:val="007C0901"/>
    <w:rsid w:val="007C09F8"/>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1E5"/>
    <w:rsid w:val="008A4486"/>
    <w:rsid w:val="008A489F"/>
    <w:rsid w:val="008A523F"/>
    <w:rsid w:val="008A53D0"/>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7EA"/>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093"/>
    <w:rsid w:val="009756C6"/>
    <w:rsid w:val="00975C42"/>
    <w:rsid w:val="0097606C"/>
    <w:rsid w:val="009768CB"/>
    <w:rsid w:val="00976D13"/>
    <w:rsid w:val="00977198"/>
    <w:rsid w:val="009776C6"/>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2B"/>
    <w:rsid w:val="009D3191"/>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911"/>
    <w:rsid w:val="00BF6DDA"/>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64FA"/>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42FC"/>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25BD"/>
    <w:rsid w:val="00E52D5F"/>
    <w:rsid w:val="00E52E74"/>
    <w:rsid w:val="00E532D8"/>
    <w:rsid w:val="00E53595"/>
    <w:rsid w:val="00E5362E"/>
    <w:rsid w:val="00E53702"/>
    <w:rsid w:val="00E53D1F"/>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FCE"/>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754"/>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67A784F-7FFE-46A3-91AB-FDE462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0E"/>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802.org/11/email/stds-802-11-tgm/msg02488.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rfc-editor.org/rfc/rfc257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2D62B-9596-4162-963C-7223894D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16795</TotalTime>
  <Pages>99</Pages>
  <Words>27878</Words>
  <Characters>158905</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doc.: IEEE 802.11-22/2069r3</vt:lpstr>
    </vt:vector>
  </TitlesOfParts>
  <Company>Some Company</Company>
  <LinksUpToDate>false</LinksUpToDate>
  <CharactersWithSpaces>186411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802.11-22/2069r3</dc:title>
  <dc:subject>Submission</dc:subject>
  <dc:creator>Mark RISON</dc:creator>
  <cp:keywords>March 2023</cp:keywords>
  <dc:description/>
  <cp:lastModifiedBy>Mark Rison</cp:lastModifiedBy>
  <cp:revision>214</cp:revision>
  <cp:lastPrinted>2015-09-03T00:05:00Z</cp:lastPrinted>
  <dcterms:created xsi:type="dcterms:W3CDTF">2022-12-16T20:45:00Z</dcterms:created>
  <dcterms:modified xsi:type="dcterms:W3CDTF">2023-01-27T14:25:00Z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