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827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01</w:t>
            </w:r>
            <w:r w:rsidR="00CF1A74">
              <w:rPr>
                <w:b w:val="0"/>
                <w:sz w:val="24"/>
                <w:szCs w:val="24"/>
              </w:rPr>
              <w:t>-</w:t>
            </w:r>
            <w:r w:rsidR="0082767E">
              <w:rPr>
                <w:b w:val="0"/>
                <w:sz w:val="24"/>
                <w:szCs w:val="24"/>
              </w:rPr>
              <w:t>09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EA75F8"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Pr="00AF5026" w:rsidRDefault="00606B79" w:rsidP="00FE5BBB">
      <w:pPr>
        <w:rPr>
          <w:sz w:val="24"/>
          <w:szCs w:val="24"/>
          <w:highlight w:val="green"/>
        </w:rPr>
      </w:pPr>
      <w:r w:rsidRPr="00AF5026">
        <w:rPr>
          <w:sz w:val="24"/>
          <w:szCs w:val="24"/>
          <w:highlight w:val="green"/>
        </w:rPr>
        <w:t>3195, 3196</w:t>
      </w:r>
      <w:r w:rsidR="0068473E" w:rsidRPr="00AF5026">
        <w:rPr>
          <w:sz w:val="24"/>
          <w:szCs w:val="24"/>
          <w:highlight w:val="green"/>
        </w:rPr>
        <w:t>, 3335</w:t>
      </w:r>
      <w:r w:rsidR="0050449F" w:rsidRPr="00AF5026">
        <w:rPr>
          <w:sz w:val="24"/>
          <w:szCs w:val="24"/>
          <w:highlight w:val="green"/>
        </w:rPr>
        <w:t>, 3391</w:t>
      </w:r>
      <w:r w:rsidR="00A37F01" w:rsidRPr="00AF5026">
        <w:rPr>
          <w:sz w:val="24"/>
          <w:szCs w:val="24"/>
          <w:highlight w:val="green"/>
        </w:rPr>
        <w:t>, 3416</w:t>
      </w:r>
      <w:r w:rsidR="0072314B" w:rsidRPr="00AF5026">
        <w:rPr>
          <w:sz w:val="24"/>
          <w:szCs w:val="24"/>
          <w:highlight w:val="green"/>
        </w:rPr>
        <w:t xml:space="preserve">, 3550, </w:t>
      </w:r>
      <w:r w:rsidR="00D25EDD" w:rsidRPr="00AF5026">
        <w:rPr>
          <w:sz w:val="24"/>
          <w:szCs w:val="24"/>
          <w:highlight w:val="green"/>
        </w:rPr>
        <w:t>3692</w:t>
      </w:r>
      <w:r w:rsidR="00EF722F" w:rsidRPr="00AF5026">
        <w:rPr>
          <w:sz w:val="24"/>
          <w:szCs w:val="24"/>
          <w:highlight w:val="green"/>
        </w:rPr>
        <w:t>, 3703</w:t>
      </w:r>
      <w:r w:rsidR="006A1B62" w:rsidRPr="00AF5026">
        <w:rPr>
          <w:sz w:val="24"/>
          <w:szCs w:val="24"/>
          <w:highlight w:val="green"/>
        </w:rPr>
        <w:t>, 3721</w:t>
      </w:r>
      <w:r w:rsidR="00125872" w:rsidRPr="00AF5026">
        <w:rPr>
          <w:sz w:val="24"/>
          <w:szCs w:val="24"/>
          <w:highlight w:val="green"/>
        </w:rPr>
        <w:t xml:space="preserve">, </w:t>
      </w:r>
      <w:r w:rsidR="000470C2" w:rsidRPr="00AF5026">
        <w:rPr>
          <w:sz w:val="24"/>
          <w:szCs w:val="24"/>
          <w:highlight w:val="green"/>
        </w:rPr>
        <w:t>3729</w:t>
      </w:r>
      <w:r w:rsidR="007B0A3C" w:rsidRPr="00AF5026">
        <w:rPr>
          <w:sz w:val="24"/>
          <w:szCs w:val="24"/>
          <w:highlight w:val="green"/>
        </w:rPr>
        <w:t>, 3363</w:t>
      </w:r>
      <w:r w:rsidR="00BC64A4" w:rsidRPr="00AF5026">
        <w:rPr>
          <w:sz w:val="24"/>
          <w:szCs w:val="24"/>
          <w:highlight w:val="green"/>
        </w:rPr>
        <w:t>, 3412</w:t>
      </w:r>
      <w:r w:rsidR="006E50DD" w:rsidRPr="00AF5026">
        <w:rPr>
          <w:sz w:val="24"/>
          <w:szCs w:val="24"/>
          <w:highlight w:val="green"/>
        </w:rPr>
        <w:t>, 3251</w:t>
      </w:r>
      <w:r w:rsidR="00FA1737" w:rsidRPr="00AF5026">
        <w:rPr>
          <w:sz w:val="24"/>
          <w:szCs w:val="24"/>
          <w:highlight w:val="green"/>
        </w:rPr>
        <w:t>, 3426</w:t>
      </w:r>
      <w:r w:rsidR="00190361" w:rsidRPr="00AF5026">
        <w:rPr>
          <w:sz w:val="24"/>
          <w:szCs w:val="24"/>
          <w:highlight w:val="green"/>
        </w:rPr>
        <w:t>, 3464</w:t>
      </w:r>
      <w:r w:rsidR="00D3609C" w:rsidRPr="00AF5026">
        <w:rPr>
          <w:sz w:val="24"/>
          <w:szCs w:val="24"/>
          <w:highlight w:val="green"/>
        </w:rPr>
        <w:t>, 3260</w:t>
      </w:r>
      <w:r w:rsidR="00444C92" w:rsidRPr="00AF5026">
        <w:rPr>
          <w:sz w:val="24"/>
          <w:szCs w:val="24"/>
          <w:highlight w:val="green"/>
        </w:rPr>
        <w:t xml:space="preserve">, </w:t>
      </w:r>
    </w:p>
    <w:p w:rsidR="00FE5BBB" w:rsidRPr="00DF3B66" w:rsidRDefault="005F4F6D" w:rsidP="00FE5BBB">
      <w:pPr>
        <w:rPr>
          <w:sz w:val="24"/>
          <w:szCs w:val="24"/>
        </w:rPr>
      </w:pPr>
      <w:r w:rsidRPr="00AF5026">
        <w:rPr>
          <w:sz w:val="24"/>
          <w:szCs w:val="24"/>
          <w:highlight w:val="green"/>
        </w:rPr>
        <w:t xml:space="preserve">3360, </w:t>
      </w:r>
      <w:r w:rsidRPr="00AF5026">
        <w:rPr>
          <w:sz w:val="24"/>
          <w:szCs w:val="24"/>
          <w:highlight w:val="yellow"/>
        </w:rPr>
        <w:t>3413</w:t>
      </w:r>
      <w:r w:rsidR="0069683C" w:rsidRPr="00AF5026">
        <w:rPr>
          <w:sz w:val="24"/>
          <w:szCs w:val="24"/>
          <w:highlight w:val="yellow"/>
        </w:rPr>
        <w:t xml:space="preserve">, </w:t>
      </w:r>
      <w:r w:rsidR="0069683C" w:rsidRPr="00AF5026">
        <w:rPr>
          <w:sz w:val="24"/>
          <w:szCs w:val="24"/>
          <w:highlight w:val="green"/>
        </w:rPr>
        <w:t xml:space="preserve">3484 (PHY), </w:t>
      </w:r>
      <w:r w:rsidR="00643ABB" w:rsidRPr="00AF5026">
        <w:rPr>
          <w:sz w:val="24"/>
          <w:szCs w:val="24"/>
          <w:highlight w:val="green"/>
        </w:rPr>
        <w:t>3441</w:t>
      </w:r>
      <w:r w:rsidR="00643ABB" w:rsidRPr="00E95F50">
        <w:rPr>
          <w:sz w:val="24"/>
          <w:szCs w:val="24"/>
          <w:highlight w:val="green"/>
        </w:rPr>
        <w:t>,</w:t>
      </w:r>
      <w:r w:rsidR="00D33773" w:rsidRPr="00E95F50">
        <w:rPr>
          <w:sz w:val="24"/>
          <w:szCs w:val="24"/>
          <w:highlight w:val="green"/>
        </w:rPr>
        <w:t xml:space="preserve"> 3474</w:t>
      </w:r>
      <w:r w:rsidR="00370BD1" w:rsidRPr="00E95F50">
        <w:rPr>
          <w:sz w:val="24"/>
          <w:szCs w:val="24"/>
          <w:highlight w:val="green"/>
        </w:rPr>
        <w:t>, 3476</w:t>
      </w:r>
      <w:r w:rsidR="00AC7DDE" w:rsidRPr="00E95F50">
        <w:rPr>
          <w:sz w:val="24"/>
          <w:szCs w:val="24"/>
          <w:highlight w:val="green"/>
        </w:rPr>
        <w:t>, 3482</w:t>
      </w:r>
      <w:r w:rsidR="00EF777B" w:rsidRPr="00E95F50">
        <w:rPr>
          <w:sz w:val="24"/>
          <w:szCs w:val="24"/>
          <w:highlight w:val="green"/>
        </w:rPr>
        <w:t>, 3496</w:t>
      </w:r>
      <w:r w:rsidR="005713D9" w:rsidRPr="00E95F50">
        <w:rPr>
          <w:sz w:val="24"/>
          <w:szCs w:val="24"/>
          <w:highlight w:val="green"/>
        </w:rPr>
        <w:t>, 3505</w:t>
      </w:r>
      <w:r w:rsidR="00400A7C" w:rsidRPr="00E95F50">
        <w:rPr>
          <w:sz w:val="24"/>
          <w:szCs w:val="24"/>
          <w:highlight w:val="green"/>
        </w:rPr>
        <w:t>, 37</w:t>
      </w:r>
      <w:r w:rsidR="00400A7C" w:rsidRPr="004E459E">
        <w:rPr>
          <w:sz w:val="24"/>
          <w:szCs w:val="24"/>
          <w:highlight w:val="green"/>
        </w:rPr>
        <w:t>28</w:t>
      </w:r>
      <w:r w:rsidR="002271C6" w:rsidRPr="004E459E">
        <w:rPr>
          <w:sz w:val="24"/>
          <w:szCs w:val="24"/>
          <w:highlight w:val="green"/>
        </w:rPr>
        <w:t>, 3274</w:t>
      </w:r>
      <w:r w:rsidR="004A4570" w:rsidRPr="004E459E">
        <w:rPr>
          <w:sz w:val="24"/>
          <w:szCs w:val="24"/>
          <w:highlight w:val="green"/>
        </w:rPr>
        <w:t>, 3483</w:t>
      </w:r>
      <w:r w:rsidR="00743909" w:rsidRPr="004E459E">
        <w:rPr>
          <w:sz w:val="24"/>
          <w:szCs w:val="24"/>
          <w:highlight w:val="green"/>
        </w:rPr>
        <w:t xml:space="preserve">, </w:t>
      </w:r>
      <w:r w:rsidR="002564D5" w:rsidRPr="004E459E">
        <w:rPr>
          <w:sz w:val="24"/>
          <w:szCs w:val="24"/>
          <w:highlight w:val="green"/>
        </w:rPr>
        <w:t>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587B45" w:rsidRDefault="00587B45" w:rsidP="00587B4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2 December 2022</w:t>
      </w:r>
    </w:p>
    <w:p w:rsidR="004E459E" w:rsidRDefault="004E459E" w:rsidP="004E459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7 December 2022.  Proposed resolution of CID 3726 is removed.</w:t>
      </w:r>
    </w:p>
    <w:p w:rsidR="00E860F1" w:rsidRDefault="00E860F1" w:rsidP="00E860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w:t>
      </w:r>
      <w:r w:rsidR="0082767E">
        <w:rPr>
          <w:rFonts w:ascii="Times New Roman" w:hAnsi="Times New Roman"/>
          <w:b w:val="0"/>
          <w:i w:val="0"/>
          <w:sz w:val="24"/>
          <w:szCs w:val="24"/>
        </w:rPr>
        <w:t xml:space="preserve"> </w:t>
      </w:r>
      <w:r>
        <w:rPr>
          <w:rFonts w:ascii="Times New Roman" w:hAnsi="Times New Roman"/>
          <w:b w:val="0"/>
          <w:i w:val="0"/>
          <w:sz w:val="24"/>
          <w:szCs w:val="24"/>
        </w:rPr>
        <w:t>Proposed resolution of CID 3413 is updated.</w:t>
      </w:r>
    </w:p>
    <w:p w:rsidR="0082767E" w:rsidRDefault="0082767E" w:rsidP="0082767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w:t>
      </w:r>
      <w:r>
        <w:rPr>
          <w:rFonts w:ascii="Times New Roman" w:hAnsi="Times New Roman"/>
          <w:b w:val="0"/>
          <w:i w:val="0"/>
          <w:sz w:val="24"/>
          <w:szCs w:val="24"/>
        </w:rPr>
        <w:t xml:space="preserve"> Proposed resolution of CID 3413 is</w:t>
      </w:r>
      <w:r>
        <w:rPr>
          <w:rFonts w:ascii="Times New Roman" w:hAnsi="Times New Roman"/>
          <w:b w:val="0"/>
          <w:i w:val="0"/>
          <w:sz w:val="24"/>
          <w:szCs w:val="24"/>
        </w:rPr>
        <w:t xml:space="preserve"> further</w:t>
      </w:r>
      <w:bookmarkStart w:id="0" w:name="_GoBack"/>
      <w:bookmarkEnd w:id="0"/>
      <w:r>
        <w:rPr>
          <w:rFonts w:ascii="Times New Roman" w:hAnsi="Times New Roman"/>
          <w:b w:val="0"/>
          <w:i w:val="0"/>
          <w:sz w:val="24"/>
          <w:szCs w:val="24"/>
        </w:rPr>
        <w:t xml:space="preserve"> updated.</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w:t>
      </w:r>
      <w:r w:rsidR="00A2081C">
        <w:rPr>
          <w:sz w:val="24"/>
          <w:szCs w:val="24"/>
        </w:rPr>
        <w:t>t</w:t>
      </w:r>
      <w:r w:rsidRPr="00606B79">
        <w:rPr>
          <w:sz w:val="24"/>
          <w:szCs w:val="24"/>
        </w:rPr>
        <w:t>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350598">
        <w:rPr>
          <w:b/>
          <w:i/>
          <w:sz w:val="24"/>
          <w:szCs w:val="24"/>
          <w:highlight w:val="green"/>
        </w:rPr>
        <w:t>Proposed resolution for CID</w:t>
      </w:r>
      <w:r w:rsidR="00606B79" w:rsidRPr="00350598">
        <w:rPr>
          <w:b/>
          <w:i/>
          <w:sz w:val="24"/>
          <w:szCs w:val="24"/>
          <w:highlight w:val="green"/>
        </w:rPr>
        <w:t xml:space="preserve"> 3195</w:t>
      </w:r>
      <w:r w:rsidRPr="00350598">
        <w:rPr>
          <w:b/>
          <w:i/>
          <w:sz w:val="24"/>
          <w:szCs w:val="24"/>
          <w:highlight w:val="green"/>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350598">
        <w:rPr>
          <w:b/>
          <w:i/>
          <w:sz w:val="24"/>
          <w:szCs w:val="24"/>
          <w:highlight w:val="green"/>
        </w:rPr>
        <w:t>Proposed resolution for CID 3196:</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using 2×996 RU, HE-MCS 11, 8 spatial streams, 0.8 μs GI duration, 1x HE-LTF, LDPC coding, 0 μs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r w:rsidRPr="00444AF8">
        <w:rPr>
          <w:sz w:val="24"/>
          <w:szCs w:val="24"/>
        </w:rPr>
        <w:t>aPPDUMaxTime. This is the maximum PSDU length an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 3</w:t>
      </w:r>
      <w:r w:rsidR="00414DDF" w:rsidRPr="00350598">
        <w:rPr>
          <w:b/>
          <w:i/>
          <w:sz w:val="24"/>
          <w:szCs w:val="24"/>
          <w:highlight w:val="green"/>
        </w:rPr>
        <w:t>335</w:t>
      </w:r>
      <w:r w:rsidRPr="00350598">
        <w:rPr>
          <w:b/>
          <w:i/>
          <w:sz w:val="24"/>
          <w:szCs w:val="24"/>
          <w:highlight w:val="green"/>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for setting up a noninfrastructure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50449F" w:rsidRPr="00350598">
        <w:rPr>
          <w:b/>
          <w:i/>
          <w:sz w:val="24"/>
          <w:szCs w:val="24"/>
          <w:highlight w:val="green"/>
        </w:rPr>
        <w:t xml:space="preserve"> 3391</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A37F01" w:rsidRPr="00350598">
        <w:rPr>
          <w:b/>
          <w:i/>
          <w:sz w:val="24"/>
          <w:szCs w:val="24"/>
          <w:highlight w:val="green"/>
        </w:rPr>
        <w:t xml:space="preserve"> 3416</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Default="007A2F2D" w:rsidP="007A2F2D">
      <w:pPr>
        <w:jc w:val="both"/>
        <w:rPr>
          <w:sz w:val="24"/>
          <w:szCs w:val="24"/>
        </w:rPr>
      </w:pPr>
    </w:p>
    <w:p w:rsidR="00350598" w:rsidRDefault="00350598" w:rsidP="007A2F2D">
      <w:pPr>
        <w:jc w:val="both"/>
        <w:rPr>
          <w:sz w:val="24"/>
          <w:szCs w:val="24"/>
        </w:rPr>
      </w:pPr>
      <w:r>
        <w:rPr>
          <w:sz w:val="24"/>
          <w:szCs w:val="24"/>
        </w:rPr>
        <w:t>SP on December 2, 2022:  Do you agree to change Figure 10-21 from pseudo-3D to 2D?</w:t>
      </w:r>
    </w:p>
    <w:p w:rsidR="00350598" w:rsidRDefault="00350598" w:rsidP="007A2F2D">
      <w:pPr>
        <w:jc w:val="both"/>
        <w:rPr>
          <w:sz w:val="24"/>
          <w:szCs w:val="24"/>
        </w:rPr>
      </w:pPr>
      <w:r>
        <w:rPr>
          <w:sz w:val="24"/>
          <w:szCs w:val="24"/>
        </w:rPr>
        <w:t xml:space="preserve">Yes/No/Abstain:  </w:t>
      </w:r>
      <w:r w:rsidR="006F2FC6">
        <w:rPr>
          <w:sz w:val="24"/>
          <w:szCs w:val="24"/>
        </w:rPr>
        <w:t>1/4/3</w:t>
      </w:r>
    </w:p>
    <w:p w:rsidR="00350598" w:rsidRPr="00FE5BBB" w:rsidRDefault="00350598" w:rsidP="007A2F2D">
      <w:pPr>
        <w:jc w:val="both"/>
        <w:rPr>
          <w:sz w:val="24"/>
          <w:szCs w:val="24"/>
        </w:rPr>
      </w:pPr>
    </w:p>
    <w:p w:rsidR="007A2F2D" w:rsidRPr="008B0901" w:rsidRDefault="007A2F2D" w:rsidP="007A2F2D">
      <w:pPr>
        <w:spacing w:after="240"/>
        <w:jc w:val="both"/>
        <w:rPr>
          <w:b/>
          <w:i/>
          <w:sz w:val="24"/>
          <w:szCs w:val="24"/>
        </w:rPr>
      </w:pPr>
      <w:r w:rsidRPr="001B5777">
        <w:rPr>
          <w:b/>
          <w:i/>
          <w:sz w:val="24"/>
          <w:szCs w:val="24"/>
          <w:highlight w:val="green"/>
        </w:rPr>
        <w:t>Proposed resolution for CID 3</w:t>
      </w:r>
      <w:r w:rsidR="002D50B2" w:rsidRPr="001B5777">
        <w:rPr>
          <w:b/>
          <w:i/>
          <w:sz w:val="24"/>
          <w:szCs w:val="24"/>
          <w:highlight w:val="green"/>
        </w:rPr>
        <w:t>550</w:t>
      </w:r>
      <w:r w:rsidRPr="001B5777">
        <w:rPr>
          <w:b/>
          <w:i/>
          <w:sz w:val="24"/>
          <w:szCs w:val="24"/>
          <w:highlight w:val="green"/>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The commenter fails to identify </w:t>
      </w:r>
      <w:r w:rsidR="001B0475">
        <w:rPr>
          <w:rFonts w:eastAsiaTheme="minorEastAsia"/>
          <w:color w:val="000000"/>
          <w:sz w:val="24"/>
          <w:szCs w:val="24"/>
          <w:lang w:eastAsia="zh-CN"/>
        </w:rPr>
        <w:t xml:space="preserve">an </w:t>
      </w:r>
      <w:r>
        <w:rPr>
          <w:rFonts w:eastAsiaTheme="minorEastAsia"/>
          <w:color w:val="000000"/>
          <w:sz w:val="24"/>
          <w:szCs w:val="24"/>
          <w:lang w:eastAsia="zh-CN"/>
        </w:rPr>
        <w:t>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784C86" w:rsidP="007A2F2D">
      <w:pPr>
        <w:jc w:val="both"/>
        <w:rPr>
          <w:sz w:val="24"/>
          <w:szCs w:val="24"/>
        </w:rPr>
      </w:pPr>
      <w:r>
        <w:rPr>
          <w:sz w:val="24"/>
          <w:szCs w:val="24"/>
        </w:rPr>
        <w:t>While it may be weir</w:t>
      </w:r>
      <w:r w:rsidR="00D25EDD">
        <w:rPr>
          <w:sz w:val="24"/>
          <w:szCs w:val="24"/>
        </w:rPr>
        <w:t>d that the feature is “TIM broadcast” but the corresponding frames are “TIM frames”, there is no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Note:  Throughout D2.0, there are about 24 occurances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EF4968">
        <w:rPr>
          <w:b/>
          <w:i/>
          <w:sz w:val="24"/>
          <w:szCs w:val="24"/>
          <w:highlight w:val="green"/>
        </w:rPr>
        <w:t>Proposed resolution for CID</w:t>
      </w:r>
      <w:r w:rsidR="00D25EDD" w:rsidRPr="00EF4968">
        <w:rPr>
          <w:b/>
          <w:i/>
          <w:sz w:val="24"/>
          <w:szCs w:val="24"/>
          <w:highlight w:val="green"/>
        </w:rPr>
        <w:t xml:space="preserve"> 3692</w:t>
      </w:r>
      <w:r w:rsidR="00EF4968" w:rsidRPr="00EF4968">
        <w:rPr>
          <w:b/>
          <w:i/>
          <w:sz w:val="24"/>
          <w:szCs w:val="24"/>
          <w:highlight w:val="green"/>
        </w:rPr>
        <w:t xml:space="preserve"> (run as a separate motion)</w:t>
      </w:r>
      <w:r w:rsidRPr="00EF4968">
        <w:rPr>
          <w:b/>
          <w:i/>
          <w:sz w:val="24"/>
          <w:szCs w:val="24"/>
          <w:highlight w:val="green"/>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784C86" w:rsidP="0025199E">
      <w:pPr>
        <w:jc w:val="both"/>
        <w:rPr>
          <w:sz w:val="24"/>
          <w:szCs w:val="24"/>
        </w:rPr>
      </w:pPr>
      <w:r>
        <w:rPr>
          <w:sz w:val="24"/>
          <w:szCs w:val="24"/>
        </w:rPr>
        <w:t>While it may be weir</w:t>
      </w:r>
      <w:r w:rsidR="0025199E">
        <w:rPr>
          <w:sz w:val="24"/>
          <w:szCs w:val="24"/>
        </w:rPr>
        <w:t>d that the feature is “TIM broadcast” but the corresponding frames are “TIM frames”, there is no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"The construction "between x and y", "x to y" or "x-y"" should have x and y in italics.  Also the hyphen should be a minus or en dash (but in other places hyphens or em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Change "The construction "between x and y", "x to y" or "x-y"" to have x and y in italics, and the hyphen as a minus (or en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en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E77C49">
        <w:rPr>
          <w:b/>
          <w:i/>
          <w:sz w:val="24"/>
          <w:szCs w:val="24"/>
          <w:highlight w:val="green"/>
        </w:rPr>
        <w:t>Proposed resolution for CID</w:t>
      </w:r>
      <w:r w:rsidR="00EF722F" w:rsidRPr="00E77C49">
        <w:rPr>
          <w:b/>
          <w:i/>
          <w:sz w:val="24"/>
          <w:szCs w:val="24"/>
          <w:highlight w:val="green"/>
        </w:rPr>
        <w:t xml:space="preserve"> 3703</w:t>
      </w:r>
      <w:r w:rsidRPr="00E77C49">
        <w:rPr>
          <w:b/>
          <w:i/>
          <w:sz w:val="24"/>
          <w:szCs w:val="24"/>
          <w:highlight w:val="green"/>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171.37, replace the hyphen of “x-y”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“Bx-By”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171.39, italize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"Tx"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abbrevations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there are about 492 occurances of “Tx”.  Does the Task Group want to replace all of these occurrances from “Tx”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NOTE – there are about 1594 occurances of “TX”.</w:t>
      </w:r>
    </w:p>
    <w:p w:rsidR="00125872" w:rsidRDefault="00125872" w:rsidP="00EF722F">
      <w:pPr>
        <w:jc w:val="both"/>
        <w:rPr>
          <w:sz w:val="24"/>
          <w:szCs w:val="24"/>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1:</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Revised.  Replace “Tx” with “TX” throughout the draft document.</w:t>
      </w:r>
    </w:p>
    <w:p w:rsidR="00BA7E8A" w:rsidRDefault="00BA7E8A" w:rsidP="00BA7E8A">
      <w:pPr>
        <w:rPr>
          <w:rFonts w:eastAsiaTheme="minorEastAsia"/>
          <w:color w:val="000000"/>
          <w:sz w:val="24"/>
          <w:szCs w:val="24"/>
          <w:lang w:eastAsia="zh-CN"/>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2:</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BA7E8A" w:rsidRDefault="00BA7E8A" w:rsidP="00EF722F">
      <w:pPr>
        <w:jc w:val="both"/>
        <w:rPr>
          <w:sz w:val="24"/>
          <w:szCs w:val="24"/>
        </w:rPr>
      </w:pPr>
    </w:p>
    <w:p w:rsidR="00BA7E8A" w:rsidRDefault="00BA7E8A" w:rsidP="00BA7E8A">
      <w:pPr>
        <w:jc w:val="both"/>
        <w:rPr>
          <w:sz w:val="24"/>
          <w:szCs w:val="24"/>
        </w:rPr>
      </w:pPr>
      <w:r>
        <w:rPr>
          <w:sz w:val="24"/>
          <w:szCs w:val="24"/>
        </w:rPr>
        <w:t xml:space="preserve">SP on December 2, 2022:  </w:t>
      </w:r>
      <w:r w:rsidRPr="00BA7E8A">
        <w:rPr>
          <w:sz w:val="24"/>
          <w:szCs w:val="24"/>
        </w:rPr>
        <w:t>Are you in favor of resolving CID 3721 with the reason along the lines of "Rejected.  While there is inconsistency on the terms “TX” and “Tx”, such inconsistency does not result in any issue."</w:t>
      </w:r>
    </w:p>
    <w:p w:rsidR="00BA7E8A" w:rsidRDefault="00BA7E8A" w:rsidP="00BA7E8A">
      <w:pPr>
        <w:jc w:val="both"/>
        <w:rPr>
          <w:sz w:val="24"/>
          <w:szCs w:val="24"/>
        </w:rPr>
      </w:pPr>
      <w:r>
        <w:rPr>
          <w:sz w:val="24"/>
          <w:szCs w:val="24"/>
        </w:rPr>
        <w:t>Yes/No/Abstain:</w:t>
      </w:r>
      <w:r w:rsidR="002A1491">
        <w:rPr>
          <w:sz w:val="24"/>
          <w:szCs w:val="24"/>
        </w:rPr>
        <w:t xml:space="preserve"> 6/0/1</w:t>
      </w:r>
      <w:r>
        <w:rPr>
          <w:sz w:val="24"/>
          <w:szCs w:val="24"/>
        </w:rPr>
        <w:t xml:space="preserve"> </w:t>
      </w:r>
    </w:p>
    <w:p w:rsidR="00BA7E8A" w:rsidRDefault="00BA7E8A" w:rsidP="00EF722F">
      <w:pPr>
        <w:jc w:val="both"/>
        <w:rPr>
          <w:sz w:val="24"/>
          <w:szCs w:val="24"/>
        </w:rPr>
      </w:pPr>
    </w:p>
    <w:p w:rsidR="00BA7E8A" w:rsidRPr="00FE5BBB" w:rsidRDefault="00BA7E8A" w:rsidP="00EF722F">
      <w:pPr>
        <w:jc w:val="both"/>
        <w:rPr>
          <w:sz w:val="24"/>
          <w:szCs w:val="24"/>
        </w:rPr>
      </w:pPr>
    </w:p>
    <w:p w:rsidR="00EF722F" w:rsidRPr="008B0901" w:rsidRDefault="00EF722F" w:rsidP="00EF722F">
      <w:pPr>
        <w:spacing w:after="240"/>
        <w:jc w:val="both"/>
        <w:rPr>
          <w:b/>
          <w:i/>
          <w:sz w:val="24"/>
          <w:szCs w:val="24"/>
        </w:rPr>
      </w:pPr>
      <w:r w:rsidRPr="00B27349">
        <w:rPr>
          <w:b/>
          <w:i/>
          <w:sz w:val="24"/>
          <w:szCs w:val="24"/>
          <w:highlight w:val="green"/>
        </w:rPr>
        <w:t>Proposed resolution for CID 37</w:t>
      </w:r>
      <w:r w:rsidR="006A1B62" w:rsidRPr="00B27349">
        <w:rPr>
          <w:b/>
          <w:i/>
          <w:sz w:val="24"/>
          <w:szCs w:val="24"/>
          <w:highlight w:val="green"/>
        </w:rPr>
        <w:t>21</w:t>
      </w:r>
      <w:r w:rsidRPr="00B27349">
        <w:rPr>
          <w:b/>
          <w:i/>
          <w:sz w:val="24"/>
          <w:szCs w:val="24"/>
          <w:highlight w:val="green"/>
        </w:rPr>
        <w:t>:</w:t>
      </w:r>
    </w:p>
    <w:p w:rsidR="007D6421" w:rsidRDefault="007D6421" w:rsidP="002A72AD">
      <w:pPr>
        <w:jc w:val="both"/>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In 9.6.x, the first subsubsubclause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Agree with the commenter that an inconsistency exists.  After reviewing all of the 33 subclauses under 9.6, &lt;blah</w:t>
      </w:r>
      <w:r>
        <w:rPr>
          <w:sz w:val="24"/>
          <w:szCs w:val="24"/>
        </w:rPr>
        <w:t>&gt; Action field is preferred because the contents of the “General” subclause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125872" w:rsidRPr="002A72AD">
        <w:rPr>
          <w:b/>
          <w:i/>
          <w:sz w:val="24"/>
          <w:szCs w:val="24"/>
          <w:highlight w:val="green"/>
        </w:rPr>
        <w:t xml:space="preserve"> 372</w:t>
      </w:r>
      <w:r w:rsidR="000470C2" w:rsidRPr="002A72AD">
        <w:rPr>
          <w:b/>
          <w:i/>
          <w:sz w:val="24"/>
          <w:szCs w:val="24"/>
          <w:highlight w:val="green"/>
        </w:rPr>
        <w:t>9</w:t>
      </w:r>
      <w:r w:rsidRPr="002A72AD">
        <w:rPr>
          <w:b/>
          <w:i/>
          <w:sz w:val="24"/>
          <w:szCs w:val="24"/>
          <w:highlight w:val="green"/>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“QoS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Replace the title of 9.6.4.1 from “General” to “Block Ack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“Multihop Action fields” to “Multihop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B0A3C" w:rsidRPr="002A72AD">
        <w:rPr>
          <w:b/>
          <w:i/>
          <w:sz w:val="24"/>
          <w:szCs w:val="24"/>
          <w:highlight w:val="green"/>
        </w:rPr>
        <w:t xml:space="preserve"> 3363</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Agree with the commenter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BC64A4" w:rsidRPr="002A72AD">
        <w:rPr>
          <w:b/>
          <w:i/>
          <w:sz w:val="24"/>
          <w:szCs w:val="24"/>
          <w:highlight w:val="green"/>
        </w:rPr>
        <w:t xml:space="preserve"> 3412</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"For the per target fields (Per Target Flags, Target Address, Target HWMP Sequence Number) assume" -- font size changes.  Also in "Where A-MPDU aggregation is employed, HT-immediate block ack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Use uniform font size at referenced location and also in "Where A-MPDU aggregation is employed, HT-immediate block ack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001C0" w:rsidRPr="002A72AD">
        <w:rPr>
          <w:b/>
          <w:i/>
          <w:sz w:val="24"/>
          <w:szCs w:val="24"/>
          <w:highlight w:val="green"/>
        </w:rPr>
        <w:t xml:space="preserve"> 3251</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Agree with the commenter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2A72AD">
        <w:rPr>
          <w:b/>
          <w:i/>
          <w:sz w:val="24"/>
          <w:szCs w:val="24"/>
          <w:highlight w:val="green"/>
        </w:rPr>
        <w:t>Proposed resolution for CID 3426:</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r w:rsidRPr="00190361">
        <w:rPr>
          <w:sz w:val="24"/>
          <w:szCs w:val="24"/>
        </w:rPr>
        <w:t xml:space="preserve">encipherment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190361" w:rsidRPr="00E465B7">
        <w:rPr>
          <w:b/>
          <w:i/>
          <w:sz w:val="24"/>
          <w:szCs w:val="24"/>
          <w:highlight w:val="green"/>
        </w:rPr>
        <w:t xml:space="preserve"> 3464</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"TK_bits"</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TK_bits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“TK_bits”.</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D3609C" w:rsidRPr="00E465B7">
        <w:rPr>
          <w:b/>
          <w:i/>
          <w:sz w:val="24"/>
          <w:szCs w:val="24"/>
          <w:highlight w:val="green"/>
        </w:rPr>
        <w:t xml:space="preserve"> 3260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r w:rsidRPr="008E75D8">
              <w:rPr>
                <w:sz w:val="24"/>
                <w:szCs w:val="24"/>
                <w:lang w:val="en-US"/>
              </w:rPr>
              <w:t>Desubscriptify log_10 to log10 at 1455.6 (2x), 1455.29, 4315.48.  Also add parens around N_PSRT,nonpunc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r w:rsidR="008E75D8">
        <w:rPr>
          <w:b/>
          <w:sz w:val="24"/>
          <w:szCs w:val="24"/>
        </w:rPr>
        <w:t xml:space="preserve">subclause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8E75D8" w:rsidRPr="00E465B7">
        <w:rPr>
          <w:b/>
          <w:i/>
          <w:sz w:val="24"/>
          <w:szCs w:val="24"/>
          <w:highlight w:val="green"/>
        </w:rPr>
        <w:t xml:space="preserve"> 3360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741303">
        <w:rPr>
          <w:b/>
          <w:i/>
          <w:sz w:val="24"/>
          <w:szCs w:val="24"/>
          <w:highlight w:val="yellow"/>
        </w:rPr>
        <w:t>Proposed resolution for CID 3413:</w:t>
      </w:r>
    </w:p>
    <w:p w:rsidR="006B480C" w:rsidRDefault="006B480C">
      <w:pPr>
        <w:rPr>
          <w:rFonts w:eastAsiaTheme="minorEastAsia"/>
          <w:color w:val="000000"/>
          <w:sz w:val="24"/>
          <w:szCs w:val="24"/>
          <w:lang w:eastAsia="zh-CN"/>
        </w:rPr>
      </w:pPr>
      <w:r>
        <w:rPr>
          <w:rFonts w:eastAsiaTheme="minorEastAsia"/>
          <w:color w:val="000000"/>
          <w:sz w:val="24"/>
          <w:szCs w:val="24"/>
          <w:lang w:eastAsia="zh-CN"/>
        </w:rPr>
        <w:t>Revised.</w:t>
      </w:r>
    </w:p>
    <w:p w:rsidR="006B480C" w:rsidRDefault="006B480C">
      <w:pPr>
        <w:rPr>
          <w:rFonts w:eastAsiaTheme="minorEastAsia"/>
          <w:color w:val="000000"/>
          <w:sz w:val="24"/>
          <w:szCs w:val="24"/>
          <w:lang w:eastAsia="zh-CN"/>
        </w:rPr>
      </w:pPr>
    </w:p>
    <w:p w:rsidR="006B480C" w:rsidRDefault="006B480C">
      <w:pPr>
        <w:rPr>
          <w:sz w:val="24"/>
          <w:szCs w:val="24"/>
        </w:rPr>
      </w:pPr>
      <w:r>
        <w:rPr>
          <w:sz w:val="24"/>
          <w:szCs w:val="24"/>
        </w:rPr>
        <w:t xml:space="preserve">At 4095.31, replace </w:t>
      </w:r>
    </w:p>
    <w:p w:rsidR="006B480C" w:rsidRDefault="006B480C" w:rsidP="006B480C">
      <w:pPr>
        <w:rPr>
          <w:sz w:val="24"/>
          <w:szCs w:val="24"/>
        </w:rPr>
      </w:pPr>
      <w:r>
        <w:rPr>
          <w:sz w:val="24"/>
          <w:szCs w:val="24"/>
        </w:rPr>
        <w:t>“</w:t>
      </w:r>
      <w:r w:rsidRPr="006B480C">
        <w:rPr>
          <w:sz w:val="24"/>
          <w:szCs w:val="24"/>
        </w:rPr>
        <w:t>The interleaved bits are mapped to</w:t>
      </w:r>
      <w:r>
        <w:rPr>
          <w:sz w:val="24"/>
          <w:szCs w:val="24"/>
        </w:rPr>
        <w:t xml:space="preserve"> </w:t>
      </w:r>
      <w:r w:rsidRPr="006B480C">
        <w:rPr>
          <w:sz w:val="24"/>
          <w:szCs w:val="24"/>
        </w:rPr>
        <w:t>constellation points from the HE-SIG-B-MCS field in the HE-SIG-A field following the steps</w:t>
      </w:r>
      <w:r>
        <w:rPr>
          <w:sz w:val="24"/>
          <w:szCs w:val="24"/>
        </w:rPr>
        <w:t xml:space="preserve"> </w:t>
      </w:r>
      <w:r w:rsidRPr="006B480C">
        <w:rPr>
          <w:sz w:val="24"/>
          <w:szCs w:val="24"/>
        </w:rPr>
        <w:t>described in 17.3.5.8 (Subcarrier modulation mapping) and 27.3.12.15 (Dual carrier modulation) if the HE</w:t>
      </w:r>
      <w:r>
        <w:rPr>
          <w:sz w:val="24"/>
          <w:szCs w:val="24"/>
        </w:rPr>
        <w:t>-</w:t>
      </w:r>
      <w:r w:rsidRPr="006B480C">
        <w:rPr>
          <w:sz w:val="24"/>
          <w:szCs w:val="24"/>
        </w:rPr>
        <w:t>SIG-B DCM field in the HE-SIG-A field is 0 and 1, respectively. NSD is 52 and 26 if the HE-SIG-B DCM</w:t>
      </w:r>
      <w:r>
        <w:rPr>
          <w:sz w:val="24"/>
          <w:szCs w:val="24"/>
        </w:rPr>
        <w:t xml:space="preserve"> </w:t>
      </w:r>
      <w:r w:rsidRPr="006B480C">
        <w:rPr>
          <w:sz w:val="24"/>
          <w:szCs w:val="24"/>
        </w:rPr>
        <w:t>field in the HE-SIG-A field is 0 and 1, respectively.</w:t>
      </w:r>
      <w:r>
        <w:rPr>
          <w:sz w:val="24"/>
          <w:szCs w:val="24"/>
        </w:rPr>
        <w:t>”</w:t>
      </w:r>
    </w:p>
    <w:p w:rsidR="006B480C" w:rsidRDefault="006B480C" w:rsidP="006B480C">
      <w:pPr>
        <w:rPr>
          <w:sz w:val="24"/>
          <w:szCs w:val="24"/>
        </w:rPr>
      </w:pPr>
    </w:p>
    <w:p w:rsidR="006B480C" w:rsidRDefault="006B480C" w:rsidP="006B480C">
      <w:pPr>
        <w:rPr>
          <w:sz w:val="24"/>
          <w:szCs w:val="24"/>
        </w:rPr>
      </w:pPr>
      <w:r>
        <w:rPr>
          <w:sz w:val="24"/>
          <w:szCs w:val="24"/>
        </w:rPr>
        <w:t>with</w:t>
      </w:r>
    </w:p>
    <w:p w:rsidR="006B480C" w:rsidRDefault="006B480C" w:rsidP="0082767E">
      <w:pPr>
        <w:jc w:val="both"/>
        <w:rPr>
          <w:sz w:val="24"/>
          <w:szCs w:val="24"/>
        </w:rPr>
      </w:pPr>
      <w:r>
        <w:rPr>
          <w:sz w:val="24"/>
          <w:szCs w:val="24"/>
        </w:rPr>
        <w:t>“</w:t>
      </w:r>
      <w:r w:rsidRPr="006B480C">
        <w:rPr>
          <w:sz w:val="24"/>
          <w:szCs w:val="24"/>
        </w:rPr>
        <w:t>The interleaved bits are mapped to</w:t>
      </w:r>
      <w:r>
        <w:rPr>
          <w:sz w:val="24"/>
          <w:szCs w:val="24"/>
        </w:rPr>
        <w:t xml:space="preserve"> </w:t>
      </w:r>
      <w:r w:rsidRPr="006B480C">
        <w:rPr>
          <w:sz w:val="24"/>
          <w:szCs w:val="24"/>
        </w:rPr>
        <w:t>constellation points from the HE-SIG-B-MCS field in the HE-SIG-A field following the steps</w:t>
      </w:r>
      <w:r>
        <w:rPr>
          <w:sz w:val="24"/>
          <w:szCs w:val="24"/>
        </w:rPr>
        <w:t xml:space="preserve"> </w:t>
      </w:r>
      <w:r w:rsidRPr="006B480C">
        <w:rPr>
          <w:sz w:val="24"/>
          <w:szCs w:val="24"/>
        </w:rPr>
        <w:t xml:space="preserve">described in 17.3.5.8 (Subcarrier modulation mapping) </w:t>
      </w:r>
      <w:r w:rsidRPr="00C724C0">
        <w:rPr>
          <w:strike/>
          <w:sz w:val="24"/>
          <w:szCs w:val="24"/>
        </w:rPr>
        <w:t xml:space="preserve">and 27.3.12.15 (Dual carrier modulation) </w:t>
      </w:r>
      <w:r w:rsidRPr="006B480C">
        <w:rPr>
          <w:sz w:val="24"/>
          <w:szCs w:val="24"/>
        </w:rPr>
        <w:t>if the HE</w:t>
      </w:r>
      <w:r>
        <w:rPr>
          <w:sz w:val="24"/>
          <w:szCs w:val="24"/>
        </w:rPr>
        <w:t>-</w:t>
      </w:r>
      <w:r w:rsidRPr="006B480C">
        <w:rPr>
          <w:sz w:val="24"/>
          <w:szCs w:val="24"/>
        </w:rPr>
        <w:t>SIG-B DCM field in the HE-SIG-A field is 0</w:t>
      </w:r>
      <w:r w:rsidRPr="00C724C0">
        <w:rPr>
          <w:strike/>
          <w:sz w:val="24"/>
          <w:szCs w:val="24"/>
        </w:rPr>
        <w:t xml:space="preserve"> and 1, respectively</w:t>
      </w:r>
      <w:r w:rsidR="00C724C0">
        <w:rPr>
          <w:sz w:val="24"/>
          <w:szCs w:val="24"/>
        </w:rPr>
        <w:t xml:space="preserve">, and </w:t>
      </w:r>
      <w:r w:rsidR="00C724C0" w:rsidRPr="00C724C0">
        <w:rPr>
          <w:sz w:val="24"/>
          <w:szCs w:val="24"/>
          <w:u w:val="single"/>
        </w:rPr>
        <w:t xml:space="preserve">27.3.12.15 (Dual carrier modulation) if the HE-SIG-B DCM </w:t>
      </w:r>
      <w:r w:rsidR="00C724C0" w:rsidRPr="00C724C0">
        <w:rPr>
          <w:sz w:val="24"/>
          <w:szCs w:val="24"/>
          <w:u w:val="single"/>
        </w:rPr>
        <w:t>field in the HE-SIG-A field is 1</w:t>
      </w:r>
      <w:r w:rsidR="00C724C0">
        <w:rPr>
          <w:sz w:val="24"/>
          <w:szCs w:val="24"/>
        </w:rPr>
        <w:t xml:space="preserve">. </w:t>
      </w:r>
      <w:r w:rsidRPr="006B480C">
        <w:rPr>
          <w:sz w:val="24"/>
          <w:szCs w:val="24"/>
        </w:rPr>
        <w:t xml:space="preserve">NSD is 52 </w:t>
      </w:r>
      <w:r w:rsidRPr="006B480C">
        <w:rPr>
          <w:strike/>
          <w:sz w:val="24"/>
          <w:szCs w:val="24"/>
        </w:rPr>
        <w:t xml:space="preserve">and 26 </w:t>
      </w:r>
      <w:r w:rsidRPr="006B480C">
        <w:rPr>
          <w:sz w:val="24"/>
          <w:szCs w:val="24"/>
        </w:rPr>
        <w:t>if the HE-SIG-B DCM</w:t>
      </w:r>
      <w:r>
        <w:rPr>
          <w:sz w:val="24"/>
          <w:szCs w:val="24"/>
        </w:rPr>
        <w:t xml:space="preserve"> </w:t>
      </w:r>
      <w:r w:rsidRPr="006B480C">
        <w:rPr>
          <w:sz w:val="24"/>
          <w:szCs w:val="24"/>
        </w:rPr>
        <w:t>field in the HE-SIG-A field is 0</w:t>
      </w:r>
      <w:r w:rsidRPr="006B480C">
        <w:rPr>
          <w:strike/>
          <w:sz w:val="24"/>
          <w:szCs w:val="24"/>
        </w:rPr>
        <w:t xml:space="preserve"> and 1, respectively</w:t>
      </w:r>
      <w:r w:rsidRPr="006B480C">
        <w:rPr>
          <w:sz w:val="24"/>
          <w:szCs w:val="24"/>
          <w:u w:val="single"/>
        </w:rPr>
        <w:t xml:space="preserve">, and 26 </w:t>
      </w:r>
      <w:r w:rsidRPr="006B480C">
        <w:rPr>
          <w:sz w:val="24"/>
          <w:szCs w:val="24"/>
          <w:u w:val="single"/>
        </w:rPr>
        <w:t>if the HE-SIG-B DCM field in the HE-SIG-A field is</w:t>
      </w:r>
      <w:r w:rsidRPr="006B480C">
        <w:rPr>
          <w:sz w:val="24"/>
          <w:szCs w:val="24"/>
          <w:u w:val="single"/>
        </w:rPr>
        <w:t xml:space="preserve"> 1</w:t>
      </w:r>
      <w:r>
        <w:rPr>
          <w:sz w:val="24"/>
          <w:szCs w:val="24"/>
        </w:rPr>
        <w:t>.</w:t>
      </w:r>
      <w:r>
        <w:rPr>
          <w:sz w:val="24"/>
          <w:szCs w:val="24"/>
        </w:rPr>
        <w:t>”</w:t>
      </w:r>
    </w:p>
    <w:p w:rsidR="006B480C" w:rsidRDefault="006B480C">
      <w:pPr>
        <w:rPr>
          <w:sz w:val="24"/>
          <w:szCs w:val="24"/>
        </w:rPr>
      </w:pPr>
      <w:r>
        <w:rPr>
          <w:sz w:val="24"/>
          <w:szCs w:val="24"/>
        </w:rPr>
        <w:br w:type="page"/>
      </w:r>
    </w:p>
    <w:p w:rsidR="00444C92" w:rsidRDefault="00444C92">
      <w:pPr>
        <w:rPr>
          <w:rFonts w:eastAsiaTheme="minorEastAsia"/>
          <w:color w:val="000000"/>
          <w:sz w:val="24"/>
          <w:szCs w:val="24"/>
          <w:lang w:eastAsia="zh-CN"/>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190927">
        <w:rPr>
          <w:b/>
          <w:i/>
          <w:sz w:val="24"/>
          <w:szCs w:val="24"/>
          <w:highlight w:val="green"/>
        </w:rPr>
        <w:t>Proposed resolution for CID</w:t>
      </w:r>
      <w:r w:rsidR="0069683C" w:rsidRPr="00190927">
        <w:rPr>
          <w:b/>
          <w:i/>
          <w:sz w:val="24"/>
          <w:szCs w:val="24"/>
          <w:highlight w:val="green"/>
        </w:rPr>
        <w:t xml:space="preserve"> 3484</w:t>
      </w:r>
      <w:r w:rsidRPr="00190927">
        <w:rPr>
          <w:b/>
          <w:i/>
          <w:sz w:val="24"/>
          <w:szCs w:val="24"/>
          <w:highlight w:val="green"/>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190927"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p>
    <w:p w:rsidR="00444C92" w:rsidRDefault="00190927">
      <w:pPr>
        <w:rPr>
          <w:rFonts w:eastAsiaTheme="minorEastAsia"/>
          <w:color w:val="000000"/>
          <w:sz w:val="24"/>
          <w:szCs w:val="24"/>
          <w:lang w:eastAsia="zh-CN"/>
        </w:rPr>
      </w:pPr>
      <w:r>
        <w:rPr>
          <w:rFonts w:eastAsiaTheme="minorEastAsia"/>
          <w:color w:val="000000"/>
          <w:sz w:val="24"/>
          <w:szCs w:val="24"/>
          <w:lang w:eastAsia="zh-CN"/>
        </w:rPr>
        <w:t>Note to the Editors:  Please check if a new dot11Groups is required.</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AD250D" w:rsidRPr="00E732A5">
        <w:rPr>
          <w:b/>
          <w:i/>
          <w:sz w:val="24"/>
          <w:szCs w:val="24"/>
          <w:highlight w:val="green"/>
        </w:rPr>
        <w:t xml:space="preserve"> 3441</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s style guideline on frame versus PPDU for PHY related subclauses.</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D33773" w:rsidRPr="00E732A5">
        <w:rPr>
          <w:b/>
          <w:i/>
          <w:sz w:val="24"/>
          <w:szCs w:val="24"/>
          <w:highlight w:val="green"/>
        </w:rPr>
        <w:t xml:space="preserve"> 3474</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370BD1" w:rsidRPr="00E732A5">
        <w:rPr>
          <w:b/>
          <w:i/>
          <w:sz w:val="24"/>
          <w:szCs w:val="24"/>
          <w:highlight w:val="green"/>
        </w:rPr>
        <w:t xml:space="preserve"> 3476</w:t>
      </w:r>
      <w:r w:rsidRPr="00E732A5">
        <w:rPr>
          <w:b/>
          <w:i/>
          <w:sz w:val="24"/>
          <w:szCs w:val="24"/>
          <w:highlight w:val="green"/>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Agree with the commenter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2839B2">
        <w:rPr>
          <w:b/>
          <w:i/>
          <w:sz w:val="24"/>
          <w:szCs w:val="24"/>
          <w:highlight w:val="green"/>
        </w:rPr>
        <w:t>Proposed resolution for CID</w:t>
      </w:r>
      <w:r w:rsidR="005423B0" w:rsidRPr="002839B2">
        <w:rPr>
          <w:b/>
          <w:i/>
          <w:sz w:val="24"/>
          <w:szCs w:val="24"/>
          <w:highlight w:val="green"/>
        </w:rPr>
        <w:t xml:space="preserve"> 3482</w:t>
      </w:r>
      <w:r w:rsidRPr="002839B2">
        <w:rPr>
          <w:b/>
          <w:i/>
          <w:sz w:val="24"/>
          <w:szCs w:val="24"/>
          <w:highlight w:val="green"/>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q</w:t>
      </w:r>
      <w:r w:rsidRPr="00BF671B">
        <w:rPr>
          <w:rFonts w:eastAsiaTheme="minorEastAsia"/>
          <w:color w:val="000000"/>
          <w:sz w:val="24"/>
          <w:szCs w:val="24"/>
          <w:lang w:eastAsia="zh-CN"/>
        </w:rPr>
        <w:t>(</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sidR="002839B2">
        <w:rPr>
          <w:rFonts w:eastAsiaTheme="minorEastAsia"/>
          <w:color w:val="000000"/>
          <w:sz w:val="24"/>
          <w:szCs w:val="24"/>
          <w:lang w:eastAsia="zh-CN"/>
        </w:rPr>
        <w:t xml:space="preserve"> 0 to a</w:t>
      </w:r>
      <w:r>
        <w:rPr>
          <w:rFonts w:eastAsiaTheme="minorEastAsia"/>
          <w:color w:val="000000"/>
          <w:sz w:val="24"/>
          <w:szCs w:val="24"/>
          <w:lang w:eastAsia="zh-CN"/>
        </w:rPr>
        <w:t>MPDUMaxLength octets” to “</w:t>
      </w:r>
      <w:r w:rsidR="00E732A5">
        <w:rPr>
          <w:rFonts w:eastAsiaTheme="minorEastAsia"/>
          <w:color w:val="000000"/>
          <w:sz w:val="24"/>
          <w:szCs w:val="24"/>
          <w:lang w:eastAsia="zh-CN"/>
        </w:rPr>
        <w:t>the range 0 to a</w:t>
      </w:r>
      <w:r w:rsidRPr="00C30713">
        <w:rPr>
          <w:rFonts w:eastAsiaTheme="minorEastAsia"/>
          <w:color w:val="000000"/>
          <w:sz w:val="24"/>
          <w:szCs w:val="24"/>
          <w:lang w:eastAsia="zh-CN"/>
        </w:rPr>
        <w:t>MPDUMaxLength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Agree with the commenter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AE49A7">
        <w:rPr>
          <w:b/>
          <w:i/>
          <w:sz w:val="24"/>
          <w:szCs w:val="24"/>
          <w:highlight w:val="green"/>
        </w:rPr>
        <w:t>Proposed resolution for CID</w:t>
      </w:r>
      <w:r w:rsidR="00EF777B" w:rsidRPr="00AE49A7">
        <w:rPr>
          <w:b/>
          <w:i/>
          <w:sz w:val="24"/>
          <w:szCs w:val="24"/>
          <w:highlight w:val="green"/>
        </w:rPr>
        <w:t xml:space="preserve"> 3496</w:t>
      </w:r>
      <w:r w:rsidRPr="00AE49A7">
        <w:rPr>
          <w:b/>
          <w:i/>
          <w:sz w:val="24"/>
          <w:szCs w:val="24"/>
          <w:highlight w:val="green"/>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deauthenticate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r w:rsidRPr="009A384D">
        <w:rPr>
          <w:sz w:val="24"/>
          <w:szCs w:val="24"/>
        </w:rPr>
        <w:t>dot11RSNAOperatingChannelValidationActivated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r w:rsidRPr="009A384D">
        <w:rPr>
          <w:sz w:val="24"/>
          <w:szCs w:val="24"/>
        </w:rPr>
        <w:t>deauthenticate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MLME-OCTunnel.indication primitive (see 11.31.5 (On-channel Tunneling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2F1C2F">
        <w:rPr>
          <w:b/>
          <w:i/>
          <w:sz w:val="24"/>
          <w:szCs w:val="24"/>
          <w:highlight w:val="green"/>
        </w:rPr>
        <w:lastRenderedPageBreak/>
        <w:t>Proposed resolution for CID</w:t>
      </w:r>
      <w:r w:rsidR="00AD29E3" w:rsidRPr="002F1C2F">
        <w:rPr>
          <w:b/>
          <w:i/>
          <w:sz w:val="24"/>
          <w:szCs w:val="24"/>
          <w:highlight w:val="green"/>
        </w:rPr>
        <w:t xml:space="preserve"> 3505</w:t>
      </w:r>
      <w:r w:rsidRPr="002F1C2F">
        <w:rPr>
          <w:b/>
          <w:i/>
          <w:sz w:val="24"/>
          <w:szCs w:val="24"/>
          <w:highlight w:val="green"/>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249.23 (subclause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to</w:t>
      </w:r>
    </w:p>
    <w:p w:rsidR="00AD29E3" w:rsidRDefault="00AD29E3" w:rsidP="005209BD">
      <w:pPr>
        <w:jc w:val="both"/>
        <w:rPr>
          <w:rFonts w:eastAsiaTheme="minorEastAsia"/>
          <w:color w:val="000000"/>
          <w:sz w:val="24"/>
          <w:szCs w:val="24"/>
          <w:lang w:eastAsia="zh-CN"/>
        </w:rPr>
      </w:pPr>
      <w:r w:rsidRPr="00683688">
        <w:rPr>
          <w:rFonts w:eastAsiaTheme="minorEastAsia"/>
          <w:color w:val="000000"/>
          <w:sz w:val="24"/>
          <w:szCs w:val="24"/>
          <w:lang w:eastAsia="zh-CN"/>
        </w:rPr>
        <w:t>“OCVC   operating channel validation capable or operating c</w:t>
      </w:r>
      <w:r w:rsidR="00683688">
        <w:rPr>
          <w:rFonts w:eastAsiaTheme="minorEastAsia"/>
          <w:color w:val="000000"/>
          <w:sz w:val="24"/>
          <w:szCs w:val="24"/>
          <w:lang w:eastAsia="zh-CN"/>
        </w:rPr>
        <w:t xml:space="preserve">hannel validation capability” </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2F1C2F" w:rsidRDefault="002F1C2F"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r w:rsidRPr="00C978E7">
              <w:rPr>
                <w:sz w:val="24"/>
                <w:szCs w:val="24"/>
                <w:lang w:val="en-US"/>
              </w:rPr>
              <w:t>equal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19436A">
        <w:rPr>
          <w:b/>
          <w:i/>
          <w:sz w:val="24"/>
          <w:szCs w:val="24"/>
          <w:highlight w:val="green"/>
        </w:rPr>
        <w:t>Proposed resolution for CID</w:t>
      </w:r>
      <w:r w:rsidR="00C978E7" w:rsidRPr="0019436A">
        <w:rPr>
          <w:b/>
          <w:i/>
          <w:sz w:val="24"/>
          <w:szCs w:val="24"/>
          <w:highlight w:val="green"/>
        </w:rPr>
        <w:t xml:space="preserve"> 3728</w:t>
      </w:r>
      <w:r w:rsidRPr="0019436A">
        <w:rPr>
          <w:b/>
          <w:i/>
          <w:sz w:val="24"/>
          <w:szCs w:val="24"/>
          <w:highlight w:val="green"/>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22/2063r</w:t>
      </w:r>
      <w:r w:rsidR="00AE49A7">
        <w:rPr>
          <w:rFonts w:eastAsiaTheme="minorEastAsia"/>
          <w:color w:val="000000"/>
          <w:sz w:val="24"/>
          <w:szCs w:val="24"/>
          <w:lang w:eastAsia="zh-CN"/>
        </w:rPr>
        <w:t>1</w:t>
      </w:r>
      <w:r>
        <w:rPr>
          <w:rFonts w:eastAsiaTheme="minorEastAsia"/>
          <w:color w:val="000000"/>
          <w:sz w:val="24"/>
          <w:szCs w:val="24"/>
          <w:lang w:eastAsia="zh-CN"/>
        </w:rPr>
        <w:t xml:space="preserve"> at </w:t>
      </w:r>
      <w:hyperlink r:id="rId34" w:history="1">
        <w:r w:rsidR="00AE49A7">
          <w:rPr>
            <w:rStyle w:val="Hyperlink"/>
            <w:rFonts w:eastAsiaTheme="minorEastAsia"/>
            <w:sz w:val="24"/>
            <w:szCs w:val="24"/>
            <w:lang w:eastAsia="zh-CN"/>
          </w:rPr>
          <w:t>https://mentor.ieee.org/802.11/dcn/22/11-22-2063-01-000m-proposed-resolution-for-miscellaneous-lb270-comments-part-2.docx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007D0184"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2271C6" w:rsidP="002A72AD">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2A72AD">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2271C6" w:rsidP="002A72AD">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2A72AD">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2060.6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2252.50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2253.62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2254.4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Agree with the commenter that “valid” is not necessary.</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2271C6" w:rsidRPr="00B603A7">
        <w:rPr>
          <w:b/>
          <w:i/>
          <w:sz w:val="24"/>
          <w:szCs w:val="24"/>
          <w:highlight w:val="green"/>
        </w:rPr>
        <w:t xml:space="preserve"> 3274</w:t>
      </w:r>
      <w:r w:rsidRPr="00B603A7">
        <w:rPr>
          <w:b/>
          <w:i/>
          <w:sz w:val="24"/>
          <w:szCs w:val="24"/>
          <w:highlight w:val="green"/>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4A4570" w:rsidP="002A72AD">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2A72AD">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2A72AD">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2A72AD">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 on the proposed resolution but the line numbers may not be correct.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4A4570" w:rsidRPr="00B603A7">
        <w:rPr>
          <w:b/>
          <w:i/>
          <w:sz w:val="24"/>
          <w:szCs w:val="24"/>
          <w:highlight w:val="green"/>
        </w:rPr>
        <w:t xml:space="preserve"> 3483</w:t>
      </w:r>
      <w:r w:rsidRPr="00B603A7">
        <w:rPr>
          <w:b/>
          <w:i/>
          <w:sz w:val="24"/>
          <w:szCs w:val="24"/>
          <w:highlight w:val="green"/>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564D5" w:rsidRPr="004E459E" w:rsidRDefault="002564D5">
      <w:pPr>
        <w:rPr>
          <w:rFonts w:eastAsiaTheme="minorEastAsia"/>
          <w:color w:val="000000"/>
          <w:sz w:val="24"/>
          <w:szCs w:val="24"/>
          <w:lang w:eastAsia="zh-CN"/>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sz w:val="24"/>
                <w:szCs w:val="24"/>
                <w:lang w:val="en-US"/>
              </w:rPr>
            </w:pPr>
            <w:r w:rsidRPr="001E491B">
              <w:rPr>
                <w:sz w:val="24"/>
                <w:szCs w:val="24"/>
                <w:lang w:val="en-US"/>
              </w:rPr>
              <w:t>Proposed Change</w:t>
            </w:r>
          </w:p>
        </w:tc>
      </w:tr>
      <w:tr w:rsidR="002564D5" w:rsidRPr="001E491B" w:rsidTr="002A72AD">
        <w:trPr>
          <w:trHeight w:val="1223"/>
          <w:jc w:val="center"/>
        </w:trPr>
        <w:tc>
          <w:tcPr>
            <w:tcW w:w="364" w:type="pct"/>
            <w:shd w:val="clear" w:color="auto" w:fill="auto"/>
          </w:tcPr>
          <w:p w:rsidR="002564D5" w:rsidRPr="001E491B" w:rsidRDefault="002564D5" w:rsidP="002A72AD">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2A72AD">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2A72AD">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  Fields and elements using the term "Counter' in their name should be capitalized.</w:t>
            </w:r>
          </w:p>
        </w:tc>
        <w:tc>
          <w:tcPr>
            <w:tcW w:w="1745" w:type="pct"/>
            <w:shd w:val="clear" w:color="auto" w:fill="auto"/>
          </w:tcPr>
          <w:p w:rsidR="002564D5" w:rsidRPr="001E491B" w:rsidRDefault="002564D5" w:rsidP="002A72AD">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If the FMS stream identified in the FMS subelement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193731">
        <w:rPr>
          <w:b/>
          <w:i/>
          <w:sz w:val="24"/>
          <w:szCs w:val="24"/>
          <w:highlight w:val="green"/>
        </w:rPr>
        <w:t>Proposed resolution for CID 3115:</w:t>
      </w:r>
    </w:p>
    <w:p w:rsidR="002564D5" w:rsidRDefault="00B06CDB" w:rsidP="002564D5">
      <w:pPr>
        <w:rPr>
          <w:rFonts w:eastAsiaTheme="minorEastAsia"/>
          <w:color w:val="000000"/>
          <w:sz w:val="24"/>
          <w:szCs w:val="24"/>
          <w:lang w:eastAsia="zh-CN"/>
        </w:rPr>
      </w:pPr>
      <w:r>
        <w:rPr>
          <w:rFonts w:eastAsiaTheme="minorEastAsia"/>
          <w:color w:val="000000"/>
          <w:sz w:val="24"/>
          <w:szCs w:val="24"/>
          <w:lang w:eastAsia="zh-CN"/>
        </w:rPr>
        <w:t>Revised.</w:t>
      </w:r>
    </w:p>
    <w:p w:rsidR="00B06CDB" w:rsidRDefault="00B06CDB" w:rsidP="002564D5">
      <w:pPr>
        <w:rPr>
          <w:rFonts w:eastAsiaTheme="minorEastAsia"/>
          <w:color w:val="000000"/>
          <w:sz w:val="24"/>
          <w:szCs w:val="24"/>
          <w:lang w:eastAsia="zh-CN"/>
        </w:rPr>
      </w:pPr>
    </w:p>
    <w:p w:rsidR="00B06CDB" w:rsidRDefault="00B06CDB" w:rsidP="002564D5">
      <w:pPr>
        <w:rPr>
          <w:rFonts w:eastAsiaTheme="minorEastAsia"/>
          <w:color w:val="000000"/>
          <w:sz w:val="24"/>
          <w:szCs w:val="24"/>
          <w:lang w:eastAsia="zh-CN"/>
        </w:rPr>
      </w:pPr>
      <w:r>
        <w:rPr>
          <w:rFonts w:eastAsiaTheme="minorEastAsia"/>
          <w:color w:val="000000"/>
          <w:sz w:val="24"/>
          <w:szCs w:val="24"/>
          <w:lang w:eastAsia="zh-CN"/>
        </w:rPr>
        <w:t>At 1105.64 and 2395.33, replace “Counter” with “counter”.</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5F8" w:rsidRDefault="00EA75F8">
      <w:r>
        <w:separator/>
      </w:r>
    </w:p>
  </w:endnote>
  <w:endnote w:type="continuationSeparator" w:id="0">
    <w:p w:rsidR="00EA75F8" w:rsidRDefault="00E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Pr="00AF76BB" w:rsidRDefault="00B603A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82767E">
      <w:rPr>
        <w:noProof/>
        <w:lang w:val="fr-CA"/>
      </w:rPr>
      <w:t>1</w:t>
    </w:r>
    <w:r>
      <w:rPr>
        <w:noProof/>
      </w:rPr>
      <w:fldChar w:fldCharType="end"/>
    </w:r>
    <w:r w:rsidRPr="00AF76BB">
      <w:rPr>
        <w:lang w:val="fr-CA"/>
      </w:rPr>
      <w:tab/>
      <w:t xml:space="preserve">     Edward Au, Huawei Technologies</w:t>
    </w:r>
  </w:p>
  <w:p w:rsidR="00B603A7" w:rsidRPr="00AF76BB" w:rsidRDefault="00B603A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5F8" w:rsidRDefault="00EA75F8">
      <w:r>
        <w:separator/>
      </w:r>
    </w:p>
  </w:footnote>
  <w:footnote w:type="continuationSeparator" w:id="0">
    <w:p w:rsidR="00EA75F8" w:rsidRDefault="00EA7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Default="0082767E" w:rsidP="00A525F0">
    <w:pPr>
      <w:pStyle w:val="Header"/>
      <w:tabs>
        <w:tab w:val="clear" w:pos="6480"/>
        <w:tab w:val="center" w:pos="4680"/>
        <w:tab w:val="right" w:pos="9781"/>
      </w:tabs>
    </w:pPr>
    <w:r>
      <w:t>January 2023</w:t>
    </w:r>
    <w:r w:rsidR="00B603A7">
      <w:tab/>
    </w:r>
    <w:r w:rsidR="00B603A7">
      <w:tab/>
      <w:t xml:space="preserve">  </w:t>
    </w:r>
    <w:fldSimple w:instr=" TITLE  \* MERGEFORMAT ">
      <w:r w:rsidR="00B603A7">
        <w:t>doc.: IEEE 802.11-22/2063r</w:t>
      </w:r>
      <w: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7FD"/>
    <w:rsid w:val="00182D1E"/>
    <w:rsid w:val="00182D46"/>
    <w:rsid w:val="001832AB"/>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C1E"/>
    <w:rsid w:val="004E5648"/>
    <w:rsid w:val="004E7049"/>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24C0"/>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1-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E7F1-6861-4012-B034-6FDE4326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22/2063r3</vt:lpstr>
    </vt:vector>
  </TitlesOfParts>
  <Company>Huawei Technologies</Company>
  <LinksUpToDate>false</LinksUpToDate>
  <CharactersWithSpaces>31478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22/2063r4</dc:title>
  <dc:subject>Comment Resolution for CID1014</dc:subject>
  <dc:creator>Edward Au</dc:creator>
  <cp:keywords>Submission</cp:keywords>
  <dc:description/>
  <cp:lastModifiedBy>Edward Au</cp:lastModifiedBy>
  <cp:revision>228</cp:revision>
  <cp:lastPrinted>2011-03-31T18:31:00Z</cp:lastPrinted>
  <dcterms:created xsi:type="dcterms:W3CDTF">2022-01-24T22:37:00Z</dcterms:created>
  <dcterms:modified xsi:type="dcterms:W3CDTF">2022-12-28T18:51:00Z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