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788C671E" w:rsidR="00946C79" w:rsidRDefault="00BC0D09">
            <w:pPr>
              <w:pStyle w:val="T2"/>
            </w:pPr>
            <w:r>
              <w:t xml:space="preserve">S1G </w:t>
            </w:r>
            <w:r w:rsidR="009B7613">
              <w:t>CID</w:t>
            </w:r>
            <w:r>
              <w:t>s</w:t>
            </w:r>
          </w:p>
        </w:tc>
      </w:tr>
      <w:tr w:rsidR="00946C79" w14:paraId="5E48BDB7" w14:textId="77777777">
        <w:trPr>
          <w:trHeight w:val="359"/>
          <w:jc w:val="center"/>
        </w:trPr>
        <w:tc>
          <w:tcPr>
            <w:tcW w:w="9576" w:type="dxa"/>
            <w:gridSpan w:val="5"/>
            <w:vAlign w:val="center"/>
          </w:tcPr>
          <w:p w14:paraId="088480AA" w14:textId="6C44A42F" w:rsidR="00946C79" w:rsidRDefault="009B7613">
            <w:pPr>
              <w:pStyle w:val="T2"/>
              <w:ind w:left="0"/>
              <w:rPr>
                <w:sz w:val="20"/>
              </w:rPr>
            </w:pPr>
            <w:r>
              <w:rPr>
                <w:sz w:val="20"/>
              </w:rPr>
              <w:t>Date:  202</w:t>
            </w:r>
            <w:r w:rsidR="00AF4848">
              <w:rPr>
                <w:sz w:val="20"/>
              </w:rPr>
              <w:t>2</w:t>
            </w:r>
            <w:r>
              <w:rPr>
                <w:sz w:val="20"/>
              </w:rPr>
              <w:t>-</w:t>
            </w:r>
            <w:r w:rsidR="00DC011B">
              <w:rPr>
                <w:sz w:val="20"/>
              </w:rPr>
              <w:t>12</w:t>
            </w:r>
            <w:r>
              <w:rPr>
                <w:sz w:val="20"/>
              </w:rPr>
              <w:t>-</w:t>
            </w:r>
            <w:r w:rsidR="00CF581B">
              <w:rPr>
                <w:sz w:val="20"/>
              </w:rPr>
              <w:t>0</w:t>
            </w:r>
            <w:r w:rsidR="00DC011B">
              <w:rPr>
                <w:sz w:val="20"/>
              </w:rPr>
              <w:t>2</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bl>
    <w:p w14:paraId="651CE7D5" w14:textId="0A16A247" w:rsidR="00946C79" w:rsidRDefault="00780FDF">
      <w:pPr>
        <w:pStyle w:val="T1"/>
        <w:spacing w:after="120"/>
        <w:rPr>
          <w:sz w:val="22"/>
        </w:rPr>
      </w:pPr>
      <w:r>
        <w:rPr>
          <w:noProof/>
        </w:rPr>
        <mc:AlternateContent>
          <mc:Choice Requires="wps">
            <w:drawing>
              <wp:anchor distT="0" distB="0" distL="118872" distR="118872" simplePos="0" relativeHeight="251657728" behindDoc="0" locked="0" layoutInCell="1" allowOverlap="1" wp14:anchorId="5FF0E955" wp14:editId="620D1BE5">
                <wp:simplePos x="0" y="0"/>
                <wp:positionH relativeFrom="column">
                  <wp:posOffset>-64698</wp:posOffset>
                </wp:positionH>
                <wp:positionV relativeFrom="paragraph">
                  <wp:posOffset>202564</wp:posOffset>
                </wp:positionV>
                <wp:extent cx="5943600" cy="334704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347049"/>
                        </a:xfrm>
                        <a:prstGeom prst="rect">
                          <a:avLst/>
                        </a:prstGeom>
                        <a:ln w="0" cap="flat" cmpd="sng" algn="ctr">
                          <a:noFill/>
                          <a:miter lim="800000"/>
                          <a:headEnd type="none" w="med" len="med"/>
                          <a:tailEnd type="none" w="med" len="med"/>
                        </a:ln>
                        <a:effectLst/>
                      </wps:spPr>
                      <wps:txbx>
                        <w:txbxContent>
                          <w:p w14:paraId="6CE43E0B" w14:textId="77777777" w:rsidR="00946C79" w:rsidRDefault="009B7613">
                            <w:pPr>
                              <w:pStyle w:val="T1"/>
                              <w:spacing w:after="120"/>
                            </w:pPr>
                            <w:r>
                              <w:t>Abstract</w:t>
                            </w:r>
                          </w:p>
                          <w:p w14:paraId="0B2D1161" w14:textId="21CD700D" w:rsidR="00946C79" w:rsidRDefault="009B7613">
                            <w:pPr>
                              <w:jc w:val="both"/>
                            </w:pPr>
                            <w:r>
                              <w:t xml:space="preserve">This document proposes comment resolutions for </w:t>
                            </w:r>
                            <w:r w:rsidR="00AF4848">
                              <w:t>LB</w:t>
                            </w:r>
                            <w:r w:rsidR="00BC0D09">
                              <w:t>1000 SAB</w:t>
                            </w:r>
                            <w:r w:rsidR="00AF4848">
                              <w:t xml:space="preserve"> CID</w:t>
                            </w:r>
                            <w:r w:rsidR="00CF581B">
                              <w:t>s</w:t>
                            </w:r>
                            <w:r w:rsidR="00AF4848">
                              <w:t xml:space="preserve"> </w:t>
                            </w:r>
                            <w:r w:rsidR="00BC0D09">
                              <w:t>5107, 5160</w:t>
                            </w:r>
                            <w:r w:rsidR="00CF581B">
                              <w:t xml:space="preserve"> and </w:t>
                            </w:r>
                            <w:r w:rsidR="00BC0D09">
                              <w:t>5161</w:t>
                            </w:r>
                            <w:r w:rsidR="00AF4848">
                              <w:t>.</w:t>
                            </w:r>
                          </w:p>
                          <w:p w14:paraId="4AD573CD" w14:textId="65F54409" w:rsidR="00755976" w:rsidRDefault="00755976">
                            <w:pPr>
                              <w:jc w:val="both"/>
                            </w:pP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13410881" w:rsidR="00946C79" w:rsidRDefault="009B7613">
                            <w:r>
                              <w:t xml:space="preserve">CID </w:t>
                            </w:r>
                            <w:r w:rsidR="00BC0D09">
                              <w:t>5107, 5160 and 5161</w:t>
                            </w:r>
                            <w:r>
                              <w:t xml:space="preserve"> </w:t>
                            </w:r>
                            <w:r w:rsidR="00CF581B">
                              <w:t>are</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2DF01067" w:rsidR="00946C79" w:rsidRDefault="009B7613">
                            <w:pPr>
                              <w:numPr>
                                <w:ilvl w:val="0"/>
                                <w:numId w:val="13"/>
                              </w:numPr>
                              <w:jc w:val="both"/>
                            </w:pPr>
                            <w:r>
                              <w:t xml:space="preserve">CID </w:t>
                            </w:r>
                            <w:r w:rsidR="00BC0D09">
                              <w:t xml:space="preserve">5107, 5160 and </w:t>
                            </w:r>
                            <w:proofErr w:type="gramStart"/>
                            <w:r w:rsidR="00BC0D09">
                              <w:t>5161</w:t>
                            </w:r>
                            <w:r>
                              <w:t xml:space="preserve"> :</w:t>
                            </w:r>
                            <w:proofErr w:type="gramEnd"/>
                            <w:r>
                              <w:t xml:space="preserve"> </w:t>
                            </w:r>
                            <w:r w:rsidR="006F4CA1">
                              <w:t>Revised</w:t>
                            </w:r>
                            <w:r>
                              <w:t>.</w:t>
                            </w:r>
                            <w:r w:rsidR="00863B55">
                              <w:t xml:space="preserve"> </w:t>
                            </w:r>
                          </w:p>
                          <w:p w14:paraId="678D58F0" w14:textId="77777777" w:rsidR="00946C79" w:rsidRDefault="00946C79"/>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FF0E955"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1CD700D" w:rsidR="00946C79" w:rsidRDefault="009B7613">
                      <w:pPr>
                        <w:jc w:val="both"/>
                      </w:pPr>
                      <w:r>
                        <w:t xml:space="preserve">This document proposes comment resolutions for </w:t>
                      </w:r>
                      <w:r w:rsidR="00AF4848">
                        <w:t>LB</w:t>
                      </w:r>
                      <w:r w:rsidR="00BC0D09">
                        <w:t>1000 SAB</w:t>
                      </w:r>
                      <w:r w:rsidR="00AF4848">
                        <w:t xml:space="preserve"> CID</w:t>
                      </w:r>
                      <w:r w:rsidR="00CF581B">
                        <w:t>s</w:t>
                      </w:r>
                      <w:r w:rsidR="00AF4848">
                        <w:t xml:space="preserve"> </w:t>
                      </w:r>
                      <w:r w:rsidR="00BC0D09">
                        <w:t>5107, 5160</w:t>
                      </w:r>
                      <w:r w:rsidR="00CF581B">
                        <w:t xml:space="preserve"> and </w:t>
                      </w:r>
                      <w:r w:rsidR="00BC0D09">
                        <w:t>5161</w:t>
                      </w:r>
                      <w:r w:rsidR="00AF4848">
                        <w:t>.</w:t>
                      </w:r>
                    </w:p>
                    <w:p w14:paraId="4AD573CD" w14:textId="65F54409" w:rsidR="00755976" w:rsidRDefault="00755976">
                      <w:pPr>
                        <w:jc w:val="both"/>
                      </w:pP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13410881" w:rsidR="00946C79" w:rsidRDefault="009B7613">
                      <w:r>
                        <w:t xml:space="preserve">CID </w:t>
                      </w:r>
                      <w:r w:rsidR="00BC0D09">
                        <w:t>5107, 5160 and 5161</w:t>
                      </w:r>
                      <w:r>
                        <w:t xml:space="preserve"> </w:t>
                      </w:r>
                      <w:r w:rsidR="00CF581B">
                        <w:t>are</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2DF01067" w:rsidR="00946C79" w:rsidRDefault="009B7613">
                      <w:pPr>
                        <w:numPr>
                          <w:ilvl w:val="0"/>
                          <w:numId w:val="13"/>
                        </w:numPr>
                        <w:jc w:val="both"/>
                      </w:pPr>
                      <w:r>
                        <w:t xml:space="preserve">CID </w:t>
                      </w:r>
                      <w:r w:rsidR="00BC0D09">
                        <w:t xml:space="preserve">5107, 5160 and </w:t>
                      </w:r>
                      <w:proofErr w:type="gramStart"/>
                      <w:r w:rsidR="00BC0D09">
                        <w:t>5161</w:t>
                      </w:r>
                      <w:r>
                        <w:t xml:space="preserve"> :</w:t>
                      </w:r>
                      <w:proofErr w:type="gramEnd"/>
                      <w:r>
                        <w:t xml:space="preserve"> </w:t>
                      </w:r>
                      <w:r w:rsidR="006F4CA1">
                        <w:t>Revised</w:t>
                      </w:r>
                      <w:r>
                        <w:t>.</w:t>
                      </w:r>
                      <w:r w:rsidR="00863B55">
                        <w:t xml:space="preserve"> </w:t>
                      </w:r>
                    </w:p>
                    <w:p w14:paraId="678D58F0" w14:textId="77777777" w:rsidR="00946C79" w:rsidRDefault="00946C79"/>
                  </w:txbxContent>
                </v:textbox>
              </v:rect>
            </w:pict>
          </mc:Fallback>
        </mc:AlternateContent>
      </w:r>
    </w:p>
    <w:p w14:paraId="20F6CDF7" w14:textId="77777777" w:rsidR="00946C79" w:rsidRDefault="009B7613">
      <w:r>
        <w:br w:type="page"/>
      </w:r>
    </w:p>
    <w:p w14:paraId="393E1455" w14:textId="1C718B1E" w:rsidR="00946C79" w:rsidRDefault="00946C79"/>
    <w:p w14:paraId="4AF2B9D7" w14:textId="5CD052EE" w:rsidR="00D25FFD" w:rsidRDefault="00D25FFD"/>
    <w:p w14:paraId="3F0A6EE5" w14:textId="77777777" w:rsidR="00D25FFD" w:rsidRDefault="00D25FFD"/>
    <w:p w14:paraId="0075F866" w14:textId="77777777" w:rsidR="00065CA4" w:rsidRDefault="00065CA4"/>
    <w:p w14:paraId="58C0DCB5" w14:textId="77777777" w:rsidR="00065CA4" w:rsidRDefault="00065CA4"/>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51"/>
        <w:gridCol w:w="832"/>
        <w:gridCol w:w="1051"/>
        <w:gridCol w:w="2766"/>
        <w:gridCol w:w="2759"/>
      </w:tblGrid>
      <w:tr w:rsidR="00BC0D09" w:rsidRPr="00BC0D09" w14:paraId="2B76BBC3" w14:textId="77777777" w:rsidTr="00BC0D09">
        <w:trPr>
          <w:trHeight w:val="780"/>
        </w:trPr>
        <w:tc>
          <w:tcPr>
            <w:tcW w:w="620" w:type="dxa"/>
            <w:shd w:val="clear" w:color="auto" w:fill="auto"/>
            <w:hideMark/>
          </w:tcPr>
          <w:p w14:paraId="730C9BFF"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CID</w:t>
            </w:r>
          </w:p>
        </w:tc>
        <w:tc>
          <w:tcPr>
            <w:tcW w:w="960" w:type="dxa"/>
            <w:shd w:val="clear" w:color="auto" w:fill="auto"/>
            <w:hideMark/>
          </w:tcPr>
          <w:p w14:paraId="45C9798D"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Page</w:t>
            </w:r>
          </w:p>
        </w:tc>
        <w:tc>
          <w:tcPr>
            <w:tcW w:w="840" w:type="dxa"/>
            <w:shd w:val="clear" w:color="auto" w:fill="auto"/>
            <w:hideMark/>
          </w:tcPr>
          <w:p w14:paraId="5D48F00F"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Line</w:t>
            </w:r>
          </w:p>
        </w:tc>
        <w:tc>
          <w:tcPr>
            <w:tcW w:w="960" w:type="dxa"/>
            <w:shd w:val="clear" w:color="auto" w:fill="auto"/>
            <w:hideMark/>
          </w:tcPr>
          <w:p w14:paraId="522E677C"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Clause</w:t>
            </w:r>
          </w:p>
        </w:tc>
        <w:tc>
          <w:tcPr>
            <w:tcW w:w="2820" w:type="dxa"/>
            <w:shd w:val="clear" w:color="auto" w:fill="auto"/>
            <w:hideMark/>
          </w:tcPr>
          <w:p w14:paraId="5944D96F"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Comment</w:t>
            </w:r>
          </w:p>
        </w:tc>
        <w:tc>
          <w:tcPr>
            <w:tcW w:w="2820" w:type="dxa"/>
            <w:shd w:val="clear" w:color="auto" w:fill="auto"/>
            <w:hideMark/>
          </w:tcPr>
          <w:p w14:paraId="41566BEA"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Proposed Change</w:t>
            </w:r>
          </w:p>
        </w:tc>
      </w:tr>
      <w:tr w:rsidR="00BC0D09" w:rsidRPr="00BC0D09" w14:paraId="5F66B218" w14:textId="77777777" w:rsidTr="00BC0D09">
        <w:trPr>
          <w:trHeight w:val="1510"/>
        </w:trPr>
        <w:tc>
          <w:tcPr>
            <w:tcW w:w="620" w:type="dxa"/>
            <w:shd w:val="clear" w:color="auto" w:fill="auto"/>
            <w:hideMark/>
          </w:tcPr>
          <w:p w14:paraId="050DF3D2"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5107</w:t>
            </w:r>
          </w:p>
        </w:tc>
        <w:tc>
          <w:tcPr>
            <w:tcW w:w="960" w:type="dxa"/>
            <w:shd w:val="clear" w:color="auto" w:fill="auto"/>
            <w:hideMark/>
          </w:tcPr>
          <w:p w14:paraId="034F79D0"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49.00</w:t>
            </w:r>
          </w:p>
        </w:tc>
        <w:tc>
          <w:tcPr>
            <w:tcW w:w="840" w:type="dxa"/>
            <w:shd w:val="clear" w:color="auto" w:fill="auto"/>
            <w:hideMark/>
          </w:tcPr>
          <w:p w14:paraId="1B00CEB9" w14:textId="77777777" w:rsidR="00BC0D09" w:rsidRPr="00BC0D09" w:rsidRDefault="00BC0D09" w:rsidP="00BC0D09">
            <w:pPr>
              <w:rPr>
                <w:rFonts w:ascii="Arial" w:hAnsi="Arial" w:cs="Arial"/>
                <w:sz w:val="20"/>
                <w:lang w:val="en-US"/>
              </w:rPr>
            </w:pPr>
            <w:r w:rsidRPr="00BC0D09">
              <w:rPr>
                <w:rFonts w:ascii="Arial" w:hAnsi="Arial" w:cs="Arial"/>
                <w:sz w:val="20"/>
                <w:lang w:val="en-US"/>
              </w:rPr>
              <w:t>0</w:t>
            </w:r>
          </w:p>
        </w:tc>
        <w:tc>
          <w:tcPr>
            <w:tcW w:w="960" w:type="dxa"/>
            <w:shd w:val="clear" w:color="auto" w:fill="auto"/>
            <w:hideMark/>
          </w:tcPr>
          <w:p w14:paraId="09073E7E" w14:textId="77777777" w:rsidR="00BC0D09" w:rsidRPr="00BC0D09" w:rsidRDefault="00BC0D09" w:rsidP="00BC0D09">
            <w:pPr>
              <w:rPr>
                <w:rFonts w:ascii="Arial" w:hAnsi="Arial" w:cs="Arial"/>
                <w:sz w:val="20"/>
                <w:lang w:val="en-US"/>
              </w:rPr>
            </w:pPr>
            <w:r w:rsidRPr="00BC0D09">
              <w:rPr>
                <w:rFonts w:ascii="Arial" w:hAnsi="Arial" w:cs="Arial"/>
                <w:sz w:val="20"/>
                <w:lang w:val="en-US"/>
              </w:rPr>
              <w:t>9.4.2.191</w:t>
            </w:r>
          </w:p>
        </w:tc>
        <w:tc>
          <w:tcPr>
            <w:tcW w:w="2820" w:type="dxa"/>
            <w:shd w:val="clear" w:color="auto" w:fill="auto"/>
            <w:hideMark/>
          </w:tcPr>
          <w:p w14:paraId="75F5237D" w14:textId="77777777" w:rsidR="00BC0D09" w:rsidRPr="00BC0D09" w:rsidRDefault="00BC0D09" w:rsidP="00BC0D09">
            <w:pPr>
              <w:rPr>
                <w:rFonts w:ascii="Arial" w:hAnsi="Arial" w:cs="Arial"/>
                <w:sz w:val="20"/>
                <w:lang w:val="en-US"/>
              </w:rPr>
            </w:pPr>
            <w:r w:rsidRPr="00BC0D09">
              <w:rPr>
                <w:rFonts w:ascii="Arial" w:hAnsi="Arial" w:cs="Arial"/>
                <w:sz w:val="20"/>
                <w:lang w:val="en-US"/>
              </w:rPr>
              <w:t>A way to schedule EBCS UL traffic through RAW, for S1G traffic and utilizing the RPS element, is missing.</w:t>
            </w:r>
          </w:p>
        </w:tc>
        <w:tc>
          <w:tcPr>
            <w:tcW w:w="2820" w:type="dxa"/>
            <w:shd w:val="clear" w:color="auto" w:fill="auto"/>
            <w:hideMark/>
          </w:tcPr>
          <w:p w14:paraId="585F69B2" w14:textId="77777777" w:rsidR="00BC0D09" w:rsidRPr="00BC0D09" w:rsidRDefault="00BC0D09" w:rsidP="00BC0D09">
            <w:pPr>
              <w:rPr>
                <w:rFonts w:ascii="Arial" w:hAnsi="Arial" w:cs="Arial"/>
                <w:sz w:val="20"/>
                <w:lang w:val="en-US"/>
              </w:rPr>
            </w:pPr>
            <w:r w:rsidRPr="00BC0D09">
              <w:rPr>
                <w:rFonts w:ascii="Arial" w:hAnsi="Arial" w:cs="Arial"/>
                <w:sz w:val="20"/>
                <w:lang w:val="en-US"/>
              </w:rPr>
              <w:t xml:space="preserve">Create an EBCS UL RAW, which is </w:t>
            </w:r>
            <w:proofErr w:type="gramStart"/>
            <w:r w:rsidRPr="00BC0D09">
              <w:rPr>
                <w:rFonts w:ascii="Arial" w:hAnsi="Arial" w:cs="Arial"/>
                <w:sz w:val="20"/>
                <w:lang w:val="en-US"/>
              </w:rPr>
              <w:t>similar to</w:t>
            </w:r>
            <w:proofErr w:type="gramEnd"/>
            <w:r w:rsidRPr="00BC0D09">
              <w:rPr>
                <w:rFonts w:ascii="Arial" w:hAnsi="Arial" w:cs="Arial"/>
                <w:sz w:val="20"/>
                <w:lang w:val="en-US"/>
              </w:rPr>
              <w:t xml:space="preserve"> the Simplex, Omni RAW. A submission by commenter will be done during comment resolution.</w:t>
            </w:r>
          </w:p>
        </w:tc>
      </w:tr>
      <w:tr w:rsidR="00BC0D09" w:rsidRPr="00BC0D09" w14:paraId="7943678F" w14:textId="77777777" w:rsidTr="00BC0D09">
        <w:trPr>
          <w:trHeight w:val="2770"/>
        </w:trPr>
        <w:tc>
          <w:tcPr>
            <w:tcW w:w="620" w:type="dxa"/>
            <w:shd w:val="clear" w:color="auto" w:fill="auto"/>
            <w:hideMark/>
          </w:tcPr>
          <w:p w14:paraId="01CB3A29"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5160</w:t>
            </w:r>
          </w:p>
        </w:tc>
        <w:tc>
          <w:tcPr>
            <w:tcW w:w="960" w:type="dxa"/>
            <w:shd w:val="clear" w:color="auto" w:fill="auto"/>
            <w:hideMark/>
          </w:tcPr>
          <w:p w14:paraId="6C82D889" w14:textId="77777777" w:rsidR="00BC0D09" w:rsidRPr="00BC0D09" w:rsidRDefault="00BC0D09" w:rsidP="00BC0D09">
            <w:pPr>
              <w:jc w:val="right"/>
              <w:rPr>
                <w:rFonts w:ascii="Arial" w:hAnsi="Arial" w:cs="Arial"/>
                <w:sz w:val="20"/>
                <w:lang w:val="en-US"/>
              </w:rPr>
            </w:pPr>
          </w:p>
        </w:tc>
        <w:tc>
          <w:tcPr>
            <w:tcW w:w="840" w:type="dxa"/>
            <w:shd w:val="clear" w:color="auto" w:fill="auto"/>
            <w:hideMark/>
          </w:tcPr>
          <w:p w14:paraId="72B9EEF6" w14:textId="77777777" w:rsidR="00BC0D09" w:rsidRPr="00BC0D09" w:rsidRDefault="00BC0D09" w:rsidP="00BC0D09">
            <w:pPr>
              <w:rPr>
                <w:sz w:val="20"/>
                <w:lang w:val="en-US"/>
              </w:rPr>
            </w:pPr>
          </w:p>
        </w:tc>
        <w:tc>
          <w:tcPr>
            <w:tcW w:w="960" w:type="dxa"/>
            <w:shd w:val="clear" w:color="auto" w:fill="auto"/>
            <w:hideMark/>
          </w:tcPr>
          <w:p w14:paraId="62115990" w14:textId="77777777" w:rsidR="00BC0D09" w:rsidRPr="00BC0D09" w:rsidRDefault="00BC0D09" w:rsidP="00BC0D09">
            <w:pPr>
              <w:rPr>
                <w:sz w:val="20"/>
                <w:lang w:val="en-US"/>
              </w:rPr>
            </w:pPr>
          </w:p>
        </w:tc>
        <w:tc>
          <w:tcPr>
            <w:tcW w:w="2820" w:type="dxa"/>
            <w:shd w:val="clear" w:color="auto" w:fill="auto"/>
            <w:hideMark/>
          </w:tcPr>
          <w:p w14:paraId="4EA5CF70" w14:textId="77777777" w:rsidR="00BC0D09" w:rsidRPr="00BC0D09" w:rsidRDefault="00BC0D09" w:rsidP="00BC0D09">
            <w:pPr>
              <w:rPr>
                <w:rFonts w:ascii="Arial" w:hAnsi="Arial" w:cs="Arial"/>
                <w:sz w:val="20"/>
                <w:lang w:val="en-US"/>
              </w:rPr>
            </w:pPr>
            <w:r w:rsidRPr="00BC0D09">
              <w:rPr>
                <w:rFonts w:ascii="Arial" w:hAnsi="Arial" w:cs="Arial"/>
                <w:sz w:val="20"/>
                <w:lang w:val="en-US"/>
              </w:rPr>
              <w:t xml:space="preserve">In 802.11bc, a STA does not need to be associated to send an uplink frame (EBCS UL frame). </w:t>
            </w:r>
            <w:proofErr w:type="gramStart"/>
            <w:r w:rsidRPr="00BC0D09">
              <w:rPr>
                <w:rFonts w:ascii="Arial" w:hAnsi="Arial" w:cs="Arial"/>
                <w:sz w:val="20"/>
                <w:lang w:val="en-US"/>
              </w:rPr>
              <w:t>A large number of</w:t>
            </w:r>
            <w:proofErr w:type="gramEnd"/>
            <w:r w:rsidRPr="00BC0D09">
              <w:rPr>
                <w:rFonts w:ascii="Arial" w:hAnsi="Arial" w:cs="Arial"/>
                <w:sz w:val="20"/>
                <w:lang w:val="en-US"/>
              </w:rPr>
              <w:t xml:space="preserve"> unassociated EBCS UL STAs sending unscheduled traffic may cause collisions and loss of data, for example in 802.11ah metering applications.</w:t>
            </w:r>
          </w:p>
        </w:tc>
        <w:tc>
          <w:tcPr>
            <w:tcW w:w="2820" w:type="dxa"/>
            <w:shd w:val="clear" w:color="auto" w:fill="auto"/>
            <w:hideMark/>
          </w:tcPr>
          <w:p w14:paraId="4A13EBA1" w14:textId="77777777" w:rsidR="00BC0D09" w:rsidRPr="00BC0D09" w:rsidRDefault="00BC0D09" w:rsidP="00BC0D09">
            <w:pPr>
              <w:rPr>
                <w:rFonts w:ascii="Arial" w:hAnsi="Arial" w:cs="Arial"/>
                <w:sz w:val="20"/>
                <w:lang w:val="en-US"/>
              </w:rPr>
            </w:pPr>
            <w:r w:rsidRPr="00BC0D09">
              <w:rPr>
                <w:rFonts w:ascii="Arial" w:hAnsi="Arial" w:cs="Arial"/>
                <w:sz w:val="20"/>
                <w:lang w:val="en-US"/>
              </w:rPr>
              <w:t xml:space="preserve">For 802.11ah create an EBCS UL restricted access window (RAW) which is </w:t>
            </w:r>
            <w:proofErr w:type="gramStart"/>
            <w:r w:rsidRPr="00BC0D09">
              <w:rPr>
                <w:rFonts w:ascii="Arial" w:hAnsi="Arial" w:cs="Arial"/>
                <w:sz w:val="20"/>
                <w:lang w:val="en-US"/>
              </w:rPr>
              <w:t>similar to</w:t>
            </w:r>
            <w:proofErr w:type="gramEnd"/>
            <w:r w:rsidRPr="00BC0D09">
              <w:rPr>
                <w:rFonts w:ascii="Arial" w:hAnsi="Arial" w:cs="Arial"/>
                <w:sz w:val="20"/>
                <w:lang w:val="en-US"/>
              </w:rPr>
              <w:t xml:space="preserve"> the Simplex, Omni RAW.</w:t>
            </w:r>
          </w:p>
        </w:tc>
      </w:tr>
      <w:tr w:rsidR="00BC0D09" w:rsidRPr="00BC0D09" w14:paraId="68A9C4AF" w14:textId="77777777" w:rsidTr="00BC0D09">
        <w:trPr>
          <w:trHeight w:val="1230"/>
        </w:trPr>
        <w:tc>
          <w:tcPr>
            <w:tcW w:w="620" w:type="dxa"/>
            <w:shd w:val="clear" w:color="auto" w:fill="auto"/>
            <w:hideMark/>
          </w:tcPr>
          <w:p w14:paraId="29E8E49E"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5161</w:t>
            </w:r>
          </w:p>
        </w:tc>
        <w:tc>
          <w:tcPr>
            <w:tcW w:w="960" w:type="dxa"/>
            <w:shd w:val="clear" w:color="auto" w:fill="auto"/>
            <w:hideMark/>
          </w:tcPr>
          <w:p w14:paraId="66974B0D"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80.64</w:t>
            </w:r>
          </w:p>
        </w:tc>
        <w:tc>
          <w:tcPr>
            <w:tcW w:w="840" w:type="dxa"/>
            <w:shd w:val="clear" w:color="auto" w:fill="auto"/>
            <w:hideMark/>
          </w:tcPr>
          <w:p w14:paraId="552720C4" w14:textId="77777777" w:rsidR="00BC0D09" w:rsidRPr="00BC0D09" w:rsidRDefault="00BC0D09" w:rsidP="00BC0D09">
            <w:pPr>
              <w:rPr>
                <w:rFonts w:ascii="Arial" w:hAnsi="Arial" w:cs="Arial"/>
                <w:sz w:val="20"/>
                <w:lang w:val="en-US"/>
              </w:rPr>
            </w:pPr>
            <w:r w:rsidRPr="00BC0D09">
              <w:rPr>
                <w:rFonts w:ascii="Arial" w:hAnsi="Arial" w:cs="Arial"/>
                <w:sz w:val="20"/>
                <w:lang w:val="en-US"/>
              </w:rPr>
              <w:t>64</w:t>
            </w:r>
          </w:p>
        </w:tc>
        <w:tc>
          <w:tcPr>
            <w:tcW w:w="960" w:type="dxa"/>
            <w:shd w:val="clear" w:color="auto" w:fill="auto"/>
            <w:hideMark/>
          </w:tcPr>
          <w:p w14:paraId="5920E062" w14:textId="77777777" w:rsidR="00BC0D09" w:rsidRPr="00BC0D09" w:rsidRDefault="00BC0D09" w:rsidP="00BC0D09">
            <w:pPr>
              <w:rPr>
                <w:rFonts w:ascii="Arial" w:hAnsi="Arial" w:cs="Arial"/>
                <w:sz w:val="20"/>
                <w:lang w:val="en-US"/>
              </w:rPr>
            </w:pPr>
            <w:r w:rsidRPr="00BC0D09">
              <w:rPr>
                <w:rFonts w:ascii="Arial" w:hAnsi="Arial" w:cs="Arial"/>
                <w:sz w:val="20"/>
                <w:lang w:val="en-US"/>
              </w:rPr>
              <w:t>11.55.3.2</w:t>
            </w:r>
          </w:p>
        </w:tc>
        <w:tc>
          <w:tcPr>
            <w:tcW w:w="2820" w:type="dxa"/>
            <w:shd w:val="clear" w:color="auto" w:fill="auto"/>
            <w:hideMark/>
          </w:tcPr>
          <w:p w14:paraId="5D4CFFFE" w14:textId="77777777" w:rsidR="00BC0D09" w:rsidRPr="00BC0D09" w:rsidRDefault="00BC0D09" w:rsidP="00BC0D09">
            <w:pPr>
              <w:rPr>
                <w:rFonts w:ascii="Arial" w:hAnsi="Arial" w:cs="Arial"/>
                <w:sz w:val="20"/>
                <w:lang w:val="en-US"/>
              </w:rPr>
            </w:pPr>
            <w:r w:rsidRPr="00BC0D09">
              <w:rPr>
                <w:rFonts w:ascii="Arial" w:hAnsi="Arial" w:cs="Arial"/>
                <w:sz w:val="20"/>
                <w:lang w:val="en-US"/>
              </w:rPr>
              <w:t>There needs to be a similar description for the BSS color in EBCS info and data frames for an S1G AP.</w:t>
            </w:r>
          </w:p>
        </w:tc>
        <w:tc>
          <w:tcPr>
            <w:tcW w:w="2820" w:type="dxa"/>
            <w:shd w:val="clear" w:color="auto" w:fill="auto"/>
            <w:hideMark/>
          </w:tcPr>
          <w:p w14:paraId="6E059ECB" w14:textId="77777777" w:rsidR="00BC0D09" w:rsidRPr="00BC0D09" w:rsidRDefault="00BC0D09" w:rsidP="00BC0D09">
            <w:pPr>
              <w:rPr>
                <w:rFonts w:ascii="Arial" w:hAnsi="Arial" w:cs="Arial"/>
                <w:sz w:val="20"/>
                <w:lang w:val="en-US"/>
              </w:rPr>
            </w:pPr>
            <w:r w:rsidRPr="00BC0D09">
              <w:rPr>
                <w:rFonts w:ascii="Arial" w:hAnsi="Arial" w:cs="Arial"/>
                <w:sz w:val="20"/>
                <w:lang w:val="en-US"/>
              </w:rPr>
              <w:t>As per comment</w:t>
            </w:r>
          </w:p>
        </w:tc>
      </w:tr>
    </w:tbl>
    <w:p w14:paraId="1D9EC045" w14:textId="2EF5CB5E" w:rsidR="00946C79" w:rsidRDefault="009B7613">
      <w:r>
        <w:br w:type="page"/>
      </w:r>
    </w:p>
    <w:p w14:paraId="3D94F9EE" w14:textId="71338DD3" w:rsidR="00124779" w:rsidRPr="00124779" w:rsidRDefault="001D4DD2" w:rsidP="00BC0D09">
      <w:pPr>
        <w:rPr>
          <w:b/>
          <w:sz w:val="24"/>
          <w:u w:val="single"/>
        </w:rPr>
      </w:pPr>
      <w:r>
        <w:rPr>
          <w:i/>
          <w:iCs/>
        </w:rPr>
        <w:lastRenderedPageBreak/>
        <w:t xml:space="preserve">Proposed </w:t>
      </w:r>
      <w:r w:rsidR="00D54F33">
        <w:rPr>
          <w:i/>
          <w:iCs/>
        </w:rPr>
        <w:t>change</w:t>
      </w:r>
      <w:r w:rsidR="009A2479">
        <w:rPr>
          <w:i/>
          <w:iCs/>
        </w:rPr>
        <w:t xml:space="preserve"> for CIDs 5107 &amp; 5160</w:t>
      </w:r>
      <w:r w:rsidR="00D54F33">
        <w:rPr>
          <w:i/>
          <w:iCs/>
        </w:rPr>
        <w:t>:</w:t>
      </w:r>
      <w:r>
        <w:rPr>
          <w:i/>
          <w:iCs/>
        </w:rPr>
        <w:t xml:space="preserve"> for clause </w:t>
      </w:r>
      <w:r w:rsidR="009A2479">
        <w:rPr>
          <w:i/>
          <w:iCs/>
        </w:rPr>
        <w:t>9.4.2.191</w:t>
      </w:r>
    </w:p>
    <w:p w14:paraId="3656BF5B" w14:textId="77777777" w:rsidR="00CE7BAB" w:rsidRDefault="00CE7BAB">
      <w:pPr>
        <w:rPr>
          <w:b/>
          <w:sz w:val="24"/>
        </w:rPr>
      </w:pPr>
    </w:p>
    <w:p w14:paraId="241102DD" w14:textId="63B42CB9" w:rsidR="00030AB6" w:rsidRDefault="00030AB6">
      <w:pPr>
        <w:rPr>
          <w:b/>
          <w:sz w:val="24"/>
        </w:rPr>
      </w:pPr>
    </w:p>
    <w:p w14:paraId="5C2BA2F2" w14:textId="3BE7DB24" w:rsidR="0021773B" w:rsidRPr="0021773B" w:rsidRDefault="0021773B" w:rsidP="0021773B">
      <w:pPr>
        <w:pStyle w:val="T"/>
      </w:pPr>
      <w:r w:rsidRPr="0021773B">
        <w:t xml:space="preserve">The value of the RAW Type field indicates the type of the RAW defined by the RAW assignment. The interpretation of the RAW Type subfields is shown in </w:t>
      </w:r>
      <w:r w:rsidRPr="0021773B">
        <w:fldChar w:fldCharType="begin"/>
      </w:r>
      <w:r w:rsidRPr="0021773B">
        <w:instrText xml:space="preserve"> REF  RTF36383336393a205461626c65 \h</w:instrText>
      </w:r>
      <w:r w:rsidRPr="0021773B">
        <w:fldChar w:fldCharType="separate"/>
      </w:r>
      <w:r w:rsidRPr="0021773B">
        <w:t>Table 9-336 (Interpretation of RAW Type and RAW Type Options)</w:t>
      </w:r>
      <w:r w:rsidRPr="0021773B">
        <w:fldChar w:fldCharType="end"/>
      </w:r>
      <w:r w:rsidRPr="0021773B">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220"/>
        <w:gridCol w:w="4400"/>
      </w:tblGrid>
      <w:tr w:rsidR="0021773B" w:rsidRPr="0021773B" w14:paraId="3DD1833F" w14:textId="77777777" w:rsidTr="00A71081">
        <w:trPr>
          <w:jc w:val="center"/>
        </w:trPr>
        <w:tc>
          <w:tcPr>
            <w:tcW w:w="8060" w:type="dxa"/>
            <w:gridSpan w:val="3"/>
            <w:tcBorders>
              <w:top w:val="nil"/>
              <w:left w:val="nil"/>
              <w:bottom w:val="nil"/>
              <w:right w:val="nil"/>
            </w:tcBorders>
            <w:tcMar>
              <w:top w:w="120" w:type="dxa"/>
              <w:left w:w="120" w:type="dxa"/>
              <w:bottom w:w="60" w:type="dxa"/>
              <w:right w:w="120" w:type="dxa"/>
            </w:tcMar>
            <w:vAlign w:val="center"/>
          </w:tcPr>
          <w:p w14:paraId="111716C7" w14:textId="77777777" w:rsidR="0021773B" w:rsidRPr="0021773B" w:rsidRDefault="0021773B" w:rsidP="0021773B">
            <w:pPr>
              <w:widowControl w:val="0"/>
              <w:numPr>
                <w:ilvl w:val="0"/>
                <w:numId w:val="23"/>
              </w:numPr>
              <w:suppressAutoHyphens/>
              <w:autoSpaceDE w:val="0"/>
              <w:autoSpaceDN w:val="0"/>
              <w:adjustRightInd w:val="0"/>
              <w:spacing w:after="160" w:line="240" w:lineRule="atLeast"/>
              <w:jc w:val="center"/>
              <w:rPr>
                <w:rFonts w:ascii="Arial" w:hAnsi="Arial" w:cs="Arial"/>
                <w:b/>
                <w:bCs/>
                <w:color w:val="000000"/>
                <w:w w:val="0"/>
                <w:sz w:val="20"/>
                <w:lang w:val="en-US"/>
              </w:rPr>
            </w:pPr>
            <w:bookmarkStart w:id="0" w:name="RTF36383336393a205461626c65"/>
            <w:r w:rsidRPr="0021773B">
              <w:rPr>
                <w:rFonts w:ascii="Arial" w:hAnsi="Arial" w:cs="Arial"/>
                <w:b/>
                <w:bCs/>
                <w:color w:val="000000"/>
                <w:sz w:val="20"/>
                <w:lang w:val="en-US"/>
              </w:rPr>
              <w:t>Interpretation of RAW Type and RAW Type Options</w:t>
            </w:r>
            <w:bookmarkEnd w:id="0"/>
          </w:p>
        </w:tc>
      </w:tr>
      <w:tr w:rsidR="0021773B" w:rsidRPr="0021773B" w14:paraId="091F41F3" w14:textId="77777777" w:rsidTr="00A71081">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9A4CF25" w14:textId="77777777" w:rsidR="0021773B" w:rsidRPr="0021773B" w:rsidRDefault="0021773B" w:rsidP="0021773B">
            <w:pPr>
              <w:widowControl w:val="0"/>
              <w:suppressAutoHyphens/>
              <w:autoSpaceDE w:val="0"/>
              <w:autoSpaceDN w:val="0"/>
              <w:adjustRightInd w:val="0"/>
              <w:spacing w:line="200" w:lineRule="atLeast"/>
              <w:jc w:val="center"/>
              <w:rPr>
                <w:b/>
                <w:bCs/>
                <w:color w:val="000000"/>
                <w:w w:val="0"/>
                <w:sz w:val="18"/>
                <w:szCs w:val="18"/>
                <w:lang w:val="en-US"/>
              </w:rPr>
            </w:pPr>
            <w:r w:rsidRPr="0021773B">
              <w:rPr>
                <w:b/>
                <w:bCs/>
                <w:color w:val="000000"/>
                <w:sz w:val="18"/>
                <w:szCs w:val="18"/>
                <w:lang w:val="en-US"/>
              </w:rPr>
              <w:t>RAW Type</w:t>
            </w:r>
          </w:p>
        </w:tc>
        <w:tc>
          <w:tcPr>
            <w:tcW w:w="2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AB8E51" w14:textId="77777777" w:rsidR="0021773B" w:rsidRPr="0021773B" w:rsidRDefault="0021773B" w:rsidP="0021773B">
            <w:pPr>
              <w:widowControl w:val="0"/>
              <w:suppressAutoHyphens/>
              <w:autoSpaceDE w:val="0"/>
              <w:autoSpaceDN w:val="0"/>
              <w:adjustRightInd w:val="0"/>
              <w:spacing w:line="200" w:lineRule="atLeast"/>
              <w:jc w:val="center"/>
              <w:rPr>
                <w:b/>
                <w:bCs/>
                <w:color w:val="000000"/>
                <w:w w:val="0"/>
                <w:sz w:val="18"/>
                <w:szCs w:val="18"/>
                <w:lang w:val="en-US"/>
              </w:rPr>
            </w:pPr>
            <w:r w:rsidRPr="0021773B">
              <w:rPr>
                <w:b/>
                <w:bCs/>
                <w:color w:val="000000"/>
                <w:sz w:val="18"/>
                <w:szCs w:val="18"/>
                <w:lang w:val="en-US"/>
              </w:rPr>
              <w:t>Description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7F8506" w14:textId="77777777" w:rsidR="0021773B" w:rsidRPr="0021773B" w:rsidRDefault="0021773B" w:rsidP="0021773B">
            <w:pPr>
              <w:widowControl w:val="0"/>
              <w:suppressAutoHyphens/>
              <w:autoSpaceDE w:val="0"/>
              <w:autoSpaceDN w:val="0"/>
              <w:adjustRightInd w:val="0"/>
              <w:spacing w:line="200" w:lineRule="atLeast"/>
              <w:jc w:val="center"/>
              <w:rPr>
                <w:b/>
                <w:bCs/>
                <w:color w:val="000000"/>
                <w:w w:val="0"/>
                <w:sz w:val="18"/>
                <w:szCs w:val="18"/>
                <w:lang w:val="en-US"/>
              </w:rPr>
            </w:pPr>
            <w:r w:rsidRPr="0021773B">
              <w:rPr>
                <w:b/>
                <w:bCs/>
                <w:color w:val="000000"/>
                <w:sz w:val="18"/>
                <w:szCs w:val="18"/>
                <w:lang w:val="en-US"/>
              </w:rPr>
              <w:t>RAW Type Options subfield</w:t>
            </w:r>
          </w:p>
        </w:tc>
      </w:tr>
      <w:tr w:rsidR="0021773B" w:rsidRPr="0021773B" w14:paraId="22DD0C8B" w14:textId="77777777" w:rsidTr="00A71081">
        <w:trPr>
          <w:trHeight w:val="5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1CA0B"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0</w:t>
            </w:r>
          </w:p>
        </w:tc>
        <w:tc>
          <w:tcPr>
            <w:tcW w:w="22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0B568"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Generic RAW</w:t>
            </w:r>
          </w:p>
        </w:tc>
        <w:tc>
          <w:tcPr>
            <w:tcW w:w="4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DC0D1A"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Bit 0 (Bit 2 of RAW Control subfield): Paged STA</w:t>
            </w:r>
          </w:p>
          <w:p w14:paraId="15EF92BD"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Bit 1 (Bit 3 of RAW Control subfield): RA frame</w:t>
            </w:r>
          </w:p>
        </w:tc>
      </w:tr>
      <w:tr w:rsidR="0021773B" w:rsidRPr="0021773B" w14:paraId="079CE0F9" w14:textId="77777777" w:rsidTr="00A71081">
        <w:trPr>
          <w:trHeight w:val="9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36E699"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93499"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Sounding RAW</w:t>
            </w:r>
          </w:p>
        </w:tc>
        <w:tc>
          <w:tcPr>
            <w:tcW w:w="4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3DA8E"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0: SST sounding RAW</w:t>
            </w:r>
          </w:p>
          <w:p w14:paraId="28042E90"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1: SST report RAW</w:t>
            </w:r>
          </w:p>
          <w:p w14:paraId="437B0DE6"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2: Sector sounding RAW</w:t>
            </w:r>
          </w:p>
          <w:p w14:paraId="62D1043F"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3: Sector report RAW</w:t>
            </w:r>
          </w:p>
        </w:tc>
      </w:tr>
      <w:tr w:rsidR="0021773B" w:rsidRPr="0021773B" w14:paraId="7EA2EA85" w14:textId="77777777" w:rsidTr="00A71081">
        <w:trPr>
          <w:trHeight w:val="9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6F5C24"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2</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EA6F2"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Simplex RAW</w:t>
            </w:r>
          </w:p>
        </w:tc>
        <w:tc>
          <w:tcPr>
            <w:tcW w:w="4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C771E6"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0: AP PM RAW</w:t>
            </w:r>
          </w:p>
          <w:p w14:paraId="6169522E"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1: Non-TIM RAW</w:t>
            </w:r>
          </w:p>
          <w:p w14:paraId="20828F72"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2: Omni RAW</w:t>
            </w:r>
          </w:p>
          <w:p w14:paraId="4BC5CEFF" w14:textId="13C313D8"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 xml:space="preserve">3: </w:t>
            </w:r>
            <w:r w:rsidRPr="0021773B">
              <w:rPr>
                <w:strike/>
                <w:color w:val="000000"/>
                <w:sz w:val="18"/>
                <w:szCs w:val="18"/>
                <w:lang w:val="en-US"/>
              </w:rPr>
              <w:t>Reserved</w:t>
            </w:r>
            <w:r w:rsidRPr="0021773B">
              <w:rPr>
                <w:color w:val="000000"/>
                <w:sz w:val="18"/>
                <w:szCs w:val="18"/>
                <w:lang w:val="en-US"/>
              </w:rPr>
              <w:t xml:space="preserve"> </w:t>
            </w:r>
            <w:r w:rsidRPr="0021773B">
              <w:rPr>
                <w:color w:val="000000"/>
                <w:sz w:val="18"/>
                <w:szCs w:val="18"/>
                <w:u w:val="single"/>
                <w:lang w:val="en-US"/>
              </w:rPr>
              <w:t>EBCS UL RAW</w:t>
            </w:r>
          </w:p>
        </w:tc>
      </w:tr>
      <w:tr w:rsidR="0021773B" w:rsidRPr="0021773B" w14:paraId="703AFC39" w14:textId="77777777" w:rsidTr="00A71081">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B0BE102"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3</w:t>
            </w:r>
          </w:p>
        </w:tc>
        <w:tc>
          <w:tcPr>
            <w:tcW w:w="22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1C3EAC3"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Triggering frame RAW</w:t>
            </w:r>
          </w:p>
        </w:tc>
        <w:tc>
          <w:tcPr>
            <w:tcW w:w="4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11F6EE"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Reserved</w:t>
            </w:r>
          </w:p>
        </w:tc>
      </w:tr>
    </w:tbl>
    <w:p w14:paraId="21EB08FA" w14:textId="77777777" w:rsidR="0021773B" w:rsidRPr="0021773B" w:rsidRDefault="0021773B" w:rsidP="002177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rPr>
      </w:pPr>
    </w:p>
    <w:p w14:paraId="5AAC581F" w14:textId="77777777" w:rsidR="006E03A7" w:rsidRDefault="006E03A7">
      <w:pPr>
        <w:rPr>
          <w:color w:val="000000"/>
          <w:sz w:val="20"/>
          <w:lang w:val="en-US"/>
        </w:rPr>
      </w:pPr>
      <w:r>
        <w:rPr>
          <w:color w:val="000000"/>
          <w:sz w:val="20"/>
          <w:lang w:val="en-US"/>
        </w:rPr>
        <w:br w:type="page"/>
      </w:r>
    </w:p>
    <w:p w14:paraId="20BD88F0" w14:textId="4AF0C361" w:rsidR="006E03A7" w:rsidRPr="00124779" w:rsidRDefault="006E03A7" w:rsidP="006E03A7">
      <w:pPr>
        <w:rPr>
          <w:b/>
          <w:sz w:val="24"/>
          <w:u w:val="single"/>
        </w:rPr>
      </w:pPr>
      <w:r>
        <w:rPr>
          <w:i/>
          <w:iCs/>
        </w:rPr>
        <w:lastRenderedPageBreak/>
        <w:t xml:space="preserve">Proposed change for CIDs 5107 &amp; 5160: </w:t>
      </w:r>
      <w:r>
        <w:rPr>
          <w:i/>
          <w:iCs/>
        </w:rPr>
        <w:t xml:space="preserve">further changes </w:t>
      </w:r>
      <w:r>
        <w:rPr>
          <w:i/>
          <w:iCs/>
        </w:rPr>
        <w:t>for clause 9.4.2.191</w:t>
      </w:r>
    </w:p>
    <w:p w14:paraId="1085817D" w14:textId="12C996D6" w:rsidR="0021773B" w:rsidRPr="0021773B" w:rsidRDefault="0021773B" w:rsidP="0021773B">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jc w:val="both"/>
        <w:rPr>
          <w:color w:val="000000"/>
          <w:sz w:val="20"/>
          <w:lang w:val="en-US"/>
        </w:rPr>
      </w:pPr>
      <w:r w:rsidRPr="0021773B">
        <w:rPr>
          <w:color w:val="000000"/>
          <w:sz w:val="20"/>
          <w:lang w:val="en-US"/>
        </w:rPr>
        <w:t xml:space="preserve"> </w:t>
      </w:r>
    </w:p>
    <w:p w14:paraId="6CC546A3" w14:textId="4F8D5638" w:rsidR="0021773B" w:rsidRPr="0021773B" w:rsidRDefault="0021773B" w:rsidP="0021773B">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color w:val="000000"/>
          <w:sz w:val="20"/>
          <w:lang w:val="en-US"/>
        </w:rPr>
      </w:pPr>
      <w:r w:rsidRPr="0021773B">
        <w:rPr>
          <w:color w:val="000000"/>
          <w:sz w:val="20"/>
          <w:lang w:val="en-US"/>
        </w:rPr>
        <w:t>Simplex RAW: the Slot Definition Format Indication, Cross Slot Boundary, and Number of Slots subfields of the Slot Definition field are set to 1, and the RAW is either used for AP Power Management (as described in 11.2.3.18 (AP power management)), for reserving channel time for S1G STAs in non-TIM mode, or for the omni RAW</w:t>
      </w:r>
      <w:r w:rsidR="00FD44B1" w:rsidRPr="00FD44B1">
        <w:rPr>
          <w:color w:val="000000"/>
          <w:sz w:val="20"/>
          <w:u w:val="single"/>
          <w:lang w:val="en-US"/>
        </w:rPr>
        <w:t xml:space="preserve">, or for the EBCS UL RAW </w:t>
      </w:r>
      <w:r w:rsidRPr="0021773B">
        <w:rPr>
          <w:color w:val="000000"/>
          <w:sz w:val="20"/>
          <w:lang w:val="en-US"/>
        </w:rPr>
        <w:t>depending on the values of RAW Type Options subfield as follows:</w:t>
      </w:r>
    </w:p>
    <w:p w14:paraId="6733DE30" w14:textId="7777777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hanging="280"/>
        <w:jc w:val="both"/>
        <w:rPr>
          <w:color w:val="000000"/>
          <w:sz w:val="20"/>
          <w:lang w:val="en-US"/>
        </w:rPr>
      </w:pPr>
      <w:r w:rsidRPr="0021773B">
        <w:rPr>
          <w:color w:val="000000"/>
          <w:sz w:val="20"/>
          <w:lang w:val="en-US"/>
        </w:rPr>
        <w:t xml:space="preserve">When the RAW is used as the non-TIM RAW as indicated by the RAW Type Options subfield, the access is restricted to S1G STAs in non-TIM mode that have been previously scheduled within the RAW such as TWT STAs or doze awake cycle rescheduled STAs (as described in 10.48.2 (Rescheduling of awake/doze cycle)). The RAW Assignment subfield for non-TIM RAW also conditionally contains the RAW Start Time, Channel Indication, and Periodic Operation Parameters subfields. </w:t>
      </w:r>
    </w:p>
    <w:p w14:paraId="4BDFC4C2" w14:textId="7777777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color w:val="000000"/>
          <w:sz w:val="20"/>
          <w:lang w:val="en-US"/>
        </w:rPr>
      </w:pPr>
      <w:r w:rsidRPr="0021773B">
        <w:rPr>
          <w:color w:val="000000"/>
          <w:sz w:val="20"/>
          <w:lang w:val="en-US"/>
        </w:rPr>
        <w:t>When the RAW is used as the AP PM RAW as indicated by the RAW Type Options subfield, the RAW Assignment subfield for AP PM RAW also conditionally contains the RAW Start Time and Periodic Operation Parameters subfields.</w:t>
      </w:r>
    </w:p>
    <w:p w14:paraId="628C20D7" w14:textId="7777777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hanging="280"/>
        <w:jc w:val="both"/>
        <w:rPr>
          <w:color w:val="000000"/>
          <w:sz w:val="20"/>
          <w:lang w:val="en-US"/>
        </w:rPr>
      </w:pPr>
      <w:r w:rsidRPr="0021773B">
        <w:rPr>
          <w:color w:val="000000"/>
          <w:sz w:val="20"/>
          <w:lang w:val="en-US"/>
        </w:rPr>
        <w:t xml:space="preserve">When the RAW is used as the </w:t>
      </w:r>
      <w:proofErr w:type="gramStart"/>
      <w:r w:rsidRPr="0021773B">
        <w:rPr>
          <w:color w:val="000000"/>
          <w:sz w:val="20"/>
          <w:lang w:val="en-US"/>
        </w:rPr>
        <w:t>omni RAW</w:t>
      </w:r>
      <w:proofErr w:type="gramEnd"/>
      <w:r w:rsidRPr="0021773B">
        <w:rPr>
          <w:color w:val="000000"/>
          <w:sz w:val="20"/>
          <w:lang w:val="en-US"/>
        </w:rPr>
        <w:t xml:space="preserve"> as indicated by the RAW Type Options subfield of the RAW Assignment subfield for omni RAW, the access is not restricted for any specific STA and this duration can be used by non-AP STAs to communicate with the AP that has scheduled the omni RAW to send the Probe Request frame or Association Request frame. The RAW assignment subfield of the </w:t>
      </w:r>
      <w:proofErr w:type="gramStart"/>
      <w:r w:rsidRPr="0021773B">
        <w:rPr>
          <w:color w:val="000000"/>
          <w:sz w:val="20"/>
          <w:lang w:val="en-US"/>
        </w:rPr>
        <w:t>omni RAW</w:t>
      </w:r>
      <w:proofErr w:type="gramEnd"/>
      <w:r w:rsidRPr="0021773B">
        <w:rPr>
          <w:color w:val="000000"/>
          <w:sz w:val="20"/>
          <w:lang w:val="en-US"/>
        </w:rPr>
        <w:t xml:space="preserve"> also conditionally contains the RAW Start Time, and Periodic Operation Parameters subfields.</w:t>
      </w:r>
    </w:p>
    <w:p w14:paraId="447C3995" w14:textId="55611B0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hanging="280"/>
        <w:jc w:val="both"/>
        <w:rPr>
          <w:color w:val="000000"/>
          <w:sz w:val="20"/>
          <w:u w:val="single"/>
          <w:lang w:val="en-US"/>
        </w:rPr>
      </w:pPr>
      <w:r w:rsidRPr="0021773B">
        <w:rPr>
          <w:color w:val="000000"/>
          <w:sz w:val="20"/>
          <w:u w:val="single"/>
          <w:lang w:val="en-US"/>
        </w:rPr>
        <w:t xml:space="preserve">When the RAW is used as the </w:t>
      </w:r>
      <w:r w:rsidRPr="000A68E2">
        <w:rPr>
          <w:color w:val="000000"/>
          <w:sz w:val="20"/>
          <w:u w:val="single"/>
          <w:lang w:val="en-US"/>
        </w:rPr>
        <w:t>EBCS UL</w:t>
      </w:r>
      <w:r w:rsidRPr="0021773B">
        <w:rPr>
          <w:color w:val="000000"/>
          <w:sz w:val="20"/>
          <w:u w:val="single"/>
          <w:lang w:val="en-US"/>
        </w:rPr>
        <w:t xml:space="preserve"> RAW as indicated by the RAW Type Options subfield of the RAW Assignment subfield for </w:t>
      </w:r>
      <w:r w:rsidRPr="000A68E2">
        <w:rPr>
          <w:color w:val="000000"/>
          <w:sz w:val="20"/>
          <w:u w:val="single"/>
          <w:lang w:val="en-US"/>
        </w:rPr>
        <w:t>EBCS UL</w:t>
      </w:r>
      <w:r w:rsidRPr="0021773B">
        <w:rPr>
          <w:color w:val="000000"/>
          <w:sz w:val="20"/>
          <w:u w:val="single"/>
          <w:lang w:val="en-US"/>
        </w:rPr>
        <w:t xml:space="preserve"> RAW, the access is not restricted for any specific STA and this duration can be used by non-AP STAs to communicate with the AP that has scheduled the </w:t>
      </w:r>
      <w:r w:rsidRPr="000A68E2">
        <w:rPr>
          <w:color w:val="000000"/>
          <w:sz w:val="20"/>
          <w:u w:val="single"/>
          <w:lang w:val="en-US"/>
        </w:rPr>
        <w:t>EBCS UL RAW</w:t>
      </w:r>
      <w:r w:rsidRPr="0021773B">
        <w:rPr>
          <w:color w:val="000000"/>
          <w:sz w:val="20"/>
          <w:u w:val="single"/>
          <w:lang w:val="en-US"/>
        </w:rPr>
        <w:t xml:space="preserve"> to send the </w:t>
      </w:r>
      <w:r w:rsidR="000A68E2" w:rsidRPr="000A68E2">
        <w:rPr>
          <w:color w:val="000000"/>
          <w:sz w:val="20"/>
          <w:u w:val="single"/>
          <w:lang w:val="en-US"/>
        </w:rPr>
        <w:t>EBCS UL</w:t>
      </w:r>
      <w:r w:rsidRPr="0021773B">
        <w:rPr>
          <w:color w:val="000000"/>
          <w:sz w:val="20"/>
          <w:u w:val="single"/>
          <w:lang w:val="en-US"/>
        </w:rPr>
        <w:t xml:space="preserve"> frame. The RAW assignment subfield of the </w:t>
      </w:r>
      <w:r w:rsidRPr="000A68E2">
        <w:rPr>
          <w:color w:val="000000"/>
          <w:sz w:val="20"/>
          <w:u w:val="single"/>
          <w:lang w:val="en-US"/>
        </w:rPr>
        <w:t>EBCS UL RAW</w:t>
      </w:r>
      <w:r w:rsidRPr="0021773B">
        <w:rPr>
          <w:color w:val="000000"/>
          <w:sz w:val="20"/>
          <w:u w:val="single"/>
          <w:lang w:val="en-US"/>
        </w:rPr>
        <w:t xml:space="preserve"> also conditionally contains the RAW Start Time, and Periodic Operation Parameters subfields.</w:t>
      </w:r>
    </w:p>
    <w:p w14:paraId="3DA689B1" w14:textId="5F119EB4" w:rsidR="00946C79" w:rsidRDefault="00946C79">
      <w:pPr>
        <w:rPr>
          <w:b/>
          <w:sz w:val="24"/>
        </w:rPr>
      </w:pPr>
    </w:p>
    <w:p w14:paraId="55A99FB4" w14:textId="77777777" w:rsidR="002B34FF" w:rsidRDefault="002B34FF">
      <w:pPr>
        <w:rPr>
          <w:b/>
          <w:sz w:val="24"/>
        </w:rPr>
      </w:pPr>
      <w:r>
        <w:rPr>
          <w:b/>
          <w:sz w:val="24"/>
        </w:rPr>
        <w:br w:type="page"/>
      </w:r>
    </w:p>
    <w:p w14:paraId="6760A2D1" w14:textId="025821A9" w:rsidR="002B34FF" w:rsidRPr="00124779" w:rsidRDefault="002B34FF" w:rsidP="002B34FF">
      <w:pPr>
        <w:rPr>
          <w:b/>
          <w:sz w:val="24"/>
          <w:u w:val="single"/>
        </w:rPr>
      </w:pPr>
      <w:r>
        <w:rPr>
          <w:i/>
          <w:iCs/>
        </w:rPr>
        <w:lastRenderedPageBreak/>
        <w:t>Proposed change for CID 516</w:t>
      </w:r>
      <w:r>
        <w:rPr>
          <w:i/>
          <w:iCs/>
        </w:rPr>
        <w:t>1</w:t>
      </w:r>
      <w:r>
        <w:rPr>
          <w:i/>
          <w:iCs/>
        </w:rPr>
        <w:t xml:space="preserve">: for clause </w:t>
      </w:r>
      <w:r>
        <w:rPr>
          <w:i/>
          <w:iCs/>
        </w:rPr>
        <w:t>11.55.3.2</w:t>
      </w:r>
    </w:p>
    <w:p w14:paraId="44B9F38A" w14:textId="77777777" w:rsidR="002B34FF" w:rsidRDefault="002B34FF">
      <w:pPr>
        <w:rPr>
          <w:b/>
          <w:sz w:val="24"/>
        </w:rPr>
      </w:pPr>
    </w:p>
    <w:p w14:paraId="7A1EEBA7" w14:textId="7C82D65D" w:rsidR="002B34FF" w:rsidRPr="002B34FF" w:rsidRDefault="002B34FF">
      <w:pPr>
        <w:rPr>
          <w:bCs/>
          <w:sz w:val="20"/>
        </w:rPr>
      </w:pPr>
      <w:r w:rsidRPr="002B34FF">
        <w:rPr>
          <w:bCs/>
          <w:sz w:val="20"/>
        </w:rPr>
        <w:t>When an EBCS AP is an HE AP</w:t>
      </w:r>
      <w:r w:rsidRPr="002B34FF">
        <w:rPr>
          <w:bCs/>
          <w:sz w:val="20"/>
          <w:u w:val="single"/>
        </w:rPr>
        <w:t xml:space="preserve"> or S1G AP</w:t>
      </w:r>
      <w:r w:rsidRPr="002B34FF">
        <w:rPr>
          <w:bCs/>
          <w:sz w:val="20"/>
        </w:rPr>
        <w:t>:</w:t>
      </w:r>
    </w:p>
    <w:p w14:paraId="28DB7FFF" w14:textId="77777777" w:rsidR="002B34FF" w:rsidRDefault="002B34FF">
      <w:pPr>
        <w:rPr>
          <w:b/>
          <w:sz w:val="24"/>
        </w:rPr>
      </w:pPr>
    </w:p>
    <w:p w14:paraId="77AFE9DA" w14:textId="0F436DE4" w:rsidR="0021773B" w:rsidRDefault="0021773B">
      <w:pPr>
        <w:rPr>
          <w:b/>
          <w:sz w:val="24"/>
        </w:rPr>
      </w:pPr>
      <w:r>
        <w:rPr>
          <w:b/>
          <w:sz w:val="24"/>
        </w:rPr>
        <w:br w:type="page"/>
      </w:r>
    </w:p>
    <w:p w14:paraId="22AEF06F" w14:textId="77777777" w:rsidR="002B34FF" w:rsidRDefault="002B34FF">
      <w:pPr>
        <w:rPr>
          <w:b/>
          <w:sz w:val="24"/>
        </w:rPr>
      </w:pPr>
    </w:p>
    <w:p w14:paraId="3FA4CEB8" w14:textId="77777777" w:rsidR="001D4DD2" w:rsidRDefault="001D4DD2">
      <w:pPr>
        <w:rPr>
          <w:b/>
          <w:sz w:val="24"/>
        </w:rPr>
      </w:pPr>
    </w:p>
    <w:p w14:paraId="07E60B83" w14:textId="3EB9909D" w:rsidR="00946C79" w:rsidRDefault="009B7613" w:rsidP="000B3458">
      <w:pPr>
        <w:rPr>
          <w:b/>
          <w:sz w:val="24"/>
        </w:rPr>
      </w:pPr>
      <w:r>
        <w:rPr>
          <w:b/>
          <w:sz w:val="24"/>
        </w:rPr>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422D" w14:textId="77777777" w:rsidR="00EA693E" w:rsidRDefault="00EA693E">
      <w:r>
        <w:separator/>
      </w:r>
    </w:p>
  </w:endnote>
  <w:endnote w:type="continuationSeparator" w:id="0">
    <w:p w14:paraId="119E1775" w14:textId="77777777" w:rsidR="00EA693E" w:rsidRDefault="00EA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D56D9F">
    <w:pPr>
      <w:pStyle w:val="Footer"/>
      <w:tabs>
        <w:tab w:val="clear" w:pos="6480"/>
        <w:tab w:val="center" w:pos="4680"/>
        <w:tab w:val="right" w:pos="9360"/>
      </w:tabs>
    </w:pPr>
    <w:fldSimple w:instr=" SUBJECT  \* MERGEFORMAT ">
      <w:r w:rsidR="009B7613">
        <w:t>Submission</w:t>
      </w:r>
    </w:fldSimple>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 xml:space="preserve">Dave </w:t>
    </w:r>
    <w:proofErr w:type="spellStart"/>
    <w:r w:rsidR="009B7613">
      <w:t>Halasz</w:t>
    </w:r>
    <w:proofErr w:type="spellEnd"/>
    <w:fldSimple w:instr=" COMMENTS  \* MERGEFORMAT ">
      <w:r w:rsidR="009B7613">
        <w:t xml:space="preserve">, </w:t>
      </w:r>
    </w:fldSimple>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4443" w14:textId="77777777" w:rsidR="00EA693E" w:rsidRDefault="00EA693E">
      <w:r>
        <w:separator/>
      </w:r>
    </w:p>
  </w:footnote>
  <w:footnote w:type="continuationSeparator" w:id="0">
    <w:p w14:paraId="2895041C" w14:textId="77777777" w:rsidR="00EA693E" w:rsidRDefault="00EA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70DC0DF2" w:rsidR="00946C79" w:rsidRDefault="002A7410">
    <w:pPr>
      <w:pStyle w:val="Header"/>
      <w:tabs>
        <w:tab w:val="clear" w:pos="6480"/>
        <w:tab w:val="center" w:pos="4680"/>
        <w:tab w:val="right" w:pos="9360"/>
      </w:tabs>
    </w:pPr>
    <w:r>
      <w:t>December</w:t>
    </w:r>
    <w:fldSimple w:instr=" KEYWORDS  \* MERGEFORMAT ">
      <w:r w:rsidR="009B7613">
        <w:t xml:space="preserve"> </w:t>
      </w:r>
    </w:fldSimple>
    <w:r w:rsidR="009B7613">
      <w:t>202</w:t>
    </w:r>
    <w:r w:rsidR="006F2A3C">
      <w:t>2</w:t>
    </w:r>
    <w:r w:rsidR="009B7613">
      <w:tab/>
    </w:r>
    <w:r w:rsidR="009B7613">
      <w:tab/>
    </w:r>
    <w:fldSimple w:instr=" TITLE  \* MERGEFORMAT ">
      <w:r w:rsidR="009B7613">
        <w:t>doc.: IEEE 802.11-2</w:t>
      </w:r>
      <w:r w:rsidR="00AF4848">
        <w:t>2</w:t>
      </w:r>
      <w:r w:rsidR="009B7613">
        <w:t>/</w:t>
      </w:r>
      <w:r>
        <w:t>2005</w:t>
      </w:r>
      <w:r w:rsidR="009B7613">
        <w:t>r</w:t>
      </w:r>
    </w:fldSimple>
    <w:r w:rsidR="00CF58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386959">
    <w:abstractNumId w:val="14"/>
    <w:lvlOverride w:ilvl="0">
      <w:lvl w:ilvl="0">
        <w:numFmt w:val="bullet"/>
        <w:lvlText w:val="9.3.3.5 "/>
        <w:lvlJc w:val="left"/>
        <w:rPr>
          <w:rFonts w:ascii="Arial"/>
          <w:sz w:val="20"/>
        </w:rPr>
      </w:lvl>
    </w:lvlOverride>
  </w:num>
  <w:num w:numId="2" w16cid:durableId="1046952253">
    <w:abstractNumId w:val="16"/>
    <w:lvlOverride w:ilvl="0">
      <w:lvl w:ilvl="0">
        <w:numFmt w:val="bullet"/>
        <w:lvlText w:val="Table 9-57—"/>
        <w:lvlJc w:val="left"/>
        <w:rPr>
          <w:rFonts w:ascii="Arial"/>
          <w:sz w:val="20"/>
        </w:rPr>
      </w:lvl>
    </w:lvlOverride>
  </w:num>
  <w:num w:numId="3" w16cid:durableId="374473159">
    <w:abstractNumId w:val="7"/>
    <w:lvlOverride w:ilvl="0">
      <w:lvl w:ilvl="0">
        <w:numFmt w:val="bullet"/>
        <w:lvlText w:val="9.3.3.6 "/>
        <w:lvlJc w:val="left"/>
        <w:rPr>
          <w:rFonts w:ascii="Arial"/>
          <w:sz w:val="20"/>
        </w:rPr>
      </w:lvl>
    </w:lvlOverride>
  </w:num>
  <w:num w:numId="4" w16cid:durableId="2047559155">
    <w:abstractNumId w:val="10"/>
    <w:lvlOverride w:ilvl="0">
      <w:lvl w:ilvl="0">
        <w:numFmt w:val="bullet"/>
        <w:lvlText w:val="Table 9-58—"/>
        <w:lvlJc w:val="left"/>
        <w:rPr>
          <w:rFonts w:ascii="Arial"/>
          <w:sz w:val="20"/>
        </w:rPr>
      </w:lvl>
    </w:lvlOverride>
  </w:num>
  <w:num w:numId="5" w16cid:durableId="1509520568">
    <w:abstractNumId w:val="12"/>
    <w:lvlOverride w:ilvl="0">
      <w:lvl w:ilvl="0">
        <w:numFmt w:val="bullet"/>
        <w:lvlText w:val="9.3.3.7 "/>
        <w:lvlJc w:val="left"/>
        <w:rPr>
          <w:rFonts w:ascii="Arial"/>
          <w:sz w:val="20"/>
        </w:rPr>
      </w:lvl>
    </w:lvlOverride>
  </w:num>
  <w:num w:numId="6" w16cid:durableId="1087772639">
    <w:abstractNumId w:val="6"/>
    <w:lvlOverride w:ilvl="0">
      <w:lvl w:ilvl="0">
        <w:numFmt w:val="bullet"/>
        <w:lvlText w:val="Table 9-59—"/>
        <w:lvlJc w:val="left"/>
        <w:rPr>
          <w:rFonts w:ascii="Arial"/>
          <w:sz w:val="20"/>
        </w:rPr>
      </w:lvl>
    </w:lvlOverride>
  </w:num>
  <w:num w:numId="7" w16cid:durableId="1755199463">
    <w:abstractNumId w:val="15"/>
    <w:lvlOverride w:ilvl="0">
      <w:lvl w:ilvl="0">
        <w:numFmt w:val="bullet"/>
        <w:lvlText w:val="9.3.3.8 "/>
        <w:lvlJc w:val="left"/>
        <w:rPr>
          <w:rFonts w:ascii="Arial"/>
          <w:sz w:val="20"/>
        </w:rPr>
      </w:lvl>
    </w:lvlOverride>
  </w:num>
  <w:num w:numId="8" w16cid:durableId="1886604433">
    <w:abstractNumId w:val="2"/>
    <w:lvlOverride w:ilvl="0">
      <w:lvl w:ilvl="0">
        <w:numFmt w:val="bullet"/>
        <w:lvlText w:val="Table 9-60—"/>
        <w:lvlJc w:val="left"/>
        <w:rPr>
          <w:rFonts w:ascii="Arial"/>
          <w:sz w:val="20"/>
        </w:rPr>
      </w:lvl>
    </w:lvlOverride>
  </w:num>
  <w:num w:numId="9" w16cid:durableId="1860896177">
    <w:abstractNumId w:val="1"/>
    <w:lvlOverride w:ilvl="0">
      <w:lvl w:ilvl="0">
        <w:numFmt w:val="bullet"/>
        <w:lvlText w:val="9.3.3.9 "/>
        <w:lvlJc w:val="left"/>
        <w:rPr>
          <w:rFonts w:ascii="Arial"/>
          <w:sz w:val="20"/>
        </w:rPr>
      </w:lvl>
    </w:lvlOverride>
  </w:num>
  <w:num w:numId="10" w16cid:durableId="275330306">
    <w:abstractNumId w:val="13"/>
    <w:lvlOverride w:ilvl="0">
      <w:lvl w:ilvl="0">
        <w:numFmt w:val="bullet"/>
        <w:lvlText w:val="Table 9-61—"/>
        <w:lvlJc w:val="left"/>
        <w:rPr>
          <w:rFonts w:ascii="Arial"/>
          <w:sz w:val="20"/>
        </w:rPr>
      </w:lvl>
    </w:lvlOverride>
  </w:num>
  <w:num w:numId="11" w16cid:durableId="1160847354">
    <w:abstractNumId w:val="17"/>
    <w:lvlOverride w:ilvl="0">
      <w:lvl w:ilvl="0">
        <w:numFmt w:val="bullet"/>
        <w:lvlText w:val="9.3.3.10 "/>
        <w:lvlJc w:val="left"/>
        <w:rPr>
          <w:rFonts w:ascii="Arial"/>
          <w:sz w:val="20"/>
        </w:rPr>
      </w:lvl>
    </w:lvlOverride>
  </w:num>
  <w:num w:numId="12" w16cid:durableId="1082294116">
    <w:abstractNumId w:val="4"/>
    <w:lvlOverride w:ilvl="0">
      <w:lvl w:ilvl="0">
        <w:numFmt w:val="bullet"/>
        <w:lvlText w:val="Table 9-62—"/>
        <w:lvlJc w:val="left"/>
        <w:rPr>
          <w:rFonts w:ascii="Arial"/>
          <w:sz w:val="20"/>
        </w:rPr>
      </w:lvl>
    </w:lvlOverride>
  </w:num>
  <w:num w:numId="13" w16cid:durableId="190923826">
    <w:abstractNumId w:val="9"/>
  </w:num>
  <w:num w:numId="14" w16cid:durableId="2043939966">
    <w:abstractNumId w:val="8"/>
    <w:lvlOverride w:ilvl="0">
      <w:lvl w:ilvl="0" w:tentative="1">
        <w:numFmt w:val="bullet"/>
        <w:lvlText w:val="11.1.4.6 "/>
        <w:lvlJc w:val="left"/>
        <w:rPr>
          <w:rFonts w:ascii="Arial"/>
          <w:sz w:val="20"/>
        </w:rPr>
      </w:lvl>
    </w:lvlOverride>
  </w:num>
  <w:num w:numId="15" w16cid:durableId="1657489137">
    <w:abstractNumId w:val="3"/>
  </w:num>
  <w:num w:numId="16" w16cid:durableId="208302258">
    <w:abstractNumId w:val="5"/>
    <w:lvlOverride w:ilvl="0">
      <w:lvl w:ilvl="0">
        <w:numFmt w:val="bullet"/>
        <w:lvlText w:val="11.1.4.6 "/>
        <w:lvlJc w:val="left"/>
        <w:rPr>
          <w:rFonts w:ascii="Arial"/>
          <w:sz w:val="20"/>
        </w:rPr>
      </w:lvl>
    </w:lvlOverride>
  </w:num>
  <w:num w:numId="17" w16cid:durableId="16664196">
    <w:abstractNumId w:val="11"/>
  </w:num>
  <w:num w:numId="18" w16cid:durableId="118339363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113474487">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476890">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56827304">
    <w:abstractNumId w:val="0"/>
    <w:lvlOverride w:ilvl="0">
      <w:lvl w:ilvl="0">
        <w:numFmt w:val="decimal"/>
        <w:lvlText w:val="Figure 9-1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16cid:durableId="4924484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088382864">
    <w:abstractNumId w:val="0"/>
    <w:lvlOverride w:ilvl="0">
      <w:lvl w:ilvl="0">
        <w:start w:val="1"/>
        <w:numFmt w:val="bullet"/>
        <w:lvlText w:val="Table 9-33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6"/>
    <w:rsid w:val="0000099B"/>
    <w:rsid w:val="00004BC1"/>
    <w:rsid w:val="00030AB6"/>
    <w:rsid w:val="00065CA4"/>
    <w:rsid w:val="000A68E2"/>
    <w:rsid w:val="000B3458"/>
    <w:rsid w:val="000D1543"/>
    <w:rsid w:val="000F2271"/>
    <w:rsid w:val="00124779"/>
    <w:rsid w:val="001325C6"/>
    <w:rsid w:val="00132C7D"/>
    <w:rsid w:val="00150F93"/>
    <w:rsid w:val="001647C7"/>
    <w:rsid w:val="00193784"/>
    <w:rsid w:val="001A12ED"/>
    <w:rsid w:val="001A4A64"/>
    <w:rsid w:val="001B03AF"/>
    <w:rsid w:val="001B3778"/>
    <w:rsid w:val="001D4DD2"/>
    <w:rsid w:val="0021773B"/>
    <w:rsid w:val="002324AC"/>
    <w:rsid w:val="00241429"/>
    <w:rsid w:val="002757A3"/>
    <w:rsid w:val="002A41B9"/>
    <w:rsid w:val="002A7410"/>
    <w:rsid w:val="002B34FF"/>
    <w:rsid w:val="002B5521"/>
    <w:rsid w:val="002D1AA7"/>
    <w:rsid w:val="002F07AC"/>
    <w:rsid w:val="002F2EFE"/>
    <w:rsid w:val="0030739A"/>
    <w:rsid w:val="00307D07"/>
    <w:rsid w:val="0032117D"/>
    <w:rsid w:val="0033568F"/>
    <w:rsid w:val="00357A86"/>
    <w:rsid w:val="003B4A0B"/>
    <w:rsid w:val="004B0391"/>
    <w:rsid w:val="004B0D6A"/>
    <w:rsid w:val="004D2414"/>
    <w:rsid w:val="004D7565"/>
    <w:rsid w:val="004E335A"/>
    <w:rsid w:val="005015B9"/>
    <w:rsid w:val="00510A36"/>
    <w:rsid w:val="0053198C"/>
    <w:rsid w:val="00560232"/>
    <w:rsid w:val="00572F32"/>
    <w:rsid w:val="00591BAE"/>
    <w:rsid w:val="005B1241"/>
    <w:rsid w:val="00680CC8"/>
    <w:rsid w:val="00691194"/>
    <w:rsid w:val="006D20A1"/>
    <w:rsid w:val="006D276D"/>
    <w:rsid w:val="006D60A8"/>
    <w:rsid w:val="006E03A7"/>
    <w:rsid w:val="006E5F87"/>
    <w:rsid w:val="006F2045"/>
    <w:rsid w:val="006F2A3C"/>
    <w:rsid w:val="006F36C6"/>
    <w:rsid w:val="006F4CA1"/>
    <w:rsid w:val="00721BFD"/>
    <w:rsid w:val="00722599"/>
    <w:rsid w:val="00730E37"/>
    <w:rsid w:val="00731545"/>
    <w:rsid w:val="00736427"/>
    <w:rsid w:val="00755976"/>
    <w:rsid w:val="0076765B"/>
    <w:rsid w:val="00780FDF"/>
    <w:rsid w:val="00787C64"/>
    <w:rsid w:val="00792DAF"/>
    <w:rsid w:val="007A37CD"/>
    <w:rsid w:val="007B0D5C"/>
    <w:rsid w:val="007B4B44"/>
    <w:rsid w:val="00801754"/>
    <w:rsid w:val="00812536"/>
    <w:rsid w:val="00824B9F"/>
    <w:rsid w:val="008325F1"/>
    <w:rsid w:val="00856F17"/>
    <w:rsid w:val="00863B55"/>
    <w:rsid w:val="0087021A"/>
    <w:rsid w:val="008722CD"/>
    <w:rsid w:val="0087588E"/>
    <w:rsid w:val="00876804"/>
    <w:rsid w:val="00890FBF"/>
    <w:rsid w:val="008977F6"/>
    <w:rsid w:val="008A1724"/>
    <w:rsid w:val="008A67A4"/>
    <w:rsid w:val="008B0D7C"/>
    <w:rsid w:val="008B7DBA"/>
    <w:rsid w:val="008C7003"/>
    <w:rsid w:val="008D50BC"/>
    <w:rsid w:val="008E02A6"/>
    <w:rsid w:val="00907EE0"/>
    <w:rsid w:val="00942BF6"/>
    <w:rsid w:val="009461D3"/>
    <w:rsid w:val="00946C79"/>
    <w:rsid w:val="00951730"/>
    <w:rsid w:val="009747D2"/>
    <w:rsid w:val="009A2479"/>
    <w:rsid w:val="009B3E1D"/>
    <w:rsid w:val="009B7613"/>
    <w:rsid w:val="009B7DC6"/>
    <w:rsid w:val="009E148F"/>
    <w:rsid w:val="009E65AD"/>
    <w:rsid w:val="009E6C39"/>
    <w:rsid w:val="009F3EB8"/>
    <w:rsid w:val="00A30421"/>
    <w:rsid w:val="00A66D00"/>
    <w:rsid w:val="00A864D5"/>
    <w:rsid w:val="00AE22E5"/>
    <w:rsid w:val="00AE2EE0"/>
    <w:rsid w:val="00AF4848"/>
    <w:rsid w:val="00B13ED0"/>
    <w:rsid w:val="00B20E5A"/>
    <w:rsid w:val="00B263C8"/>
    <w:rsid w:val="00B27CFA"/>
    <w:rsid w:val="00B36495"/>
    <w:rsid w:val="00B70904"/>
    <w:rsid w:val="00B813E0"/>
    <w:rsid w:val="00B83453"/>
    <w:rsid w:val="00BC0D09"/>
    <w:rsid w:val="00BE1080"/>
    <w:rsid w:val="00C21934"/>
    <w:rsid w:val="00C24A22"/>
    <w:rsid w:val="00CB03E5"/>
    <w:rsid w:val="00CC184F"/>
    <w:rsid w:val="00CD334F"/>
    <w:rsid w:val="00CE7BAB"/>
    <w:rsid w:val="00CF581B"/>
    <w:rsid w:val="00D21A52"/>
    <w:rsid w:val="00D21CCF"/>
    <w:rsid w:val="00D24545"/>
    <w:rsid w:val="00D25FFD"/>
    <w:rsid w:val="00D31361"/>
    <w:rsid w:val="00D44CD5"/>
    <w:rsid w:val="00D5279E"/>
    <w:rsid w:val="00D54F33"/>
    <w:rsid w:val="00D56D9F"/>
    <w:rsid w:val="00D6365A"/>
    <w:rsid w:val="00D71FB1"/>
    <w:rsid w:val="00D8560B"/>
    <w:rsid w:val="00D87C5F"/>
    <w:rsid w:val="00DA5EA1"/>
    <w:rsid w:val="00DC011B"/>
    <w:rsid w:val="00DC320B"/>
    <w:rsid w:val="00DC538C"/>
    <w:rsid w:val="00DE3AC0"/>
    <w:rsid w:val="00E04833"/>
    <w:rsid w:val="00E40172"/>
    <w:rsid w:val="00E427F6"/>
    <w:rsid w:val="00E55071"/>
    <w:rsid w:val="00E8352C"/>
    <w:rsid w:val="00E90A1F"/>
    <w:rsid w:val="00EA693E"/>
    <w:rsid w:val="00ED56AA"/>
    <w:rsid w:val="00EE467E"/>
    <w:rsid w:val="00F1758C"/>
    <w:rsid w:val="00F31898"/>
    <w:rsid w:val="00F334C4"/>
    <w:rsid w:val="00F34D65"/>
    <w:rsid w:val="00F709E1"/>
    <w:rsid w:val="00F86BF2"/>
    <w:rsid w:val="00FD0301"/>
    <w:rsid w:val="00FD44B1"/>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237"/>
  <w15:docId w15:val="{639FE08F-BA4C-4762-8054-B040129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szCs w:val="22"/>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549">
      <w:bodyDiv w:val="1"/>
      <w:marLeft w:val="0"/>
      <w:marRight w:val="0"/>
      <w:marTop w:val="0"/>
      <w:marBottom w:val="0"/>
      <w:divBdr>
        <w:top w:val="none" w:sz="0" w:space="0" w:color="auto"/>
        <w:left w:val="none" w:sz="0" w:space="0" w:color="auto"/>
        <w:bottom w:val="none" w:sz="0" w:space="0" w:color="auto"/>
        <w:right w:val="none" w:sz="0" w:space="0" w:color="auto"/>
      </w:divBdr>
    </w:div>
    <w:div w:id="112553278">
      <w:bodyDiv w:val="1"/>
      <w:marLeft w:val="0"/>
      <w:marRight w:val="0"/>
      <w:marTop w:val="0"/>
      <w:marBottom w:val="0"/>
      <w:divBdr>
        <w:top w:val="none" w:sz="0" w:space="0" w:color="auto"/>
        <w:left w:val="none" w:sz="0" w:space="0" w:color="auto"/>
        <w:bottom w:val="none" w:sz="0" w:space="0" w:color="auto"/>
        <w:right w:val="none" w:sz="0" w:space="0" w:color="auto"/>
      </w:divBdr>
    </w:div>
    <w:div w:id="207030407">
      <w:bodyDiv w:val="1"/>
      <w:marLeft w:val="0"/>
      <w:marRight w:val="0"/>
      <w:marTop w:val="0"/>
      <w:marBottom w:val="0"/>
      <w:divBdr>
        <w:top w:val="none" w:sz="0" w:space="0" w:color="auto"/>
        <w:left w:val="none" w:sz="0" w:space="0" w:color="auto"/>
        <w:bottom w:val="none" w:sz="0" w:space="0" w:color="auto"/>
        <w:right w:val="none" w:sz="0" w:space="0" w:color="auto"/>
      </w:divBdr>
    </w:div>
    <w:div w:id="529732048">
      <w:bodyDiv w:val="1"/>
      <w:marLeft w:val="0"/>
      <w:marRight w:val="0"/>
      <w:marTop w:val="0"/>
      <w:marBottom w:val="0"/>
      <w:divBdr>
        <w:top w:val="none" w:sz="0" w:space="0" w:color="auto"/>
        <w:left w:val="none" w:sz="0" w:space="0" w:color="auto"/>
        <w:bottom w:val="none" w:sz="0" w:space="0" w:color="auto"/>
        <w:right w:val="none" w:sz="0" w:space="0" w:color="auto"/>
      </w:divBdr>
    </w:div>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668827762">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 w:id="209107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8086</TotalTime>
  <Pages>6</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david.e.halasz@outlook.com</cp:lastModifiedBy>
  <cp:revision>54</cp:revision>
  <dcterms:created xsi:type="dcterms:W3CDTF">2022-02-01T19:00:00Z</dcterms:created>
  <dcterms:modified xsi:type="dcterms:W3CDTF">2022-12-02T20:30:00Z</dcterms:modified>
</cp:coreProperties>
</file>