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F561FBB"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DE1321">
              <w:rPr>
                <w:lang w:val="en-US"/>
              </w:rPr>
              <w:t>2 – SBP termination</w:t>
            </w:r>
          </w:p>
        </w:tc>
      </w:tr>
      <w:tr w:rsidR="00CA09B2" w:rsidRPr="00CF09FE" w14:paraId="4D274C0E" w14:textId="77777777">
        <w:trPr>
          <w:trHeight w:val="359"/>
          <w:jc w:val="center"/>
        </w:trPr>
        <w:tc>
          <w:tcPr>
            <w:tcW w:w="9576" w:type="dxa"/>
            <w:gridSpan w:val="5"/>
            <w:vAlign w:val="center"/>
          </w:tcPr>
          <w:p w14:paraId="6DFAE4C5" w14:textId="478EB402"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w:t>
            </w:r>
            <w:r w:rsidR="001A3EF9">
              <w:rPr>
                <w:b w:val="0"/>
                <w:sz w:val="20"/>
                <w:lang w:val="en-US"/>
              </w:rPr>
              <w:t>1</w:t>
            </w:r>
            <w:r w:rsidRPr="00CF09FE">
              <w:rPr>
                <w:b w:val="0"/>
                <w:sz w:val="20"/>
                <w:lang w:val="en-US"/>
              </w:rPr>
              <w:t>-</w:t>
            </w:r>
            <w:r w:rsidR="001A3EF9">
              <w:rPr>
                <w:b w:val="0"/>
                <w:sz w:val="20"/>
                <w:lang w:val="en-US"/>
              </w:rPr>
              <w:t>xx</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13ECEED" w:rsidR="0093015E" w:rsidRDefault="004E473F">
                            <w:pPr>
                              <w:jc w:val="both"/>
                            </w:pPr>
                            <w:r>
                              <w:rPr>
                                <w:color w:val="000000"/>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13ECEED" w:rsidR="0093015E" w:rsidRDefault="004E473F">
                      <w:pPr>
                        <w:jc w:val="both"/>
                      </w:pPr>
                      <w:r>
                        <w:rPr>
                          <w:color w:val="000000"/>
                          <w:szCs w:val="22"/>
                          <w:lang w:val="en-US"/>
                        </w:rPr>
                        <w:t>.</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F43619" w:rsidRPr="00CF09FE" w14:paraId="2FDF1150" w14:textId="77777777" w:rsidTr="00F6712D">
        <w:tc>
          <w:tcPr>
            <w:tcW w:w="656" w:type="dxa"/>
            <w:shd w:val="clear" w:color="auto" w:fill="auto"/>
          </w:tcPr>
          <w:p w14:paraId="2F81069E" w14:textId="67D999E6" w:rsidR="00F43619" w:rsidRPr="00B236C2" w:rsidRDefault="00F43619" w:rsidP="00F43619">
            <w:pPr>
              <w:widowControl w:val="0"/>
              <w:suppressAutoHyphens/>
              <w:rPr>
                <w:b/>
                <w:szCs w:val="22"/>
                <w:lang w:val="en-US"/>
              </w:rPr>
            </w:pPr>
            <w:r>
              <w:rPr>
                <w:szCs w:val="22"/>
                <w:lang w:val="en-US"/>
              </w:rPr>
              <w:t>48</w:t>
            </w:r>
          </w:p>
        </w:tc>
        <w:tc>
          <w:tcPr>
            <w:tcW w:w="1342" w:type="dxa"/>
            <w:shd w:val="clear" w:color="auto" w:fill="auto"/>
          </w:tcPr>
          <w:p w14:paraId="03E7B158" w14:textId="21F206C4" w:rsidR="00F43619" w:rsidRPr="00B236C2" w:rsidRDefault="00F43619" w:rsidP="00F43619">
            <w:pPr>
              <w:widowControl w:val="0"/>
              <w:suppressAutoHyphens/>
              <w:rPr>
                <w:b/>
                <w:szCs w:val="22"/>
                <w:lang w:val="en-US"/>
              </w:rPr>
            </w:pPr>
            <w:r>
              <w:rPr>
                <w:rFonts w:ascii="Arial" w:hAnsi="Arial" w:cs="Arial"/>
                <w:sz w:val="20"/>
              </w:rPr>
              <w:t>9.6.7.55</w:t>
            </w:r>
          </w:p>
        </w:tc>
        <w:tc>
          <w:tcPr>
            <w:tcW w:w="810" w:type="dxa"/>
            <w:shd w:val="clear" w:color="auto" w:fill="auto"/>
          </w:tcPr>
          <w:p w14:paraId="6A8B3D8E" w14:textId="5CFA4A7E" w:rsidR="00F43619" w:rsidRPr="00B236C2" w:rsidRDefault="00F43619" w:rsidP="00F43619">
            <w:pPr>
              <w:widowControl w:val="0"/>
              <w:suppressAutoHyphens/>
              <w:rPr>
                <w:b/>
                <w:szCs w:val="22"/>
                <w:lang w:val="en-US"/>
              </w:rPr>
            </w:pPr>
            <w:r>
              <w:rPr>
                <w:rFonts w:ascii="Arial" w:hAnsi="Arial" w:cs="Arial"/>
                <w:sz w:val="20"/>
              </w:rPr>
              <w:t>61.22</w:t>
            </w:r>
          </w:p>
        </w:tc>
        <w:tc>
          <w:tcPr>
            <w:tcW w:w="2767" w:type="dxa"/>
            <w:shd w:val="clear" w:color="auto" w:fill="auto"/>
          </w:tcPr>
          <w:p w14:paraId="7AC56073" w14:textId="0908B3F2" w:rsidR="00F43619" w:rsidRPr="00B236C2" w:rsidRDefault="00F43619" w:rsidP="00F43619">
            <w:pPr>
              <w:widowControl w:val="0"/>
              <w:suppressAutoHyphens/>
              <w:rPr>
                <w:b/>
                <w:szCs w:val="22"/>
                <w:lang w:val="en-US"/>
              </w:rPr>
            </w:pPr>
            <w:r>
              <w:rPr>
                <w:rFonts w:ascii="Arial" w:hAnsi="Arial" w:cs="Arial"/>
                <w:sz w:val="20"/>
              </w:rPr>
              <w:t>A STA may request more than one sensing by proxy from AP, so the SBP Termination frame can indicate one or all SBP procedures to be terminated.</w:t>
            </w:r>
          </w:p>
        </w:tc>
        <w:tc>
          <w:tcPr>
            <w:tcW w:w="3775" w:type="dxa"/>
            <w:shd w:val="clear" w:color="auto" w:fill="auto"/>
          </w:tcPr>
          <w:p w14:paraId="01122340" w14:textId="2DEBFB2B" w:rsidR="00F43619" w:rsidRPr="00B236C2" w:rsidRDefault="00F43619" w:rsidP="00F43619">
            <w:pPr>
              <w:widowControl w:val="0"/>
              <w:suppressAutoHyphens/>
              <w:rPr>
                <w:b/>
                <w:szCs w:val="22"/>
                <w:lang w:val="en-US"/>
              </w:rPr>
            </w:pPr>
            <w:r>
              <w:rPr>
                <w:rFonts w:ascii="Arial" w:hAnsi="Arial" w:cs="Arial"/>
                <w:sz w:val="20"/>
              </w:rPr>
              <w:t>As in comment.</w:t>
            </w:r>
          </w:p>
        </w:tc>
      </w:tr>
      <w:tr w:rsidR="006C1A28" w:rsidRPr="00CF09FE" w14:paraId="375F9B2E" w14:textId="77777777" w:rsidTr="00F6712D">
        <w:tc>
          <w:tcPr>
            <w:tcW w:w="656" w:type="dxa"/>
            <w:shd w:val="clear" w:color="auto" w:fill="auto"/>
          </w:tcPr>
          <w:p w14:paraId="695ADA5F" w14:textId="79940482" w:rsidR="006C1A28" w:rsidRPr="00831251" w:rsidRDefault="006C1A28" w:rsidP="006C1A28">
            <w:pPr>
              <w:widowControl w:val="0"/>
              <w:suppressAutoHyphens/>
              <w:rPr>
                <w:szCs w:val="22"/>
                <w:lang w:val="en-US"/>
              </w:rPr>
            </w:pPr>
            <w:r>
              <w:rPr>
                <w:szCs w:val="22"/>
                <w:lang w:val="en-US"/>
              </w:rPr>
              <w:t>83</w:t>
            </w:r>
          </w:p>
        </w:tc>
        <w:tc>
          <w:tcPr>
            <w:tcW w:w="1342" w:type="dxa"/>
            <w:shd w:val="clear" w:color="auto" w:fill="auto"/>
          </w:tcPr>
          <w:p w14:paraId="5D785324" w14:textId="578CC7DC" w:rsidR="006C1A28" w:rsidRPr="00831251" w:rsidRDefault="006C1A28" w:rsidP="006C1A28">
            <w:pPr>
              <w:widowControl w:val="0"/>
              <w:suppressAutoHyphens/>
              <w:jc w:val="center"/>
              <w:rPr>
                <w:szCs w:val="22"/>
                <w:lang w:val="en-US"/>
              </w:rPr>
            </w:pPr>
            <w:r>
              <w:rPr>
                <w:rFonts w:ascii="Arial" w:hAnsi="Arial" w:cs="Arial"/>
                <w:sz w:val="20"/>
              </w:rPr>
              <w:t>9.6.7.55</w:t>
            </w:r>
          </w:p>
        </w:tc>
        <w:tc>
          <w:tcPr>
            <w:tcW w:w="810" w:type="dxa"/>
            <w:shd w:val="clear" w:color="auto" w:fill="auto"/>
          </w:tcPr>
          <w:p w14:paraId="6C1A63BE" w14:textId="25BE330D" w:rsidR="006C1A28" w:rsidRPr="00831251" w:rsidRDefault="006C1A28" w:rsidP="006C1A28">
            <w:pPr>
              <w:widowControl w:val="0"/>
              <w:suppressAutoHyphens/>
              <w:rPr>
                <w:szCs w:val="22"/>
                <w:lang w:val="en-US"/>
              </w:rPr>
            </w:pPr>
            <w:r>
              <w:rPr>
                <w:rFonts w:ascii="Arial" w:hAnsi="Arial" w:cs="Arial"/>
                <w:sz w:val="20"/>
              </w:rPr>
              <w:t>61.9</w:t>
            </w:r>
          </w:p>
        </w:tc>
        <w:tc>
          <w:tcPr>
            <w:tcW w:w="2767" w:type="dxa"/>
            <w:shd w:val="clear" w:color="auto" w:fill="auto"/>
          </w:tcPr>
          <w:p w14:paraId="4B715DCB" w14:textId="13E8BD98" w:rsidR="006C1A28" w:rsidRPr="00831251" w:rsidRDefault="006C1A28" w:rsidP="006C1A28">
            <w:pPr>
              <w:widowControl w:val="0"/>
              <w:suppressAutoHyphens/>
              <w:rPr>
                <w:szCs w:val="22"/>
                <w:lang w:val="en-US"/>
              </w:rPr>
            </w:pPr>
            <w:r>
              <w:rPr>
                <w:rFonts w:ascii="Arial" w:hAnsi="Arial" w:cs="Arial"/>
                <w:sz w:val="20"/>
              </w:rPr>
              <w:t>Field name should not be TBD</w:t>
            </w:r>
          </w:p>
        </w:tc>
        <w:tc>
          <w:tcPr>
            <w:tcW w:w="3775" w:type="dxa"/>
            <w:shd w:val="clear" w:color="auto" w:fill="auto"/>
          </w:tcPr>
          <w:p w14:paraId="572812A1" w14:textId="34A5873E" w:rsidR="006C1A28" w:rsidRPr="00831251" w:rsidRDefault="006C1A28" w:rsidP="006C1A28">
            <w:pPr>
              <w:widowControl w:val="0"/>
              <w:suppressAutoHyphens/>
              <w:rPr>
                <w:szCs w:val="22"/>
                <w:lang w:val="en-US"/>
              </w:rPr>
            </w:pPr>
            <w:r>
              <w:rPr>
                <w:rFonts w:ascii="Arial" w:hAnsi="Arial" w:cs="Arial"/>
                <w:sz w:val="20"/>
              </w:rPr>
              <w:t>Field shall have a descriptive name or Reserved.</w:t>
            </w:r>
          </w:p>
        </w:tc>
      </w:tr>
      <w:tr w:rsidR="00EE1966" w:rsidRPr="00CF09FE" w14:paraId="7458D140" w14:textId="77777777" w:rsidTr="00F6712D">
        <w:tc>
          <w:tcPr>
            <w:tcW w:w="656" w:type="dxa"/>
            <w:shd w:val="clear" w:color="auto" w:fill="auto"/>
          </w:tcPr>
          <w:p w14:paraId="209B8BBB" w14:textId="17D8AE21" w:rsidR="00EE1966" w:rsidRDefault="00EE1966" w:rsidP="00EE1966">
            <w:pPr>
              <w:widowControl w:val="0"/>
              <w:suppressAutoHyphens/>
              <w:rPr>
                <w:szCs w:val="22"/>
                <w:lang w:val="en-US"/>
              </w:rPr>
            </w:pPr>
            <w:r>
              <w:rPr>
                <w:szCs w:val="22"/>
                <w:lang w:val="en-US"/>
              </w:rPr>
              <w:t>278</w:t>
            </w:r>
          </w:p>
        </w:tc>
        <w:tc>
          <w:tcPr>
            <w:tcW w:w="1342" w:type="dxa"/>
            <w:shd w:val="clear" w:color="auto" w:fill="auto"/>
          </w:tcPr>
          <w:p w14:paraId="0A4C4BAB" w14:textId="3CBC66A0" w:rsidR="00EE1966" w:rsidRDefault="00EE1966" w:rsidP="00EE1966">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2BFFA495" w14:textId="135F3B20" w:rsidR="00EE1966" w:rsidRDefault="00EE1966" w:rsidP="00EE1966">
            <w:pPr>
              <w:widowControl w:val="0"/>
              <w:suppressAutoHyphens/>
              <w:rPr>
                <w:rFonts w:ascii="Arial" w:hAnsi="Arial" w:cs="Arial"/>
                <w:sz w:val="20"/>
              </w:rPr>
            </w:pPr>
            <w:r>
              <w:rPr>
                <w:rFonts w:ascii="Arial" w:hAnsi="Arial" w:cs="Arial"/>
                <w:sz w:val="20"/>
              </w:rPr>
              <w:t>73.42</w:t>
            </w:r>
          </w:p>
        </w:tc>
        <w:tc>
          <w:tcPr>
            <w:tcW w:w="2767" w:type="dxa"/>
            <w:shd w:val="clear" w:color="auto" w:fill="auto"/>
          </w:tcPr>
          <w:p w14:paraId="0959AA38" w14:textId="73B98751" w:rsidR="00EE1966" w:rsidRDefault="00EE1966" w:rsidP="00EE1966">
            <w:pPr>
              <w:widowControl w:val="0"/>
              <w:suppressAutoHyphens/>
              <w:rPr>
                <w:rFonts w:ascii="Arial" w:hAnsi="Arial" w:cs="Arial"/>
                <w:sz w:val="20"/>
              </w:rPr>
            </w:pPr>
            <w:r>
              <w:rPr>
                <w:rFonts w:ascii="Arial" w:hAnsi="Arial" w:cs="Arial"/>
                <w:sz w:val="20"/>
              </w:rPr>
              <w:t>how does the SBP initiator know that a SBP report frame sent by SBP responder is the last report frame, please clarify.</w:t>
            </w:r>
          </w:p>
        </w:tc>
        <w:tc>
          <w:tcPr>
            <w:tcW w:w="3775" w:type="dxa"/>
            <w:shd w:val="clear" w:color="auto" w:fill="auto"/>
          </w:tcPr>
          <w:p w14:paraId="4FE3E1C3" w14:textId="2F8910CF" w:rsidR="00EE1966" w:rsidRDefault="00EE1966" w:rsidP="00EE1966">
            <w:pPr>
              <w:widowControl w:val="0"/>
              <w:suppressAutoHyphens/>
              <w:rPr>
                <w:rFonts w:ascii="Arial" w:hAnsi="Arial" w:cs="Arial"/>
                <w:sz w:val="20"/>
              </w:rPr>
            </w:pPr>
            <w:r>
              <w:rPr>
                <w:rFonts w:ascii="Arial" w:hAnsi="Arial" w:cs="Arial"/>
                <w:sz w:val="20"/>
              </w:rPr>
              <w:t>as in comment</w:t>
            </w:r>
          </w:p>
        </w:tc>
      </w:tr>
      <w:tr w:rsidR="005961DE" w:rsidRPr="00CF09FE" w14:paraId="4D5928E0" w14:textId="77777777" w:rsidTr="00F6712D">
        <w:tc>
          <w:tcPr>
            <w:tcW w:w="656" w:type="dxa"/>
            <w:shd w:val="clear" w:color="auto" w:fill="auto"/>
          </w:tcPr>
          <w:p w14:paraId="14201F55" w14:textId="17A86D56" w:rsidR="005961DE" w:rsidRDefault="005961DE" w:rsidP="005961DE">
            <w:pPr>
              <w:widowControl w:val="0"/>
              <w:suppressAutoHyphens/>
              <w:rPr>
                <w:szCs w:val="22"/>
                <w:lang w:val="en-US"/>
              </w:rPr>
            </w:pPr>
            <w:r>
              <w:rPr>
                <w:szCs w:val="22"/>
                <w:lang w:val="en-US"/>
              </w:rPr>
              <w:t>280</w:t>
            </w:r>
          </w:p>
        </w:tc>
        <w:tc>
          <w:tcPr>
            <w:tcW w:w="1342" w:type="dxa"/>
            <w:shd w:val="clear" w:color="auto" w:fill="auto"/>
          </w:tcPr>
          <w:p w14:paraId="2F5EBFB8" w14:textId="4171AABB" w:rsidR="005961DE" w:rsidRDefault="005961DE" w:rsidP="005961DE">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60EDC664" w14:textId="12D2596B" w:rsidR="005961DE" w:rsidRDefault="005961DE" w:rsidP="005961DE">
            <w:pPr>
              <w:widowControl w:val="0"/>
              <w:suppressAutoHyphens/>
              <w:rPr>
                <w:rFonts w:ascii="Arial" w:hAnsi="Arial" w:cs="Arial"/>
                <w:sz w:val="20"/>
              </w:rPr>
            </w:pPr>
            <w:r>
              <w:rPr>
                <w:rFonts w:ascii="Arial" w:hAnsi="Arial" w:cs="Arial"/>
                <w:sz w:val="20"/>
              </w:rPr>
              <w:t>73.46</w:t>
            </w:r>
          </w:p>
        </w:tc>
        <w:tc>
          <w:tcPr>
            <w:tcW w:w="2767" w:type="dxa"/>
            <w:shd w:val="clear" w:color="auto" w:fill="auto"/>
          </w:tcPr>
          <w:p w14:paraId="1CE0CE49" w14:textId="5D324F71" w:rsidR="005961DE" w:rsidRDefault="005961DE" w:rsidP="005961DE">
            <w:pPr>
              <w:widowControl w:val="0"/>
              <w:suppressAutoHyphens/>
              <w:rPr>
                <w:rFonts w:ascii="Arial" w:hAnsi="Arial" w:cs="Arial"/>
                <w:sz w:val="20"/>
              </w:rPr>
            </w:pPr>
            <w:r>
              <w:rPr>
                <w:rFonts w:ascii="Arial" w:hAnsi="Arial" w:cs="Arial"/>
                <w:sz w:val="20"/>
              </w:rPr>
              <w:t>need to clarify whether the SBP responder (AP) should terminate the sensing measurement setup after the AP sent the SBP termination frame or received the SBP termination frame from the sensing initiator at any time.</w:t>
            </w:r>
          </w:p>
        </w:tc>
        <w:tc>
          <w:tcPr>
            <w:tcW w:w="3775" w:type="dxa"/>
            <w:shd w:val="clear" w:color="auto" w:fill="auto"/>
          </w:tcPr>
          <w:p w14:paraId="775685D5" w14:textId="6E1E7BD0" w:rsidR="005961DE" w:rsidRDefault="005961DE" w:rsidP="005961DE">
            <w:pPr>
              <w:widowControl w:val="0"/>
              <w:suppressAutoHyphens/>
              <w:rPr>
                <w:rFonts w:ascii="Arial" w:hAnsi="Arial" w:cs="Arial"/>
                <w:sz w:val="20"/>
              </w:rPr>
            </w:pPr>
            <w:r>
              <w:rPr>
                <w:rFonts w:ascii="Arial" w:hAnsi="Arial" w:cs="Arial"/>
                <w:sz w:val="20"/>
              </w:rPr>
              <w:t>as in comment</w:t>
            </w:r>
          </w:p>
        </w:tc>
      </w:tr>
      <w:tr w:rsidR="000E1D16" w:rsidRPr="00CF09FE" w14:paraId="2AFB8BF3" w14:textId="77777777" w:rsidTr="00F6712D">
        <w:tc>
          <w:tcPr>
            <w:tcW w:w="656" w:type="dxa"/>
            <w:shd w:val="clear" w:color="auto" w:fill="auto"/>
          </w:tcPr>
          <w:p w14:paraId="59245D8D" w14:textId="705160E1" w:rsidR="000E1D16" w:rsidRDefault="000E1D16" w:rsidP="000E1D16">
            <w:pPr>
              <w:widowControl w:val="0"/>
              <w:suppressAutoHyphens/>
              <w:rPr>
                <w:szCs w:val="22"/>
                <w:lang w:val="en-US"/>
              </w:rPr>
            </w:pPr>
            <w:r>
              <w:rPr>
                <w:szCs w:val="22"/>
                <w:lang w:val="en-US"/>
              </w:rPr>
              <w:t>531</w:t>
            </w:r>
          </w:p>
        </w:tc>
        <w:tc>
          <w:tcPr>
            <w:tcW w:w="1342" w:type="dxa"/>
            <w:shd w:val="clear" w:color="auto" w:fill="auto"/>
          </w:tcPr>
          <w:p w14:paraId="6325DC43" w14:textId="0D7BA483" w:rsidR="000E1D16" w:rsidRDefault="000E1D16" w:rsidP="000E1D16">
            <w:pPr>
              <w:widowControl w:val="0"/>
              <w:suppressAutoHyphens/>
              <w:jc w:val="center"/>
              <w:rPr>
                <w:rFonts w:ascii="Arial" w:hAnsi="Arial" w:cs="Arial"/>
                <w:sz w:val="20"/>
              </w:rPr>
            </w:pPr>
            <w:r>
              <w:rPr>
                <w:rFonts w:ascii="Arial" w:hAnsi="Arial" w:cs="Arial"/>
                <w:sz w:val="20"/>
              </w:rPr>
              <w:t>9.6.7.55</w:t>
            </w:r>
          </w:p>
        </w:tc>
        <w:tc>
          <w:tcPr>
            <w:tcW w:w="810" w:type="dxa"/>
            <w:shd w:val="clear" w:color="auto" w:fill="auto"/>
          </w:tcPr>
          <w:p w14:paraId="3E7FE1B6" w14:textId="2D4AEF20" w:rsidR="000E1D16" w:rsidRDefault="000E1D16" w:rsidP="000E1D16">
            <w:pPr>
              <w:widowControl w:val="0"/>
              <w:suppressAutoHyphens/>
              <w:rPr>
                <w:rFonts w:ascii="Arial" w:hAnsi="Arial" w:cs="Arial"/>
                <w:sz w:val="20"/>
              </w:rPr>
            </w:pPr>
            <w:r>
              <w:rPr>
                <w:rFonts w:ascii="Arial" w:hAnsi="Arial" w:cs="Arial"/>
                <w:sz w:val="20"/>
              </w:rPr>
              <w:t>61.25</w:t>
            </w:r>
          </w:p>
        </w:tc>
        <w:tc>
          <w:tcPr>
            <w:tcW w:w="2767" w:type="dxa"/>
            <w:shd w:val="clear" w:color="auto" w:fill="auto"/>
          </w:tcPr>
          <w:p w14:paraId="4B02E81F" w14:textId="3C53A034" w:rsidR="000E1D16" w:rsidRDefault="000E1D16" w:rsidP="000E1D16">
            <w:pPr>
              <w:widowControl w:val="0"/>
              <w:suppressAutoHyphens/>
              <w:rPr>
                <w:rFonts w:ascii="Arial" w:hAnsi="Arial" w:cs="Arial"/>
                <w:sz w:val="20"/>
              </w:rPr>
            </w:pPr>
            <w:r>
              <w:rPr>
                <w:rFonts w:ascii="Arial" w:hAnsi="Arial" w:cs="Arial"/>
                <w:sz w:val="20"/>
              </w:rPr>
              <w:t>Define the subfields that should be included in this frame. and if we don't need to add any subfield in this frame, delete both the text of line 25 and the TBD field included in figure 9-1139h.</w:t>
            </w:r>
          </w:p>
        </w:tc>
        <w:tc>
          <w:tcPr>
            <w:tcW w:w="3775" w:type="dxa"/>
            <w:shd w:val="clear" w:color="auto" w:fill="auto"/>
          </w:tcPr>
          <w:p w14:paraId="498FC168" w14:textId="6F35AC86" w:rsidR="000E1D16" w:rsidRDefault="000E1D16" w:rsidP="000E1D16">
            <w:pPr>
              <w:widowControl w:val="0"/>
              <w:suppressAutoHyphens/>
              <w:rPr>
                <w:rFonts w:ascii="Arial" w:hAnsi="Arial" w:cs="Arial"/>
                <w:sz w:val="20"/>
              </w:rPr>
            </w:pPr>
            <w:r>
              <w:rPr>
                <w:rFonts w:ascii="Arial" w:hAnsi="Arial" w:cs="Arial"/>
                <w:sz w:val="20"/>
              </w:rPr>
              <w:t>As in comment</w:t>
            </w:r>
          </w:p>
        </w:tc>
      </w:tr>
      <w:tr w:rsidR="00C0125E" w:rsidRPr="00CF09FE" w14:paraId="159E0461" w14:textId="77777777" w:rsidTr="00F6712D">
        <w:tc>
          <w:tcPr>
            <w:tcW w:w="656" w:type="dxa"/>
            <w:shd w:val="clear" w:color="auto" w:fill="auto"/>
          </w:tcPr>
          <w:p w14:paraId="5C34504E" w14:textId="76740041" w:rsidR="00C0125E" w:rsidRDefault="00C0125E" w:rsidP="00C0125E">
            <w:pPr>
              <w:widowControl w:val="0"/>
              <w:suppressAutoHyphens/>
              <w:rPr>
                <w:szCs w:val="22"/>
                <w:lang w:val="en-US"/>
              </w:rPr>
            </w:pPr>
            <w:r>
              <w:rPr>
                <w:szCs w:val="22"/>
                <w:lang w:val="en-US"/>
              </w:rPr>
              <w:t>640</w:t>
            </w:r>
          </w:p>
        </w:tc>
        <w:tc>
          <w:tcPr>
            <w:tcW w:w="1342" w:type="dxa"/>
            <w:shd w:val="clear" w:color="auto" w:fill="auto"/>
          </w:tcPr>
          <w:p w14:paraId="5DF9ADA8" w14:textId="015C79E8" w:rsidR="00C0125E" w:rsidRDefault="00C0125E" w:rsidP="00C0125E">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4E87E065" w14:textId="4F22C1B1" w:rsidR="00C0125E" w:rsidRDefault="00C0125E" w:rsidP="00C0125E">
            <w:pPr>
              <w:widowControl w:val="0"/>
              <w:suppressAutoHyphens/>
              <w:rPr>
                <w:rFonts w:ascii="Arial" w:hAnsi="Arial" w:cs="Arial"/>
                <w:sz w:val="20"/>
              </w:rPr>
            </w:pPr>
            <w:r>
              <w:rPr>
                <w:rFonts w:ascii="Arial" w:hAnsi="Arial" w:cs="Arial"/>
                <w:sz w:val="20"/>
              </w:rPr>
              <w:t>73.15</w:t>
            </w:r>
          </w:p>
        </w:tc>
        <w:tc>
          <w:tcPr>
            <w:tcW w:w="2767" w:type="dxa"/>
            <w:shd w:val="clear" w:color="auto" w:fill="auto"/>
          </w:tcPr>
          <w:p w14:paraId="4DB85EC7" w14:textId="4B512635" w:rsidR="00C0125E" w:rsidRDefault="00C0125E" w:rsidP="00C0125E">
            <w:pPr>
              <w:widowControl w:val="0"/>
              <w:suppressAutoHyphens/>
              <w:rPr>
                <w:rFonts w:ascii="Arial" w:hAnsi="Arial" w:cs="Arial"/>
                <w:sz w:val="20"/>
              </w:rPr>
            </w:pPr>
            <w:r>
              <w:rPr>
                <w:rFonts w:ascii="Arial" w:hAnsi="Arial" w:cs="Arial"/>
                <w:sz w:val="20"/>
              </w:rPr>
              <w:t>Add the following clarification: The SBP initiator shall discard any SBP Response frame corresponding to the terminated SBP procedure.  The SBP initiator shall not reuse the Dialog Token value before the maximum retransmission timeout.</w:t>
            </w:r>
          </w:p>
        </w:tc>
        <w:tc>
          <w:tcPr>
            <w:tcW w:w="3775" w:type="dxa"/>
            <w:shd w:val="clear" w:color="auto" w:fill="auto"/>
          </w:tcPr>
          <w:p w14:paraId="3518DB33" w14:textId="033391AE" w:rsidR="00C0125E" w:rsidRDefault="00C0125E" w:rsidP="00C0125E">
            <w:pPr>
              <w:widowControl w:val="0"/>
              <w:suppressAutoHyphens/>
              <w:rPr>
                <w:rFonts w:ascii="Arial" w:hAnsi="Arial" w:cs="Arial"/>
                <w:sz w:val="20"/>
              </w:rPr>
            </w:pPr>
            <w:r>
              <w:rPr>
                <w:rFonts w:ascii="Arial" w:hAnsi="Arial" w:cs="Arial"/>
                <w:sz w:val="20"/>
              </w:rPr>
              <w:t>As commented.</w:t>
            </w:r>
          </w:p>
        </w:tc>
      </w:tr>
    </w:tbl>
    <w:p w14:paraId="69D114BE" w14:textId="77777777" w:rsidR="00021D54" w:rsidRPr="00CF09FE" w:rsidRDefault="00021D54" w:rsidP="00021D54">
      <w:pPr>
        <w:rPr>
          <w:szCs w:val="22"/>
          <w:lang w:val="en-US"/>
        </w:rPr>
      </w:pPr>
    </w:p>
    <w:p w14:paraId="15159F7B" w14:textId="531B1E02" w:rsidR="00021D54" w:rsidRPr="00CF09FE" w:rsidRDefault="00021D54" w:rsidP="00021D54">
      <w:pPr>
        <w:rPr>
          <w:szCs w:val="22"/>
          <w:lang w:val="en-US"/>
        </w:rPr>
      </w:pPr>
      <w:r w:rsidRPr="00CF09FE">
        <w:rPr>
          <w:b/>
          <w:szCs w:val="22"/>
          <w:lang w:val="en-US"/>
        </w:rPr>
        <w:t>Proposed resolution</w:t>
      </w:r>
      <w:r w:rsidRPr="00CF09FE">
        <w:rPr>
          <w:szCs w:val="22"/>
          <w:lang w:val="en-US"/>
        </w:rPr>
        <w:t>:</w:t>
      </w:r>
      <w:r w:rsidR="003F1287">
        <w:rPr>
          <w:szCs w:val="22"/>
          <w:lang w:val="en-US"/>
        </w:rPr>
        <w:t xml:space="preserve"> </w:t>
      </w:r>
      <w:r w:rsidR="001C5863">
        <w:rPr>
          <w:szCs w:val="22"/>
          <w:lang w:val="en-US"/>
        </w:rPr>
        <w:t xml:space="preserve">CID 48, 83, </w:t>
      </w:r>
      <w:r w:rsidR="006A05A4">
        <w:rPr>
          <w:szCs w:val="22"/>
          <w:lang w:val="en-US"/>
        </w:rPr>
        <w:t xml:space="preserve">278, </w:t>
      </w:r>
      <w:r w:rsidR="001C5863">
        <w:rPr>
          <w:szCs w:val="22"/>
          <w:lang w:val="en-US"/>
        </w:rPr>
        <w:t xml:space="preserve">280, 531: Revised. CID 640: Accepted. </w:t>
      </w:r>
      <w:r w:rsidR="004E473F">
        <w:rPr>
          <w:szCs w:val="22"/>
          <w:lang w:val="en-US"/>
        </w:rPr>
        <w:t xml:space="preserve"> </w:t>
      </w:r>
    </w:p>
    <w:p w14:paraId="4CE4DD3C" w14:textId="77777777" w:rsidR="00021D54" w:rsidRPr="00532E0B" w:rsidRDefault="00021D54" w:rsidP="00021D54">
      <w:pPr>
        <w:rPr>
          <w:bCs/>
          <w:szCs w:val="22"/>
          <w:lang w:val="en-US"/>
        </w:rPr>
      </w:pPr>
    </w:p>
    <w:p w14:paraId="79D47B7C" w14:textId="77777777" w:rsidR="00B4545C" w:rsidRDefault="00021D54" w:rsidP="00BB137C">
      <w:pPr>
        <w:rPr>
          <w:szCs w:val="22"/>
          <w:lang w:val="en-US"/>
        </w:rPr>
      </w:pPr>
      <w:r w:rsidRPr="00CF09FE">
        <w:rPr>
          <w:b/>
          <w:szCs w:val="22"/>
          <w:lang w:val="en-US"/>
        </w:rPr>
        <w:t>Discussion</w:t>
      </w:r>
      <w:r w:rsidRPr="00CF09FE">
        <w:rPr>
          <w:szCs w:val="22"/>
          <w:lang w:val="en-US"/>
        </w:rPr>
        <w:t xml:space="preserve">: </w:t>
      </w:r>
    </w:p>
    <w:p w14:paraId="1C176D05" w14:textId="7CFA2E75" w:rsidR="009A07D5" w:rsidRDefault="009A07D5" w:rsidP="004E473F">
      <w:pPr>
        <w:pStyle w:val="ListParagraph"/>
        <w:numPr>
          <w:ilvl w:val="0"/>
          <w:numId w:val="21"/>
        </w:numPr>
        <w:rPr>
          <w:szCs w:val="22"/>
          <w:lang w:val="en-US"/>
        </w:rPr>
      </w:pPr>
      <w:r>
        <w:rPr>
          <w:szCs w:val="22"/>
          <w:lang w:val="en-US"/>
        </w:rPr>
        <w:t>CID 48:</w:t>
      </w:r>
    </w:p>
    <w:p w14:paraId="24D52D06" w14:textId="699BD07D" w:rsidR="009A07D5" w:rsidRDefault="009A07D5" w:rsidP="009A07D5">
      <w:pPr>
        <w:pStyle w:val="ListParagraph"/>
        <w:numPr>
          <w:ilvl w:val="1"/>
          <w:numId w:val="21"/>
        </w:numPr>
        <w:rPr>
          <w:szCs w:val="22"/>
          <w:lang w:val="en-US"/>
        </w:rPr>
      </w:pPr>
      <w:r>
        <w:rPr>
          <w:szCs w:val="22"/>
          <w:lang w:val="en-US"/>
        </w:rPr>
        <w:t>Agree with the commenter that we should allow the SBP Termination frame to terminate all established SBP procedures between an SBP initiator and an SBP responder, similar to what we did for the Sensing Measurement Setup Termination frame. Moreover, we also have similar functions defined in the DMG SBP Termination frame.</w:t>
      </w:r>
    </w:p>
    <w:p w14:paraId="4D56CE99" w14:textId="3215BDFD" w:rsidR="009A07D5" w:rsidRDefault="009A07D5" w:rsidP="004E473F">
      <w:pPr>
        <w:pStyle w:val="ListParagraph"/>
        <w:numPr>
          <w:ilvl w:val="0"/>
          <w:numId w:val="21"/>
        </w:numPr>
        <w:rPr>
          <w:szCs w:val="22"/>
          <w:lang w:val="en-US"/>
        </w:rPr>
      </w:pPr>
      <w:r>
        <w:rPr>
          <w:szCs w:val="22"/>
          <w:lang w:val="en-US"/>
        </w:rPr>
        <w:t>CID  83 and CID 531</w:t>
      </w:r>
      <w:r w:rsidR="00C73ADE">
        <w:rPr>
          <w:szCs w:val="22"/>
          <w:lang w:val="en-US"/>
        </w:rPr>
        <w:t>:</w:t>
      </w:r>
    </w:p>
    <w:p w14:paraId="07265620" w14:textId="387FA1F4" w:rsidR="00C73ADE" w:rsidRDefault="00C73ADE" w:rsidP="00C73ADE">
      <w:pPr>
        <w:pStyle w:val="ListParagraph"/>
        <w:numPr>
          <w:ilvl w:val="1"/>
          <w:numId w:val="21"/>
        </w:numPr>
        <w:rPr>
          <w:szCs w:val="22"/>
          <w:lang w:val="en-US"/>
        </w:rPr>
      </w:pPr>
      <w:r>
        <w:rPr>
          <w:szCs w:val="22"/>
          <w:lang w:val="en-US"/>
        </w:rPr>
        <w:t>In this contribution we will complete the design of the format for SBP Termination frame.</w:t>
      </w:r>
    </w:p>
    <w:p w14:paraId="1374E04A" w14:textId="2D4B9397" w:rsidR="00170CD3" w:rsidRDefault="00170CD3" w:rsidP="00C73ADE">
      <w:pPr>
        <w:pStyle w:val="ListParagraph"/>
        <w:numPr>
          <w:ilvl w:val="1"/>
          <w:numId w:val="21"/>
        </w:numPr>
        <w:rPr>
          <w:szCs w:val="22"/>
          <w:lang w:val="en-US"/>
        </w:rPr>
      </w:pPr>
      <w:r>
        <w:rPr>
          <w:szCs w:val="22"/>
          <w:lang w:val="en-US"/>
        </w:rPr>
        <w:t xml:space="preserve">Generally, we keep the design of the SBP Termination frame consistent with the DMG SBP Termination frame in </w:t>
      </w:r>
      <w:r w:rsidR="0064772B">
        <w:rPr>
          <w:szCs w:val="22"/>
          <w:lang w:val="en-US"/>
        </w:rPr>
        <w:t>9.6.21.15.</w:t>
      </w:r>
    </w:p>
    <w:p w14:paraId="311AC109" w14:textId="1131A1C0" w:rsidR="00EE1966" w:rsidRDefault="00EE1966" w:rsidP="00C73ADE">
      <w:pPr>
        <w:pStyle w:val="ListParagraph"/>
        <w:numPr>
          <w:ilvl w:val="0"/>
          <w:numId w:val="21"/>
        </w:numPr>
        <w:rPr>
          <w:szCs w:val="22"/>
          <w:lang w:val="en-US"/>
        </w:rPr>
      </w:pPr>
      <w:r>
        <w:rPr>
          <w:szCs w:val="22"/>
          <w:lang w:val="en-US"/>
        </w:rPr>
        <w:t>CID 278:</w:t>
      </w:r>
    </w:p>
    <w:p w14:paraId="38170F07" w14:textId="3265B78F" w:rsidR="00EE1966" w:rsidRDefault="00EE1966" w:rsidP="00EE1966">
      <w:pPr>
        <w:pStyle w:val="ListParagraph"/>
        <w:numPr>
          <w:ilvl w:val="1"/>
          <w:numId w:val="21"/>
        </w:numPr>
        <w:rPr>
          <w:szCs w:val="22"/>
          <w:lang w:val="en-US"/>
        </w:rPr>
      </w:pPr>
      <w:r>
        <w:rPr>
          <w:szCs w:val="22"/>
          <w:lang w:val="en-US"/>
        </w:rPr>
        <w:lastRenderedPageBreak/>
        <w:t>In DCN977</w:t>
      </w:r>
      <w:r w:rsidR="00182970">
        <w:rPr>
          <w:szCs w:val="22"/>
          <w:lang w:val="en-US"/>
        </w:rPr>
        <w:t xml:space="preserve">r10 that is ready for motion, we have added a subfield “Last SBP Report” in the Sensing Measurement Report Control field within the SBP Report frame </w:t>
      </w:r>
      <w:r w:rsidR="006A05A4">
        <w:rPr>
          <w:szCs w:val="22"/>
          <w:lang w:val="en-US"/>
        </w:rPr>
        <w:t xml:space="preserve">to indicate whether the corresponding SBP report is the last one. </w:t>
      </w:r>
    </w:p>
    <w:p w14:paraId="57C8CF05" w14:textId="46EA99CA" w:rsidR="00C73ADE" w:rsidRDefault="00C73ADE" w:rsidP="00C73ADE">
      <w:pPr>
        <w:pStyle w:val="ListParagraph"/>
        <w:numPr>
          <w:ilvl w:val="0"/>
          <w:numId w:val="21"/>
        </w:numPr>
        <w:rPr>
          <w:szCs w:val="22"/>
          <w:lang w:val="en-US"/>
        </w:rPr>
      </w:pPr>
      <w:r>
        <w:rPr>
          <w:szCs w:val="22"/>
          <w:lang w:val="en-US"/>
        </w:rPr>
        <w:t>CID 280:</w:t>
      </w:r>
    </w:p>
    <w:p w14:paraId="19E2E031" w14:textId="5CBB5B38" w:rsidR="00C73ADE" w:rsidRDefault="00C73ADE" w:rsidP="00C73ADE">
      <w:pPr>
        <w:pStyle w:val="ListParagraph"/>
        <w:numPr>
          <w:ilvl w:val="1"/>
          <w:numId w:val="21"/>
        </w:numPr>
        <w:rPr>
          <w:szCs w:val="22"/>
          <w:lang w:val="en-US"/>
        </w:rPr>
      </w:pPr>
      <w:r>
        <w:rPr>
          <w:szCs w:val="22"/>
          <w:lang w:val="en-US"/>
        </w:rPr>
        <w:t xml:space="preserve">Generally, agree with the commenter that once an SBP procedure is terminated, the AP should terminate the corresponding sensing measurement setups established with the sensing responders triggered by the previous SBP request. </w:t>
      </w:r>
    </w:p>
    <w:p w14:paraId="76CFF2AA" w14:textId="6531D90C" w:rsidR="007934F8" w:rsidRDefault="007934F8" w:rsidP="007934F8">
      <w:pPr>
        <w:pStyle w:val="ListParagraph"/>
        <w:numPr>
          <w:ilvl w:val="0"/>
          <w:numId w:val="21"/>
        </w:numPr>
        <w:rPr>
          <w:szCs w:val="22"/>
          <w:lang w:val="en-US"/>
        </w:rPr>
      </w:pPr>
      <w:r>
        <w:rPr>
          <w:szCs w:val="22"/>
          <w:lang w:val="en-US"/>
        </w:rPr>
        <w:t>CID 640:</w:t>
      </w:r>
    </w:p>
    <w:p w14:paraId="34E0222F" w14:textId="089FFA30" w:rsidR="004E473F" w:rsidRPr="001C5863" w:rsidRDefault="001C5863" w:rsidP="001C5863">
      <w:pPr>
        <w:pStyle w:val="ListParagraph"/>
        <w:numPr>
          <w:ilvl w:val="1"/>
          <w:numId w:val="21"/>
        </w:numPr>
        <w:rPr>
          <w:szCs w:val="22"/>
          <w:lang w:val="en-US"/>
        </w:rPr>
      </w:pPr>
      <w:r>
        <w:rPr>
          <w:szCs w:val="22"/>
          <w:lang w:val="en-US"/>
        </w:rPr>
        <w:t>Fine to add these clarifications.</w:t>
      </w:r>
    </w:p>
    <w:p w14:paraId="452A9522" w14:textId="6CF70C89" w:rsidR="00934464" w:rsidRDefault="00934464" w:rsidP="003D6103">
      <w:pPr>
        <w:rPr>
          <w:rFonts w:eastAsia="SimSun"/>
        </w:rPr>
      </w:pPr>
    </w:p>
    <w:p w14:paraId="5CA8D0A4" w14:textId="5358FA92" w:rsidR="001C5863" w:rsidRDefault="001C5863" w:rsidP="003D6103">
      <w:pPr>
        <w:rPr>
          <w:rFonts w:eastAsia="SimSun"/>
        </w:rPr>
      </w:pPr>
    </w:p>
    <w:p w14:paraId="17918876" w14:textId="053EA737" w:rsidR="001C5863" w:rsidRDefault="001C5863" w:rsidP="003D6103">
      <w:pPr>
        <w:rPr>
          <w:rFonts w:eastAsia="SimSun"/>
          <w:b/>
          <w:bCs/>
          <w:i/>
          <w:iCs/>
        </w:rPr>
      </w:pPr>
      <w:proofErr w:type="spellStart"/>
      <w:r>
        <w:rPr>
          <w:rFonts w:eastAsia="SimSun"/>
          <w:b/>
          <w:bCs/>
          <w:i/>
          <w:iCs/>
        </w:rPr>
        <w:t>TGbf</w:t>
      </w:r>
      <w:proofErr w:type="spellEnd"/>
      <w:r>
        <w:rPr>
          <w:rFonts w:eastAsia="SimSun"/>
          <w:b/>
          <w:bCs/>
          <w:i/>
          <w:iCs/>
        </w:rPr>
        <w:t xml:space="preserve"> editor, make the following changes in the spec.</w:t>
      </w:r>
    </w:p>
    <w:p w14:paraId="4FA19A48" w14:textId="42CD7F87" w:rsidR="001C5863" w:rsidRDefault="00A05BA1" w:rsidP="003D6103">
      <w:pPr>
        <w:rPr>
          <w:rFonts w:eastAsia="SimSun"/>
          <w:b/>
          <w:bCs/>
        </w:rPr>
      </w:pPr>
      <w:r>
        <w:rPr>
          <w:rFonts w:eastAsia="SimSun"/>
          <w:b/>
          <w:bCs/>
        </w:rPr>
        <w:t>9.6.7.55 SBP Termination frame format</w:t>
      </w:r>
    </w:p>
    <w:p w14:paraId="60A22825" w14:textId="4FE4F969" w:rsidR="00A05BA1" w:rsidRDefault="00911249" w:rsidP="003D6103">
      <w:pPr>
        <w:rPr>
          <w:rFonts w:ascii="TimesNewRoman" w:hAnsi="TimesNewRoman"/>
          <w:color w:val="000000"/>
          <w:sz w:val="20"/>
        </w:rPr>
      </w:pPr>
      <w:r w:rsidRPr="00911249">
        <w:rPr>
          <w:rFonts w:ascii="TimesNewRoman" w:hAnsi="TimesNewRoman"/>
          <w:color w:val="000000"/>
          <w:sz w:val="20"/>
        </w:rPr>
        <w:t xml:space="preserve">The SBP Termination frame allows either an SBP initiator or an SBP responder to terminate </w:t>
      </w:r>
      <w:del w:id="0" w:author="Chen, Cheng" w:date="2022-11-10T10:32:00Z">
        <w:r w:rsidRPr="00911249" w:rsidDel="001807D7">
          <w:rPr>
            <w:rFonts w:ascii="TimesNewRoman" w:hAnsi="TimesNewRoman"/>
            <w:color w:val="000000"/>
            <w:sz w:val="20"/>
          </w:rPr>
          <w:delText xml:space="preserve">an </w:delText>
        </w:r>
      </w:del>
      <w:r w:rsidRPr="00911249">
        <w:rPr>
          <w:rFonts w:ascii="TimesNewRoman" w:hAnsi="TimesNewRoman"/>
          <w:color w:val="000000"/>
          <w:sz w:val="20"/>
        </w:rPr>
        <w:t>SBP procedure</w:t>
      </w:r>
      <w:ins w:id="1" w:author="Chen, Cheng" w:date="2022-11-10T10:32:00Z">
        <w:r w:rsidR="001807D7">
          <w:rPr>
            <w:rFonts w:ascii="TimesNewRoman" w:hAnsi="TimesNewRoman"/>
            <w:color w:val="000000"/>
            <w:sz w:val="20"/>
          </w:rPr>
          <w:t>(</w:t>
        </w:r>
        <w:r w:rsidR="000C0C15">
          <w:rPr>
            <w:rFonts w:ascii="TimesNewRoman" w:hAnsi="TimesNewRoman"/>
            <w:color w:val="000000"/>
            <w:sz w:val="20"/>
          </w:rPr>
          <w:t>s</w:t>
        </w:r>
        <w:r w:rsidR="001807D7">
          <w:rPr>
            <w:rFonts w:ascii="TimesNewRoman" w:hAnsi="TimesNewRoman"/>
            <w:color w:val="000000"/>
            <w:sz w:val="20"/>
          </w:rPr>
          <w:t>)</w:t>
        </w:r>
      </w:ins>
      <w:r w:rsidRPr="00911249">
        <w:rPr>
          <w:rFonts w:ascii="TimesNewRoman" w:hAnsi="TimesNewRoman"/>
          <w:color w:val="000000"/>
          <w:sz w:val="20"/>
        </w:rPr>
        <w:t>. The format of the SBP Termination frame Action field is defined in Figure 9-1140i (SBP Termination frame Action field format</w:t>
      </w:r>
      <w:r w:rsidR="00AA0AC8">
        <w:rPr>
          <w:rFonts w:ascii="TimesNewRoman" w:hAnsi="TimesNewRoman"/>
          <w:color w:val="000000"/>
          <w:sz w:val="20"/>
        </w:rPr>
        <w:t>).</w:t>
      </w:r>
    </w:p>
    <w:p w14:paraId="291C082B" w14:textId="33720F45" w:rsidR="00911249" w:rsidRDefault="00911249" w:rsidP="003D6103">
      <w:pPr>
        <w:rPr>
          <w:rFonts w:ascii="TimesNewRoman" w:hAnsi="TimesNewRoman"/>
          <w:color w:val="000000"/>
          <w:sz w:val="20"/>
        </w:rPr>
      </w:pPr>
    </w:p>
    <w:tbl>
      <w:tblPr>
        <w:tblStyle w:val="TableGrid"/>
        <w:tblW w:w="0" w:type="auto"/>
        <w:tblLook w:val="04A0" w:firstRow="1" w:lastRow="0" w:firstColumn="1" w:lastColumn="0" w:noHBand="0" w:noVBand="1"/>
        <w:tblPrChange w:id="2" w:author="Chen, Cheng" w:date="2022-11-10T10:28:00Z">
          <w:tblPr>
            <w:tblStyle w:val="TableGrid"/>
            <w:tblW w:w="0" w:type="auto"/>
            <w:tblLook w:val="04A0" w:firstRow="1" w:lastRow="0" w:firstColumn="1" w:lastColumn="0" w:noHBand="0" w:noVBand="1"/>
          </w:tblPr>
        </w:tblPrChange>
      </w:tblPr>
      <w:tblGrid>
        <w:gridCol w:w="1510"/>
        <w:gridCol w:w="1590"/>
        <w:gridCol w:w="1522"/>
        <w:gridCol w:w="1719"/>
        <w:gridCol w:w="1683"/>
        <w:gridCol w:w="1326"/>
        <w:tblGridChange w:id="3">
          <w:tblGrid>
            <w:gridCol w:w="1870"/>
            <w:gridCol w:w="1870"/>
            <w:gridCol w:w="1870"/>
            <w:gridCol w:w="1870"/>
            <w:gridCol w:w="1870"/>
            <w:gridCol w:w="1870"/>
          </w:tblGrid>
        </w:tblGridChange>
      </w:tblGrid>
      <w:tr w:rsidR="00452213" w14:paraId="5513EAB5" w14:textId="0F468B43" w:rsidTr="00452213">
        <w:tc>
          <w:tcPr>
            <w:tcW w:w="1510" w:type="dxa"/>
            <w:tcPrChange w:id="4" w:author="Chen, Cheng" w:date="2022-11-10T10:28:00Z">
              <w:tcPr>
                <w:tcW w:w="1870" w:type="dxa"/>
              </w:tcPr>
            </w:tcPrChange>
          </w:tcPr>
          <w:p w14:paraId="113FB20A" w14:textId="77777777" w:rsidR="00452213" w:rsidRDefault="00452213" w:rsidP="003D6103">
            <w:pPr>
              <w:rPr>
                <w:rFonts w:eastAsia="SimSun"/>
              </w:rPr>
            </w:pPr>
          </w:p>
        </w:tc>
        <w:tc>
          <w:tcPr>
            <w:tcW w:w="1590" w:type="dxa"/>
            <w:tcPrChange w:id="5" w:author="Chen, Cheng" w:date="2022-11-10T10:28:00Z">
              <w:tcPr>
                <w:tcW w:w="1870" w:type="dxa"/>
              </w:tcPr>
            </w:tcPrChange>
          </w:tcPr>
          <w:p w14:paraId="539DE619" w14:textId="692F8600" w:rsidR="00452213" w:rsidRDefault="00452213" w:rsidP="003D6103">
            <w:pPr>
              <w:rPr>
                <w:rFonts w:eastAsia="SimSun"/>
              </w:rPr>
            </w:pPr>
            <w:r>
              <w:rPr>
                <w:rFonts w:eastAsia="SimSun"/>
              </w:rPr>
              <w:t>Category</w:t>
            </w:r>
          </w:p>
        </w:tc>
        <w:tc>
          <w:tcPr>
            <w:tcW w:w="1522" w:type="dxa"/>
            <w:tcPrChange w:id="6" w:author="Chen, Cheng" w:date="2022-11-10T10:28:00Z">
              <w:tcPr>
                <w:tcW w:w="1870" w:type="dxa"/>
              </w:tcPr>
            </w:tcPrChange>
          </w:tcPr>
          <w:p w14:paraId="6B913D53" w14:textId="28540C80" w:rsidR="00452213" w:rsidRDefault="00452213" w:rsidP="003D6103">
            <w:pPr>
              <w:rPr>
                <w:rFonts w:eastAsia="SimSun"/>
              </w:rPr>
            </w:pPr>
            <w:r>
              <w:rPr>
                <w:rFonts w:eastAsia="SimSun"/>
              </w:rPr>
              <w:t>Public Action</w:t>
            </w:r>
          </w:p>
        </w:tc>
        <w:tc>
          <w:tcPr>
            <w:tcW w:w="1719" w:type="dxa"/>
            <w:tcPrChange w:id="7" w:author="Chen, Cheng" w:date="2022-11-10T10:28:00Z">
              <w:tcPr>
                <w:tcW w:w="1870" w:type="dxa"/>
              </w:tcPr>
            </w:tcPrChange>
          </w:tcPr>
          <w:p w14:paraId="3DEA76BD" w14:textId="55DACC6A" w:rsidR="00452213" w:rsidRDefault="00452213" w:rsidP="003D6103">
            <w:pPr>
              <w:rPr>
                <w:rFonts w:eastAsia="SimSun"/>
              </w:rPr>
            </w:pPr>
            <w:r>
              <w:rPr>
                <w:rFonts w:eastAsia="SimSun"/>
              </w:rPr>
              <w:t>Measurement Setup ID</w:t>
            </w:r>
          </w:p>
        </w:tc>
        <w:tc>
          <w:tcPr>
            <w:tcW w:w="1683" w:type="dxa"/>
            <w:tcPrChange w:id="8" w:author="Chen, Cheng" w:date="2022-11-10T10:28:00Z">
              <w:tcPr>
                <w:tcW w:w="1870" w:type="dxa"/>
              </w:tcPr>
            </w:tcPrChange>
          </w:tcPr>
          <w:p w14:paraId="66DA058D" w14:textId="7EEC4D85" w:rsidR="00452213" w:rsidRDefault="00452213" w:rsidP="003D6103">
            <w:pPr>
              <w:rPr>
                <w:rFonts w:eastAsia="SimSun"/>
              </w:rPr>
            </w:pPr>
            <w:del w:id="9" w:author="Chen, Cheng" w:date="2022-11-10T10:27:00Z">
              <w:r w:rsidDel="00452213">
                <w:rPr>
                  <w:rFonts w:eastAsia="SimSun"/>
                </w:rPr>
                <w:delText>TBD</w:delText>
              </w:r>
            </w:del>
            <w:ins w:id="10" w:author="Chen, Cheng" w:date="2022-11-10T10:27:00Z">
              <w:r>
                <w:rPr>
                  <w:rFonts w:eastAsia="SimSun"/>
                </w:rPr>
                <w:t>SBP</w:t>
              </w:r>
            </w:ins>
            <w:ins w:id="11" w:author="Chen, Cheng" w:date="2022-11-10T10:28:00Z">
              <w:r>
                <w:rPr>
                  <w:rFonts w:eastAsia="SimSun"/>
                </w:rPr>
                <w:t xml:space="preserve"> Termination Control</w:t>
              </w:r>
            </w:ins>
          </w:p>
        </w:tc>
        <w:tc>
          <w:tcPr>
            <w:tcW w:w="1326" w:type="dxa"/>
            <w:tcPrChange w:id="12" w:author="Chen, Cheng" w:date="2022-11-10T10:28:00Z">
              <w:tcPr>
                <w:tcW w:w="1870" w:type="dxa"/>
              </w:tcPr>
            </w:tcPrChange>
          </w:tcPr>
          <w:p w14:paraId="20593759" w14:textId="0052935B" w:rsidR="00452213" w:rsidDel="00452213" w:rsidRDefault="005211EB" w:rsidP="003D6103">
            <w:pPr>
              <w:rPr>
                <w:ins w:id="13" w:author="Chen, Cheng" w:date="2022-11-10T10:28:00Z"/>
                <w:rFonts w:eastAsia="SimSun"/>
              </w:rPr>
            </w:pPr>
            <w:ins w:id="14" w:author="Chen, Cheng" w:date="2022-11-10T10:29:00Z">
              <w:r>
                <w:rPr>
                  <w:rFonts w:eastAsia="SimSun"/>
                </w:rPr>
                <w:t>SBP Parameters Element</w:t>
              </w:r>
            </w:ins>
          </w:p>
        </w:tc>
      </w:tr>
      <w:tr w:rsidR="00452213" w14:paraId="6DE4FF46" w14:textId="2AEED4E2" w:rsidTr="00452213">
        <w:tc>
          <w:tcPr>
            <w:tcW w:w="1510" w:type="dxa"/>
            <w:tcPrChange w:id="15" w:author="Chen, Cheng" w:date="2022-11-10T10:28:00Z">
              <w:tcPr>
                <w:tcW w:w="1870" w:type="dxa"/>
              </w:tcPr>
            </w:tcPrChange>
          </w:tcPr>
          <w:p w14:paraId="781FFE96" w14:textId="6C2A25B6" w:rsidR="00452213" w:rsidRDefault="00452213" w:rsidP="003D6103">
            <w:pPr>
              <w:rPr>
                <w:rFonts w:eastAsia="SimSun"/>
              </w:rPr>
            </w:pPr>
            <w:r>
              <w:rPr>
                <w:rFonts w:eastAsia="SimSun"/>
              </w:rPr>
              <w:t>Octets</w:t>
            </w:r>
          </w:p>
        </w:tc>
        <w:tc>
          <w:tcPr>
            <w:tcW w:w="1590" w:type="dxa"/>
            <w:tcPrChange w:id="16" w:author="Chen, Cheng" w:date="2022-11-10T10:28:00Z">
              <w:tcPr>
                <w:tcW w:w="1870" w:type="dxa"/>
              </w:tcPr>
            </w:tcPrChange>
          </w:tcPr>
          <w:p w14:paraId="7E76C2B7" w14:textId="27F5B620" w:rsidR="00452213" w:rsidRDefault="00452213" w:rsidP="003D6103">
            <w:pPr>
              <w:rPr>
                <w:rFonts w:eastAsia="SimSun"/>
              </w:rPr>
            </w:pPr>
            <w:r>
              <w:rPr>
                <w:rFonts w:eastAsia="SimSun"/>
              </w:rPr>
              <w:t>1</w:t>
            </w:r>
          </w:p>
        </w:tc>
        <w:tc>
          <w:tcPr>
            <w:tcW w:w="1522" w:type="dxa"/>
            <w:tcPrChange w:id="17" w:author="Chen, Cheng" w:date="2022-11-10T10:28:00Z">
              <w:tcPr>
                <w:tcW w:w="1870" w:type="dxa"/>
              </w:tcPr>
            </w:tcPrChange>
          </w:tcPr>
          <w:p w14:paraId="2D18DAFF" w14:textId="1858A426" w:rsidR="00452213" w:rsidRDefault="00452213" w:rsidP="003D6103">
            <w:pPr>
              <w:rPr>
                <w:rFonts w:eastAsia="SimSun"/>
              </w:rPr>
            </w:pPr>
            <w:r>
              <w:rPr>
                <w:rFonts w:eastAsia="SimSun"/>
              </w:rPr>
              <w:t>1</w:t>
            </w:r>
          </w:p>
        </w:tc>
        <w:tc>
          <w:tcPr>
            <w:tcW w:w="1719" w:type="dxa"/>
            <w:tcPrChange w:id="18" w:author="Chen, Cheng" w:date="2022-11-10T10:28:00Z">
              <w:tcPr>
                <w:tcW w:w="1870" w:type="dxa"/>
              </w:tcPr>
            </w:tcPrChange>
          </w:tcPr>
          <w:p w14:paraId="2D962D7F" w14:textId="1B9DF3F7" w:rsidR="00452213" w:rsidRDefault="00452213" w:rsidP="003D6103">
            <w:pPr>
              <w:rPr>
                <w:rFonts w:eastAsia="SimSun"/>
              </w:rPr>
            </w:pPr>
            <w:r>
              <w:rPr>
                <w:rFonts w:eastAsia="SimSun"/>
              </w:rPr>
              <w:t>1</w:t>
            </w:r>
          </w:p>
        </w:tc>
        <w:tc>
          <w:tcPr>
            <w:tcW w:w="1683" w:type="dxa"/>
            <w:tcPrChange w:id="19" w:author="Chen, Cheng" w:date="2022-11-10T10:28:00Z">
              <w:tcPr>
                <w:tcW w:w="1870" w:type="dxa"/>
              </w:tcPr>
            </w:tcPrChange>
          </w:tcPr>
          <w:p w14:paraId="755C3833" w14:textId="1C4BAE5B" w:rsidR="00452213" w:rsidRDefault="00452213" w:rsidP="003D6103">
            <w:pPr>
              <w:rPr>
                <w:rFonts w:eastAsia="SimSun"/>
              </w:rPr>
            </w:pPr>
            <w:del w:id="20" w:author="Chen, Cheng" w:date="2022-11-10T10:28:00Z">
              <w:r w:rsidDel="00452213">
                <w:rPr>
                  <w:rFonts w:eastAsia="SimSun"/>
                </w:rPr>
                <w:delText>TBD</w:delText>
              </w:r>
            </w:del>
            <w:ins w:id="21" w:author="Chen, Cheng" w:date="2022-11-10T10:28:00Z">
              <w:r>
                <w:rPr>
                  <w:rFonts w:eastAsia="SimSun"/>
                </w:rPr>
                <w:t>1</w:t>
              </w:r>
            </w:ins>
          </w:p>
        </w:tc>
        <w:tc>
          <w:tcPr>
            <w:tcW w:w="1326" w:type="dxa"/>
            <w:tcPrChange w:id="22" w:author="Chen, Cheng" w:date="2022-11-10T10:28:00Z">
              <w:tcPr>
                <w:tcW w:w="1870" w:type="dxa"/>
              </w:tcPr>
            </w:tcPrChange>
          </w:tcPr>
          <w:p w14:paraId="2769A264" w14:textId="2DD580BB" w:rsidR="00452213" w:rsidDel="00452213" w:rsidRDefault="005211EB" w:rsidP="003D6103">
            <w:pPr>
              <w:rPr>
                <w:ins w:id="23" w:author="Chen, Cheng" w:date="2022-11-10T10:28:00Z"/>
                <w:rFonts w:eastAsia="SimSun"/>
              </w:rPr>
            </w:pPr>
            <w:ins w:id="24" w:author="Chen, Cheng" w:date="2022-11-10T10:30:00Z">
              <w:r>
                <w:rPr>
                  <w:rFonts w:eastAsia="SimSun"/>
                </w:rPr>
                <w:t>0 or variable</w:t>
              </w:r>
            </w:ins>
          </w:p>
        </w:tc>
      </w:tr>
    </w:tbl>
    <w:p w14:paraId="39C0A601" w14:textId="52CBF5A6" w:rsidR="00911249" w:rsidRDefault="00AA0AC8" w:rsidP="00AA0AC8">
      <w:pPr>
        <w:jc w:val="center"/>
        <w:rPr>
          <w:rFonts w:ascii="Arial" w:hAnsi="Arial" w:cs="Arial"/>
          <w:b/>
          <w:bCs/>
          <w:color w:val="000000"/>
          <w:sz w:val="20"/>
        </w:rPr>
      </w:pPr>
      <w:r w:rsidRPr="00AA0AC8">
        <w:rPr>
          <w:rFonts w:ascii="Arial" w:hAnsi="Arial" w:cs="Arial"/>
          <w:b/>
          <w:bCs/>
          <w:color w:val="000000"/>
          <w:sz w:val="20"/>
        </w:rPr>
        <w:t>Figure 9-1140i— SBP Termination frame Action field format</w:t>
      </w:r>
    </w:p>
    <w:p w14:paraId="5092CF75" w14:textId="77777777" w:rsidR="00AA0AC8" w:rsidRDefault="00AA0AC8" w:rsidP="00AA0AC8">
      <w:pPr>
        <w:rPr>
          <w:rFonts w:ascii="TimesNewRoman" w:hAnsi="TimesNewRoman"/>
          <w:color w:val="000000"/>
          <w:sz w:val="20"/>
        </w:rPr>
      </w:pPr>
      <w:r w:rsidRPr="00AA0AC8">
        <w:rPr>
          <w:rFonts w:ascii="TimesNewRoman" w:hAnsi="TimesNewRoman"/>
          <w:color w:val="000000"/>
          <w:sz w:val="20"/>
        </w:rPr>
        <w:t>The Category field is defined in 9.4.1.11 (Action field).</w:t>
      </w:r>
    </w:p>
    <w:p w14:paraId="1295A244" w14:textId="77777777" w:rsidR="00AA0AC8" w:rsidRDefault="00AA0AC8" w:rsidP="00AA0AC8">
      <w:pPr>
        <w:rPr>
          <w:rFonts w:ascii="TimesNewRoman" w:hAnsi="TimesNewRoman"/>
          <w:color w:val="000000"/>
          <w:sz w:val="20"/>
        </w:rPr>
      </w:pPr>
      <w:r w:rsidRPr="00AA0AC8">
        <w:rPr>
          <w:rFonts w:ascii="TimesNewRoman" w:hAnsi="TimesNewRoman"/>
          <w:color w:val="000000"/>
          <w:sz w:val="20"/>
        </w:rPr>
        <w:br/>
        <w:t>The Public Action field is defined in 9.6.7.1 (Public Action frames).</w:t>
      </w:r>
    </w:p>
    <w:p w14:paraId="48696454" w14:textId="72B851E8" w:rsidR="00AA0AC8" w:rsidRDefault="00AA0AC8" w:rsidP="00AA0AC8">
      <w:pPr>
        <w:rPr>
          <w:ins w:id="25" w:author="Chen, Cheng" w:date="2022-11-10T10:30:00Z"/>
          <w:rFonts w:ascii="TimesNewRoman" w:hAnsi="TimesNewRoman"/>
          <w:color w:val="000000"/>
          <w:sz w:val="20"/>
        </w:rPr>
      </w:pPr>
      <w:r w:rsidRPr="00AA0AC8">
        <w:rPr>
          <w:rFonts w:ascii="TimesNewRoman" w:hAnsi="TimesNewRoman"/>
          <w:color w:val="000000"/>
          <w:sz w:val="20"/>
        </w:rPr>
        <w:br/>
        <w:t>The Measurement Setup ID field is set to the Measurement Setup ID value corresponding to the sensing</w:t>
      </w:r>
      <w:r w:rsidRPr="00AA0AC8">
        <w:rPr>
          <w:rFonts w:ascii="TimesNewRoman" w:hAnsi="TimesNewRoman"/>
          <w:color w:val="000000"/>
          <w:sz w:val="20"/>
        </w:rPr>
        <w:br/>
        <w:t>measurement setup</w:t>
      </w:r>
      <w:r>
        <w:rPr>
          <w:rFonts w:ascii="TimesNewRoman" w:hAnsi="TimesNewRoman"/>
          <w:color w:val="218A21"/>
          <w:sz w:val="20"/>
        </w:rPr>
        <w:t xml:space="preserve"> </w:t>
      </w:r>
      <w:r w:rsidRPr="00AA0AC8">
        <w:rPr>
          <w:rFonts w:ascii="TimesNewRoman" w:hAnsi="TimesNewRoman"/>
          <w:color w:val="000000"/>
          <w:sz w:val="20"/>
        </w:rPr>
        <w:t>that was initiated by the SBP procedure, which is intended to be terminated. The</w:t>
      </w:r>
      <w:r w:rsidRPr="00AA0AC8">
        <w:rPr>
          <w:rFonts w:ascii="TimesNewRoman" w:hAnsi="TimesNewRoman"/>
          <w:color w:val="000000"/>
          <w:sz w:val="20"/>
        </w:rPr>
        <w:br/>
        <w:t>Measurement Setup ID field is defined in Figure 9-1140b (Measurement Setup ID field format.</w:t>
      </w:r>
    </w:p>
    <w:p w14:paraId="242B3887" w14:textId="292467A4" w:rsidR="005211EB" w:rsidRDefault="005211EB" w:rsidP="00AA0AC8">
      <w:pPr>
        <w:rPr>
          <w:ins w:id="26" w:author="Chen, Cheng" w:date="2022-11-10T10:30:00Z"/>
          <w:rFonts w:ascii="TimesNewRoman" w:hAnsi="TimesNewRoman"/>
          <w:color w:val="000000"/>
          <w:sz w:val="20"/>
        </w:rPr>
      </w:pPr>
    </w:p>
    <w:p w14:paraId="74A8B4D3" w14:textId="4DA4F0EF" w:rsidR="005211EB" w:rsidRDefault="00162EC3" w:rsidP="00AA0AC8">
      <w:pPr>
        <w:rPr>
          <w:ins w:id="27" w:author="Chen, Cheng" w:date="2022-11-10T10:31:00Z"/>
          <w:rFonts w:ascii="TimesNewRoman" w:hAnsi="TimesNewRoman"/>
          <w:color w:val="000000"/>
          <w:sz w:val="20"/>
        </w:rPr>
      </w:pPr>
      <w:ins w:id="28" w:author="Chen, Cheng" w:date="2022-11-10T10:30:00Z">
        <w:r>
          <w:rPr>
            <w:rFonts w:ascii="TimesNewRoman" w:hAnsi="TimesNewRoman"/>
            <w:color w:val="000000"/>
            <w:sz w:val="20"/>
          </w:rPr>
          <w:t xml:space="preserve">The format of the SBP Termination Control subfield </w:t>
        </w:r>
      </w:ins>
      <w:ins w:id="29" w:author="Chen, Cheng" w:date="2022-11-10T10:31:00Z">
        <w:r w:rsidR="00FD780A">
          <w:rPr>
            <w:rFonts w:ascii="TimesNewRoman" w:hAnsi="TimesNewRoman"/>
            <w:color w:val="000000"/>
            <w:sz w:val="20"/>
          </w:rPr>
          <w:t>is shown in Figure 9-xxxx (SBP Termination Control subfield format).</w:t>
        </w:r>
      </w:ins>
    </w:p>
    <w:p w14:paraId="4BBBDAD0" w14:textId="00C63D2D" w:rsidR="00FD780A" w:rsidRDefault="00FD780A" w:rsidP="00AA0AC8">
      <w:pPr>
        <w:rPr>
          <w:ins w:id="30" w:author="Chen, Cheng" w:date="2022-11-10T10:31:00Z"/>
          <w:rFonts w:ascii="TimesNewRoman" w:hAnsi="TimesNewRoman"/>
          <w:color w:val="000000"/>
          <w:sz w:val="20"/>
        </w:rPr>
      </w:pPr>
    </w:p>
    <w:tbl>
      <w:tblPr>
        <w:tblStyle w:val="TableGrid"/>
        <w:tblW w:w="0" w:type="auto"/>
        <w:tblLook w:val="04A0" w:firstRow="1" w:lastRow="0" w:firstColumn="1" w:lastColumn="0" w:noHBand="0" w:noVBand="1"/>
      </w:tblPr>
      <w:tblGrid>
        <w:gridCol w:w="2337"/>
        <w:gridCol w:w="2337"/>
        <w:gridCol w:w="2338"/>
        <w:gridCol w:w="2338"/>
      </w:tblGrid>
      <w:tr w:rsidR="000C0C15" w14:paraId="50DDE065" w14:textId="77777777" w:rsidTr="000C0C15">
        <w:trPr>
          <w:ins w:id="31" w:author="Chen, Cheng" w:date="2022-11-10T10:31:00Z"/>
        </w:trPr>
        <w:tc>
          <w:tcPr>
            <w:tcW w:w="2337" w:type="dxa"/>
          </w:tcPr>
          <w:p w14:paraId="1944D2CD" w14:textId="77777777" w:rsidR="000C0C15" w:rsidRDefault="000C0C15" w:rsidP="00AA0AC8">
            <w:pPr>
              <w:rPr>
                <w:ins w:id="32" w:author="Chen, Cheng" w:date="2022-11-10T10:31:00Z"/>
                <w:rFonts w:ascii="TimesNewRoman" w:hAnsi="TimesNewRoman"/>
                <w:color w:val="000000"/>
                <w:sz w:val="20"/>
              </w:rPr>
            </w:pPr>
          </w:p>
        </w:tc>
        <w:tc>
          <w:tcPr>
            <w:tcW w:w="2337" w:type="dxa"/>
          </w:tcPr>
          <w:p w14:paraId="0057C7EF" w14:textId="33B3C69F" w:rsidR="000C0C15" w:rsidRDefault="000C0C15" w:rsidP="00AA0AC8">
            <w:pPr>
              <w:rPr>
                <w:ins w:id="33" w:author="Chen, Cheng" w:date="2022-11-10T10:31:00Z"/>
                <w:rFonts w:ascii="TimesNewRoman" w:hAnsi="TimesNewRoman"/>
                <w:color w:val="000000"/>
                <w:sz w:val="20"/>
              </w:rPr>
            </w:pPr>
            <w:ins w:id="34" w:author="Chen, Cheng" w:date="2022-11-10T10:31:00Z">
              <w:r>
                <w:rPr>
                  <w:rFonts w:ascii="TimesNewRoman" w:hAnsi="TimesNewRoman"/>
                  <w:color w:val="000000"/>
                  <w:sz w:val="20"/>
                </w:rPr>
                <w:t xml:space="preserve">Terminate All SBP </w:t>
              </w:r>
            </w:ins>
            <w:ins w:id="35" w:author="Chen, Cheng" w:date="2022-11-10T10:33:00Z">
              <w:r w:rsidR="00A05801">
                <w:rPr>
                  <w:rFonts w:ascii="TimesNewRoman" w:hAnsi="TimesNewRoman"/>
                  <w:color w:val="000000"/>
                  <w:sz w:val="20"/>
                </w:rPr>
                <w:t>Procedures</w:t>
              </w:r>
            </w:ins>
          </w:p>
        </w:tc>
        <w:tc>
          <w:tcPr>
            <w:tcW w:w="2338" w:type="dxa"/>
          </w:tcPr>
          <w:p w14:paraId="429DDDE9" w14:textId="643F7A30" w:rsidR="000C0C15" w:rsidRDefault="001807D7" w:rsidP="00AA0AC8">
            <w:pPr>
              <w:rPr>
                <w:ins w:id="36" w:author="Chen, Cheng" w:date="2022-11-10T10:31:00Z"/>
                <w:rFonts w:ascii="TimesNewRoman" w:hAnsi="TimesNewRoman"/>
                <w:color w:val="000000"/>
                <w:sz w:val="20"/>
              </w:rPr>
            </w:pPr>
            <w:ins w:id="37" w:author="Chen, Cheng" w:date="2022-11-10T10:33:00Z">
              <w:r>
                <w:rPr>
                  <w:rFonts w:ascii="TimesNewRoman" w:hAnsi="TimesNewRoman"/>
                  <w:color w:val="000000"/>
                  <w:sz w:val="20"/>
                </w:rPr>
                <w:t xml:space="preserve">SBP </w:t>
              </w:r>
            </w:ins>
            <w:ins w:id="38" w:author="Chen, Cheng" w:date="2022-11-10T10:34:00Z">
              <w:r w:rsidR="00DC417A">
                <w:rPr>
                  <w:rFonts w:ascii="TimesNewRoman" w:hAnsi="TimesNewRoman"/>
                  <w:color w:val="000000"/>
                  <w:sz w:val="20"/>
                </w:rPr>
                <w:t>Procedure</w:t>
              </w:r>
            </w:ins>
            <w:ins w:id="39" w:author="Chen, Cheng" w:date="2022-11-10T10:33:00Z">
              <w:r>
                <w:rPr>
                  <w:rFonts w:ascii="TimesNewRoman" w:hAnsi="TimesNewRoman"/>
                  <w:color w:val="000000"/>
                  <w:sz w:val="20"/>
                </w:rPr>
                <w:t xml:space="preserve"> Unsuccess</w:t>
              </w:r>
            </w:ins>
          </w:p>
        </w:tc>
        <w:tc>
          <w:tcPr>
            <w:tcW w:w="2338" w:type="dxa"/>
          </w:tcPr>
          <w:p w14:paraId="3D57156E" w14:textId="50270508" w:rsidR="000C0C15" w:rsidRDefault="001807D7" w:rsidP="00AA0AC8">
            <w:pPr>
              <w:rPr>
                <w:ins w:id="40" w:author="Chen, Cheng" w:date="2022-11-10T10:31:00Z"/>
                <w:rFonts w:ascii="TimesNewRoman" w:hAnsi="TimesNewRoman"/>
                <w:color w:val="000000"/>
                <w:sz w:val="20"/>
              </w:rPr>
            </w:pPr>
            <w:ins w:id="41" w:author="Chen, Cheng" w:date="2022-11-10T10:33:00Z">
              <w:r>
                <w:rPr>
                  <w:rFonts w:ascii="TimesNewRoman" w:hAnsi="TimesNewRoman"/>
                  <w:color w:val="000000"/>
                  <w:sz w:val="20"/>
                </w:rPr>
                <w:t>Reserved</w:t>
              </w:r>
            </w:ins>
          </w:p>
        </w:tc>
      </w:tr>
      <w:tr w:rsidR="000C0C15" w14:paraId="558AAB8C" w14:textId="77777777" w:rsidTr="000C0C15">
        <w:trPr>
          <w:ins w:id="42" w:author="Chen, Cheng" w:date="2022-11-10T10:31:00Z"/>
        </w:trPr>
        <w:tc>
          <w:tcPr>
            <w:tcW w:w="2337" w:type="dxa"/>
          </w:tcPr>
          <w:p w14:paraId="6AF66ED0" w14:textId="5C4663DD" w:rsidR="000C0C15" w:rsidRDefault="000C0C15" w:rsidP="00AA0AC8">
            <w:pPr>
              <w:rPr>
                <w:ins w:id="43" w:author="Chen, Cheng" w:date="2022-11-10T10:31:00Z"/>
                <w:rFonts w:ascii="TimesNewRoman" w:hAnsi="TimesNewRoman"/>
                <w:color w:val="000000"/>
                <w:sz w:val="20"/>
              </w:rPr>
            </w:pPr>
            <w:ins w:id="44" w:author="Chen, Cheng" w:date="2022-11-10T10:31:00Z">
              <w:r>
                <w:rPr>
                  <w:rFonts w:ascii="TimesNewRoman" w:hAnsi="TimesNewRoman"/>
                  <w:color w:val="000000"/>
                  <w:sz w:val="20"/>
                </w:rPr>
                <w:t>Bits</w:t>
              </w:r>
            </w:ins>
          </w:p>
        </w:tc>
        <w:tc>
          <w:tcPr>
            <w:tcW w:w="2337" w:type="dxa"/>
          </w:tcPr>
          <w:p w14:paraId="0B05FF87" w14:textId="03F8DDC0" w:rsidR="000C0C15" w:rsidRDefault="001807D7" w:rsidP="00AA0AC8">
            <w:pPr>
              <w:rPr>
                <w:ins w:id="45" w:author="Chen, Cheng" w:date="2022-11-10T10:31:00Z"/>
                <w:rFonts w:ascii="TimesNewRoman" w:hAnsi="TimesNewRoman"/>
                <w:color w:val="000000"/>
                <w:sz w:val="20"/>
              </w:rPr>
            </w:pPr>
            <w:ins w:id="46" w:author="Chen, Cheng" w:date="2022-11-10T10:33:00Z">
              <w:r>
                <w:rPr>
                  <w:rFonts w:ascii="TimesNewRoman" w:hAnsi="TimesNewRoman"/>
                  <w:color w:val="000000"/>
                  <w:sz w:val="20"/>
                </w:rPr>
                <w:t>1</w:t>
              </w:r>
            </w:ins>
          </w:p>
        </w:tc>
        <w:tc>
          <w:tcPr>
            <w:tcW w:w="2338" w:type="dxa"/>
          </w:tcPr>
          <w:p w14:paraId="00288922" w14:textId="7D5FBA0E" w:rsidR="000C0C15" w:rsidRDefault="001807D7" w:rsidP="00AA0AC8">
            <w:pPr>
              <w:rPr>
                <w:ins w:id="47" w:author="Chen, Cheng" w:date="2022-11-10T10:31:00Z"/>
                <w:rFonts w:ascii="TimesNewRoman" w:hAnsi="TimesNewRoman"/>
                <w:color w:val="000000"/>
                <w:sz w:val="20"/>
              </w:rPr>
            </w:pPr>
            <w:ins w:id="48" w:author="Chen, Cheng" w:date="2022-11-10T10:33:00Z">
              <w:r>
                <w:rPr>
                  <w:rFonts w:ascii="TimesNewRoman" w:hAnsi="TimesNewRoman"/>
                  <w:color w:val="000000"/>
                  <w:sz w:val="20"/>
                </w:rPr>
                <w:t>1</w:t>
              </w:r>
            </w:ins>
          </w:p>
        </w:tc>
        <w:tc>
          <w:tcPr>
            <w:tcW w:w="2338" w:type="dxa"/>
          </w:tcPr>
          <w:p w14:paraId="2E217B79" w14:textId="5C71AAD6" w:rsidR="000C0C15" w:rsidRDefault="001807D7" w:rsidP="00AA0AC8">
            <w:pPr>
              <w:rPr>
                <w:ins w:id="49" w:author="Chen, Cheng" w:date="2022-11-10T10:31:00Z"/>
                <w:rFonts w:ascii="TimesNewRoman" w:hAnsi="TimesNewRoman"/>
                <w:color w:val="000000"/>
                <w:sz w:val="20"/>
              </w:rPr>
            </w:pPr>
            <w:ins w:id="50" w:author="Chen, Cheng" w:date="2022-11-10T10:33:00Z">
              <w:r>
                <w:rPr>
                  <w:rFonts w:ascii="TimesNewRoman" w:hAnsi="TimesNewRoman"/>
                  <w:color w:val="000000"/>
                  <w:sz w:val="20"/>
                </w:rPr>
                <w:t>6</w:t>
              </w:r>
            </w:ins>
          </w:p>
        </w:tc>
      </w:tr>
    </w:tbl>
    <w:p w14:paraId="50259222" w14:textId="74B34E9E" w:rsidR="00FD780A" w:rsidRDefault="00FD780A" w:rsidP="00AA0AC8">
      <w:pPr>
        <w:rPr>
          <w:ins w:id="51" w:author="Chen, Cheng" w:date="2022-11-10T10:33:00Z"/>
          <w:rFonts w:ascii="TimesNewRoman" w:hAnsi="TimesNewRoman"/>
          <w:color w:val="000000"/>
          <w:sz w:val="20"/>
        </w:rPr>
      </w:pPr>
    </w:p>
    <w:p w14:paraId="1DDBE6E8" w14:textId="5FA82E65" w:rsidR="00A05801" w:rsidRDefault="00A05801" w:rsidP="00AA0AC8">
      <w:pPr>
        <w:rPr>
          <w:ins w:id="52" w:author="Chen, Cheng" w:date="2022-11-10T10:35:00Z"/>
          <w:rFonts w:ascii="TimesNewRoman" w:hAnsi="TimesNewRoman"/>
          <w:color w:val="000000"/>
          <w:sz w:val="20"/>
        </w:rPr>
      </w:pPr>
      <w:ins w:id="53" w:author="Chen, Cheng" w:date="2022-11-10T10:33:00Z">
        <w:r>
          <w:rPr>
            <w:rFonts w:ascii="TimesNewRoman" w:hAnsi="TimesNewRoman"/>
            <w:color w:val="000000"/>
            <w:sz w:val="20"/>
          </w:rPr>
          <w:t xml:space="preserve">The Terminate All SBP </w:t>
        </w:r>
      </w:ins>
      <w:ins w:id="54" w:author="Chen, Cheng" w:date="2022-11-10T10:34:00Z">
        <w:r w:rsidR="00DC417A">
          <w:rPr>
            <w:rFonts w:ascii="TimesNewRoman" w:hAnsi="TimesNewRoman"/>
            <w:color w:val="000000"/>
            <w:sz w:val="20"/>
          </w:rPr>
          <w:t xml:space="preserve">Procedures subfield is set to 1 to indicate that the STA requests to terminate all </w:t>
        </w:r>
      </w:ins>
      <w:ins w:id="55" w:author="Chen, Cheng" w:date="2022-11-10T10:35:00Z">
        <w:r w:rsidR="00B41BD7">
          <w:rPr>
            <w:rFonts w:ascii="TimesNewRoman" w:hAnsi="TimesNewRoman"/>
            <w:color w:val="000000"/>
            <w:sz w:val="20"/>
          </w:rPr>
          <w:t xml:space="preserve">established </w:t>
        </w:r>
      </w:ins>
      <w:ins w:id="56" w:author="Chen, Cheng" w:date="2022-11-10T10:34:00Z">
        <w:r w:rsidR="00B41BD7">
          <w:rPr>
            <w:rFonts w:ascii="TimesNewRoman" w:hAnsi="TimesNewRoman"/>
            <w:color w:val="000000"/>
            <w:sz w:val="20"/>
          </w:rPr>
          <w:t>SBP procedures</w:t>
        </w:r>
      </w:ins>
      <w:ins w:id="57" w:author="Chen, Cheng" w:date="2022-11-10T10:35:00Z">
        <w:r w:rsidR="00B41BD7">
          <w:rPr>
            <w:rFonts w:ascii="TimesNewRoman" w:hAnsi="TimesNewRoman"/>
            <w:color w:val="000000"/>
            <w:sz w:val="20"/>
          </w:rPr>
          <w:t xml:space="preserve">. </w:t>
        </w:r>
        <w:r w:rsidR="006751B0">
          <w:rPr>
            <w:rFonts w:ascii="TimesNewRoman" w:hAnsi="TimesNewRoman"/>
            <w:color w:val="000000"/>
            <w:sz w:val="20"/>
          </w:rPr>
          <w:t>Otherwise, it is set to 0.</w:t>
        </w:r>
      </w:ins>
    </w:p>
    <w:p w14:paraId="5208D020" w14:textId="372549FF" w:rsidR="006751B0" w:rsidRDefault="006751B0" w:rsidP="00AA0AC8">
      <w:pPr>
        <w:rPr>
          <w:ins w:id="58" w:author="Chen, Cheng" w:date="2022-11-10T10:35:00Z"/>
          <w:rFonts w:ascii="TimesNewRoman" w:hAnsi="TimesNewRoman"/>
          <w:color w:val="000000"/>
          <w:sz w:val="20"/>
        </w:rPr>
      </w:pPr>
    </w:p>
    <w:p w14:paraId="06349517" w14:textId="77777777" w:rsidR="006A44E5" w:rsidRDefault="006751B0" w:rsidP="00AA0AC8">
      <w:pPr>
        <w:rPr>
          <w:ins w:id="59" w:author="Chen, Cheng" w:date="2022-11-10T10:39:00Z"/>
          <w:rFonts w:ascii="TimesNewRoman" w:hAnsi="TimesNewRoman"/>
          <w:color w:val="000000"/>
          <w:sz w:val="20"/>
        </w:rPr>
      </w:pPr>
      <w:ins w:id="60" w:author="Chen, Cheng" w:date="2022-11-10T10:35:00Z">
        <w:r>
          <w:rPr>
            <w:rFonts w:ascii="TimesNewRoman" w:hAnsi="TimesNewRoman"/>
            <w:color w:val="000000"/>
            <w:sz w:val="20"/>
          </w:rPr>
          <w:t xml:space="preserve">The SBP Procedure Unsuccess subfield is set to 1 to indicate that the </w:t>
        </w:r>
      </w:ins>
      <w:ins w:id="61" w:author="Chen, Cheng" w:date="2022-11-10T10:36:00Z">
        <w:r w:rsidR="00B02ED0">
          <w:rPr>
            <w:rFonts w:ascii="TimesNewRoman" w:hAnsi="TimesNewRoman"/>
            <w:color w:val="000000"/>
            <w:sz w:val="20"/>
          </w:rPr>
          <w:t xml:space="preserve">SBP procedure is terminated because </w:t>
        </w:r>
      </w:ins>
      <w:ins w:id="62" w:author="Chen, Cheng" w:date="2022-11-10T10:37:00Z">
        <w:r w:rsidR="00B02ED0">
          <w:rPr>
            <w:rFonts w:ascii="TimesNewRoman" w:hAnsi="TimesNewRoman"/>
            <w:color w:val="000000"/>
            <w:sz w:val="20"/>
          </w:rPr>
          <w:t xml:space="preserve">of some unsuccessful </w:t>
        </w:r>
        <w:r w:rsidR="00177EDA">
          <w:rPr>
            <w:rFonts w:ascii="TimesNewRoman" w:hAnsi="TimesNewRoman"/>
            <w:color w:val="000000"/>
            <w:sz w:val="20"/>
          </w:rPr>
          <w:t>sensing measurement setups with the sensing responders</w:t>
        </w:r>
      </w:ins>
      <w:ins w:id="63" w:author="Chen, Cheng" w:date="2022-11-10T10:38:00Z">
        <w:r w:rsidR="006A44E5">
          <w:rPr>
            <w:rFonts w:ascii="TimesNewRoman" w:hAnsi="TimesNewRoman"/>
            <w:color w:val="000000"/>
            <w:sz w:val="20"/>
          </w:rPr>
          <w:t xml:space="preserve"> that does not satisfy the SBP request invoking the SBP procedure. If it</w:t>
        </w:r>
      </w:ins>
      <w:ins w:id="64" w:author="Chen, Cheng" w:date="2022-11-10T10:39:00Z">
        <w:r w:rsidR="006A44E5">
          <w:rPr>
            <w:rFonts w:ascii="TimesNewRoman" w:hAnsi="TimesNewRoman"/>
            <w:color w:val="000000"/>
            <w:sz w:val="20"/>
          </w:rPr>
          <w:t xml:space="preserve"> is set to 1, the SBP Parameters element is present in the SBP Termination frame. Otherwise, the SBP Parameters element is not present.</w:t>
        </w:r>
      </w:ins>
    </w:p>
    <w:p w14:paraId="33563998" w14:textId="77777777" w:rsidR="006A44E5" w:rsidRDefault="006A44E5" w:rsidP="00AA0AC8">
      <w:pPr>
        <w:rPr>
          <w:ins w:id="65" w:author="Chen, Cheng" w:date="2022-11-10T10:39:00Z"/>
          <w:rFonts w:ascii="TimesNewRoman" w:hAnsi="TimesNewRoman"/>
          <w:color w:val="000000"/>
          <w:sz w:val="20"/>
        </w:rPr>
      </w:pPr>
    </w:p>
    <w:p w14:paraId="321D6610" w14:textId="7DABA992" w:rsidR="00652AB9" w:rsidRPr="00652AB9" w:rsidRDefault="006A44E5" w:rsidP="00652AB9">
      <w:pPr>
        <w:rPr>
          <w:ins w:id="66" w:author="Chen, Cheng" w:date="2022-11-10T10:43:00Z"/>
          <w:rFonts w:ascii="TimesNewRoman" w:hAnsi="TimesNewRoman"/>
          <w:color w:val="000000"/>
          <w:sz w:val="20"/>
        </w:rPr>
      </w:pPr>
      <w:ins w:id="67" w:author="Chen, Cheng" w:date="2022-11-10T10:40:00Z">
        <w:r>
          <w:rPr>
            <w:rFonts w:ascii="TimesNewRoman" w:hAnsi="TimesNewRoman"/>
            <w:color w:val="000000"/>
            <w:sz w:val="20"/>
          </w:rPr>
          <w:t xml:space="preserve">The </w:t>
        </w:r>
        <w:r w:rsidR="00FC0E7A">
          <w:rPr>
            <w:rFonts w:ascii="TimesNewRoman" w:hAnsi="TimesNewRoman"/>
            <w:color w:val="000000"/>
            <w:sz w:val="20"/>
          </w:rPr>
          <w:t xml:space="preserve">SBP Parameters element is defined in </w:t>
        </w:r>
      </w:ins>
      <w:ins w:id="68" w:author="Chen, Cheng" w:date="2022-11-10T10:42:00Z">
        <w:r w:rsidR="001D45B2">
          <w:rPr>
            <w:rFonts w:ascii="TimesNewRoman" w:hAnsi="TimesNewRoman"/>
            <w:color w:val="000000"/>
            <w:sz w:val="20"/>
          </w:rPr>
          <w:t xml:space="preserve">9.4.2.330 (SBP Parameters element). </w:t>
        </w:r>
        <w:r w:rsidR="00E7735B">
          <w:rPr>
            <w:rFonts w:ascii="TimesNewRoman" w:hAnsi="TimesNewRoman"/>
            <w:color w:val="000000"/>
            <w:sz w:val="20"/>
          </w:rPr>
          <w:t xml:space="preserve">When it is present in </w:t>
        </w:r>
      </w:ins>
      <w:ins w:id="69" w:author="Chen, Cheng" w:date="2022-11-10T10:43:00Z">
        <w:r w:rsidR="00E7735B">
          <w:rPr>
            <w:rFonts w:ascii="TimesNewRoman" w:hAnsi="TimesNewRoman"/>
            <w:color w:val="000000"/>
            <w:sz w:val="20"/>
          </w:rPr>
          <w:t xml:space="preserve">the SBP Termination frame. </w:t>
        </w:r>
        <w:r w:rsidR="00652AB9" w:rsidRPr="00652AB9">
          <w:rPr>
            <w:rFonts w:ascii="TimesNewRoman" w:hAnsi="TimesNewRoman"/>
            <w:color w:val="000000"/>
            <w:sz w:val="20"/>
          </w:rPr>
          <w:t xml:space="preserve">The SBP Request subfield is set to 0. The subfields of the Sensing Responder, the Mandatory Number Responders, the Preferred Responder List, and the Mandatory Preferred Responder are set equal to the subfields indicated in the SBP Parameters element of the SBP Request frame which initiated the SBP </w:t>
        </w:r>
        <w:r w:rsidR="00652AB9">
          <w:rPr>
            <w:rFonts w:ascii="TimesNewRoman" w:hAnsi="TimesNewRoman"/>
            <w:color w:val="000000"/>
            <w:sz w:val="20"/>
          </w:rPr>
          <w:t xml:space="preserve">procedure </w:t>
        </w:r>
        <w:r w:rsidR="00652AB9" w:rsidRPr="00652AB9">
          <w:rPr>
            <w:rFonts w:ascii="TimesNewRoman" w:hAnsi="TimesNewRoman"/>
            <w:color w:val="000000"/>
            <w:sz w:val="20"/>
          </w:rPr>
          <w:t xml:space="preserve">indicated with the Measurement Setup ID. The Number of Sensing Responders subfield indicates the actual number of sensing responders ready to participate in the triggered WLAN sensing procedure in response to the SBP request. </w:t>
        </w:r>
      </w:ins>
    </w:p>
    <w:p w14:paraId="2C948478" w14:textId="2030A73E" w:rsidR="006751B0" w:rsidRDefault="00652AB9" w:rsidP="00652AB9">
      <w:pPr>
        <w:rPr>
          <w:rFonts w:ascii="TimesNewRoman" w:hAnsi="TimesNewRoman"/>
          <w:color w:val="000000"/>
          <w:sz w:val="20"/>
        </w:rPr>
      </w:pPr>
      <w:ins w:id="70" w:author="Chen, Cheng" w:date="2022-11-10T10:43:00Z">
        <w:r w:rsidRPr="00652AB9">
          <w:rPr>
            <w:rFonts w:ascii="TimesNewRoman" w:hAnsi="TimesNewRoman"/>
            <w:color w:val="000000"/>
            <w:sz w:val="20"/>
          </w:rPr>
          <w:t>The Number of Preferred Sensing Responders subfield indicates the actual number of sensing responders with the known sensing responder addresses ready to participate in the triggered WLAN sensing procedure in response to the SBP request.</w:t>
        </w:r>
      </w:ins>
    </w:p>
    <w:p w14:paraId="759BCA0D" w14:textId="3CBF63A7" w:rsidR="00AA0AC8" w:rsidRDefault="00AA0AC8" w:rsidP="00AA0AC8">
      <w:pPr>
        <w:rPr>
          <w:rFonts w:ascii="Arial" w:hAnsi="Arial" w:cs="Arial"/>
          <w:b/>
          <w:bCs/>
          <w:color w:val="000000"/>
          <w:sz w:val="20"/>
        </w:rPr>
      </w:pPr>
      <w:r w:rsidRPr="00AA0AC8">
        <w:rPr>
          <w:rFonts w:ascii="TimesNewRoman" w:hAnsi="TimesNewRoman"/>
          <w:color w:val="000000"/>
          <w:sz w:val="20"/>
        </w:rPr>
        <w:br/>
      </w:r>
      <w:del w:id="71" w:author="Chen, Cheng" w:date="2022-11-10T10:45:00Z">
        <w:r w:rsidRPr="00AA0AC8" w:rsidDel="00FB1135">
          <w:rPr>
            <w:rFonts w:ascii="TimesNewRoman" w:hAnsi="TimesNewRoman"/>
            <w:color w:val="000000"/>
            <w:sz w:val="20"/>
          </w:rPr>
          <w:delText>Other fields are TBD</w:delText>
        </w:r>
        <w:r w:rsidDel="00FB1135">
          <w:rPr>
            <w:rFonts w:ascii="TimesNewRoman" w:hAnsi="TimesNewRoman"/>
            <w:color w:val="000000"/>
            <w:sz w:val="20"/>
          </w:rPr>
          <w:delText>.</w:delText>
        </w:r>
      </w:del>
    </w:p>
    <w:p w14:paraId="1091EBD8" w14:textId="33B622F5" w:rsidR="00AA0AC8" w:rsidRDefault="00AA0AC8" w:rsidP="00F41120">
      <w:pPr>
        <w:rPr>
          <w:rFonts w:eastAsia="SimSun"/>
        </w:rPr>
      </w:pPr>
    </w:p>
    <w:p w14:paraId="6D67CD65" w14:textId="22F9C7B0" w:rsidR="00F41120" w:rsidRPr="00F41120" w:rsidRDefault="00F41120" w:rsidP="007D3857">
      <w:pPr>
        <w:rPr>
          <w:rFonts w:eastAsia="SimSun"/>
          <w:b/>
          <w:bCs/>
        </w:rPr>
      </w:pPr>
      <w:r w:rsidRPr="00F41120">
        <w:rPr>
          <w:rFonts w:eastAsia="SimSun"/>
          <w:b/>
          <w:bCs/>
        </w:rPr>
        <w:t>11.55.2.2 Setup</w:t>
      </w:r>
    </w:p>
    <w:p w14:paraId="636E6D3F" w14:textId="0DF86110" w:rsidR="00F41120" w:rsidRDefault="00F41120" w:rsidP="00F41120">
      <w:pPr>
        <w:rPr>
          <w:rFonts w:eastAsia="SimSun"/>
          <w:b/>
          <w:bCs/>
          <w:i/>
          <w:iCs/>
        </w:rPr>
      </w:pPr>
      <w:r>
        <w:rPr>
          <w:rFonts w:eastAsia="SimSun"/>
          <w:b/>
          <w:bCs/>
          <w:i/>
          <w:iCs/>
        </w:rPr>
        <w:t>Add the following paragraph to the end of this section</w:t>
      </w:r>
    </w:p>
    <w:p w14:paraId="0CB06461" w14:textId="0D898145" w:rsidR="00F41120" w:rsidRPr="00F41120" w:rsidRDefault="006E51FB" w:rsidP="00F41120">
      <w:pPr>
        <w:rPr>
          <w:rFonts w:eastAsia="SimSun"/>
        </w:rPr>
      </w:pPr>
      <w:ins w:id="72" w:author="Chen, Cheng" w:date="2022-11-10T13:30:00Z">
        <w:r>
          <w:rPr>
            <w:rFonts w:ascii="Arial" w:hAnsi="Arial" w:cs="Arial"/>
            <w:sz w:val="20"/>
          </w:rPr>
          <w:t>The SBP initiator shall discard any SBP Response frame corresponding to the terminated SBP procedure.  The SBP initiator shall not reuse the Dialog Token value before the maximum retransmission timeout.</w:t>
        </w:r>
      </w:ins>
    </w:p>
    <w:p w14:paraId="25DA5641" w14:textId="77777777" w:rsidR="00F41120" w:rsidRDefault="00F41120" w:rsidP="00F41120">
      <w:pPr>
        <w:rPr>
          <w:ins w:id="73" w:author="Chen, Cheng" w:date="2022-11-10T10:46:00Z"/>
          <w:rFonts w:eastAsia="SimSun"/>
        </w:rPr>
      </w:pPr>
    </w:p>
    <w:p w14:paraId="7953E007" w14:textId="0BDA93C0" w:rsidR="007D3857" w:rsidRDefault="007D3857" w:rsidP="007D3857">
      <w:pPr>
        <w:rPr>
          <w:rFonts w:eastAsia="SimSun"/>
          <w:b/>
          <w:bCs/>
          <w:lang w:eastAsia="zh-CN"/>
        </w:rPr>
      </w:pPr>
      <w:r>
        <w:rPr>
          <w:rFonts w:eastAsia="SimSun"/>
          <w:b/>
          <w:bCs/>
        </w:rPr>
        <w:t xml:space="preserve">11.55.2.4 Termination </w:t>
      </w:r>
    </w:p>
    <w:p w14:paraId="60926E2A" w14:textId="05442A82" w:rsidR="00EE63AB" w:rsidRPr="006A05A4" w:rsidRDefault="00EE63AB" w:rsidP="007D3857">
      <w:pPr>
        <w:rPr>
          <w:rFonts w:ascii="Arial" w:hAnsi="Arial" w:cs="Arial"/>
          <w:color w:val="000000"/>
          <w:sz w:val="20"/>
        </w:rPr>
      </w:pPr>
      <w:r w:rsidRPr="006A05A4">
        <w:rPr>
          <w:rFonts w:ascii="Arial" w:hAnsi="Arial" w:cs="Arial"/>
          <w:color w:val="000000"/>
          <w:sz w:val="20"/>
        </w:rPr>
        <w:t xml:space="preserve">An SBP procedure shall be terminated after the last SBP Report frame is sent by the SBP responder as indicated in the </w:t>
      </w:r>
      <w:del w:id="74" w:author="Chen, Cheng" w:date="2022-11-10T13:38:00Z">
        <w:r w:rsidRPr="006A05A4" w:rsidDel="000F391A">
          <w:rPr>
            <w:rFonts w:ascii="Arial" w:hAnsi="Arial" w:cs="Arial"/>
            <w:color w:val="000000"/>
            <w:sz w:val="20"/>
          </w:rPr>
          <w:delText xml:space="preserve">TBD </w:delText>
        </w:r>
      </w:del>
      <w:ins w:id="75" w:author="Chen, Cheng" w:date="2022-11-10T13:38:00Z">
        <w:r w:rsidR="000F391A" w:rsidRPr="006A05A4">
          <w:rPr>
            <w:rFonts w:ascii="Arial" w:hAnsi="Arial" w:cs="Arial"/>
            <w:color w:val="000000"/>
            <w:sz w:val="20"/>
          </w:rPr>
          <w:t xml:space="preserve">Last SBP Report subfield in the Sensing Measurement Report Control </w:t>
        </w:r>
      </w:ins>
      <w:r w:rsidRPr="006A05A4">
        <w:rPr>
          <w:rFonts w:ascii="Arial" w:hAnsi="Arial" w:cs="Arial"/>
          <w:color w:val="000000"/>
          <w:sz w:val="20"/>
        </w:rPr>
        <w:t>field.</w:t>
      </w:r>
    </w:p>
    <w:p w14:paraId="5E1F7C6E" w14:textId="6F30F686" w:rsidR="007D3857" w:rsidRPr="006A05A4" w:rsidRDefault="00EE63AB" w:rsidP="00EE63AB">
      <w:pPr>
        <w:rPr>
          <w:ins w:id="76" w:author="Chen, Cheng" w:date="2022-11-10T13:30:00Z"/>
          <w:rFonts w:ascii="Arial" w:hAnsi="Arial" w:cs="Arial"/>
          <w:color w:val="000000"/>
          <w:sz w:val="20"/>
        </w:rPr>
      </w:pPr>
      <w:r w:rsidRPr="006A05A4">
        <w:rPr>
          <w:rFonts w:ascii="Arial" w:hAnsi="Arial" w:cs="Arial"/>
          <w:color w:val="000000"/>
          <w:sz w:val="20"/>
        </w:rPr>
        <w:br/>
        <w:t>An SBP procedure may be terminated at any time by either the SBP initiator or the SBP responder by transmitting an SBP Termination frame.</w:t>
      </w:r>
    </w:p>
    <w:p w14:paraId="446E774E" w14:textId="5CE3B24B" w:rsidR="006E51FB" w:rsidRDefault="006E51FB" w:rsidP="00EE63AB">
      <w:pPr>
        <w:rPr>
          <w:ins w:id="77" w:author="Chen, Cheng" w:date="2022-11-10T13:30:00Z"/>
          <w:rFonts w:ascii="TimesNewRoman" w:hAnsi="TimesNewRoman"/>
          <w:color w:val="000000"/>
          <w:sz w:val="20"/>
        </w:rPr>
      </w:pPr>
    </w:p>
    <w:p w14:paraId="263BC19D" w14:textId="5992AE5D" w:rsidR="006E51FB" w:rsidRPr="00A05BA1" w:rsidRDefault="00A6778D" w:rsidP="00EE63AB">
      <w:pPr>
        <w:rPr>
          <w:rFonts w:eastAsia="SimSun"/>
        </w:rPr>
      </w:pPr>
      <w:ins w:id="78" w:author="Chen, Cheng" w:date="2022-11-10T13:32:00Z">
        <w:r>
          <w:rPr>
            <w:rFonts w:ascii="Arial" w:hAnsi="Arial" w:cs="Arial"/>
            <w:sz w:val="20"/>
          </w:rPr>
          <w:t xml:space="preserve">If the SBP responder </w:t>
        </w:r>
        <w:r w:rsidR="00EE7366">
          <w:rPr>
            <w:rFonts w:ascii="Arial" w:hAnsi="Arial" w:cs="Arial"/>
            <w:sz w:val="20"/>
          </w:rPr>
          <w:t>transmit</w:t>
        </w:r>
        <w:r>
          <w:rPr>
            <w:rFonts w:ascii="Arial" w:hAnsi="Arial" w:cs="Arial"/>
            <w:sz w:val="20"/>
          </w:rPr>
          <w:t xml:space="preserve">s </w:t>
        </w:r>
        <w:r w:rsidR="00EE7366">
          <w:rPr>
            <w:rFonts w:ascii="Arial" w:hAnsi="Arial" w:cs="Arial"/>
            <w:sz w:val="20"/>
          </w:rPr>
          <w:t>an</w:t>
        </w:r>
        <w:r>
          <w:rPr>
            <w:rFonts w:ascii="Arial" w:hAnsi="Arial" w:cs="Arial"/>
            <w:sz w:val="20"/>
          </w:rPr>
          <w:t xml:space="preserve"> SBP termination frame or receives </w:t>
        </w:r>
        <w:r w:rsidR="00EE7366">
          <w:rPr>
            <w:rFonts w:ascii="Arial" w:hAnsi="Arial" w:cs="Arial"/>
            <w:sz w:val="20"/>
          </w:rPr>
          <w:t>an</w:t>
        </w:r>
        <w:r>
          <w:rPr>
            <w:rFonts w:ascii="Arial" w:hAnsi="Arial" w:cs="Arial"/>
            <w:sz w:val="20"/>
          </w:rPr>
          <w:t xml:space="preserve"> SBP termination frame from the </w:t>
        </w:r>
      </w:ins>
      <w:ins w:id="79" w:author="Chen, Cheng" w:date="2022-11-10T13:34:00Z">
        <w:r w:rsidR="00A8250A">
          <w:rPr>
            <w:rFonts w:ascii="Arial" w:hAnsi="Arial" w:cs="Arial"/>
            <w:sz w:val="20"/>
          </w:rPr>
          <w:t>SBP</w:t>
        </w:r>
      </w:ins>
      <w:ins w:id="80" w:author="Chen, Cheng" w:date="2022-11-10T13:32:00Z">
        <w:r>
          <w:rPr>
            <w:rFonts w:ascii="Arial" w:hAnsi="Arial" w:cs="Arial"/>
            <w:sz w:val="20"/>
          </w:rPr>
          <w:t xml:space="preserve"> initiator, t</w:t>
        </w:r>
      </w:ins>
      <w:ins w:id="81" w:author="Chen, Cheng" w:date="2022-11-10T13:30:00Z">
        <w:r w:rsidR="006E51FB">
          <w:rPr>
            <w:rFonts w:ascii="Arial" w:hAnsi="Arial" w:cs="Arial"/>
            <w:sz w:val="20"/>
          </w:rPr>
          <w:t xml:space="preserve">he SBP responder should terminate </w:t>
        </w:r>
      </w:ins>
      <w:ins w:id="82" w:author="Chen, Cheng" w:date="2022-11-10T13:31:00Z">
        <w:r>
          <w:rPr>
            <w:rFonts w:ascii="Arial" w:hAnsi="Arial" w:cs="Arial"/>
            <w:sz w:val="20"/>
          </w:rPr>
          <w:t>all corresponding</w:t>
        </w:r>
      </w:ins>
      <w:ins w:id="83" w:author="Chen, Cheng" w:date="2022-11-10T13:30:00Z">
        <w:r w:rsidR="006E51FB">
          <w:rPr>
            <w:rFonts w:ascii="Arial" w:hAnsi="Arial" w:cs="Arial"/>
            <w:sz w:val="20"/>
          </w:rPr>
          <w:t xml:space="preserve"> sensing measurement setup</w:t>
        </w:r>
      </w:ins>
      <w:ins w:id="84" w:author="Chen, Cheng" w:date="2022-11-10T13:31:00Z">
        <w:r>
          <w:rPr>
            <w:rFonts w:ascii="Arial" w:hAnsi="Arial" w:cs="Arial"/>
            <w:sz w:val="20"/>
          </w:rPr>
          <w:t>s associated with the WLAN sensing procedure triggered by the</w:t>
        </w:r>
      </w:ins>
      <w:ins w:id="85" w:author="Chen, Cheng" w:date="2022-11-10T13:34:00Z">
        <w:r w:rsidR="00A8250A">
          <w:rPr>
            <w:rFonts w:ascii="Arial" w:hAnsi="Arial" w:cs="Arial"/>
            <w:sz w:val="20"/>
          </w:rPr>
          <w:t xml:space="preserve"> terminated SBP procedure</w:t>
        </w:r>
      </w:ins>
      <w:ins w:id="86" w:author="Chen, Cheng" w:date="2022-11-10T13:30:00Z">
        <w:r w:rsidR="006E51FB">
          <w:rPr>
            <w:rFonts w:ascii="Arial" w:hAnsi="Arial" w:cs="Arial"/>
            <w:sz w:val="20"/>
          </w:rPr>
          <w:t>.</w:t>
        </w:r>
      </w:ins>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1A825940"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6A05A4">
        <w:t>48 83 278 280 531 640</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0D49" w14:textId="77777777" w:rsidR="00EC0BDE" w:rsidRDefault="00EC0BDE">
      <w:r>
        <w:separator/>
      </w:r>
    </w:p>
  </w:endnote>
  <w:endnote w:type="continuationSeparator" w:id="0">
    <w:p w14:paraId="5D703567" w14:textId="77777777" w:rsidR="00EC0BDE" w:rsidRDefault="00EC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806CFD"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9568" w14:textId="77777777" w:rsidR="00EC0BDE" w:rsidRDefault="00EC0BDE">
      <w:r>
        <w:separator/>
      </w:r>
    </w:p>
  </w:footnote>
  <w:footnote w:type="continuationSeparator" w:id="0">
    <w:p w14:paraId="655A5E36" w14:textId="77777777" w:rsidR="00EC0BDE" w:rsidRDefault="00EC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33579B7" w:rsidR="0029020B" w:rsidRDefault="00806CFD">
    <w:pPr>
      <w:pStyle w:val="Header"/>
      <w:tabs>
        <w:tab w:val="clear" w:pos="6480"/>
        <w:tab w:val="center" w:pos="4680"/>
        <w:tab w:val="right" w:pos="9360"/>
      </w:tabs>
    </w:pPr>
    <w:fldSimple w:instr=" KEYWORDS  \* MERGEFORMAT ">
      <w:r>
        <w:t>November</w:t>
      </w:r>
      <w:r w:rsidR="00A3771D">
        <w:t xml:space="preserve"> 2022</w:t>
      </w:r>
    </w:fldSimple>
    <w:r w:rsidR="0029020B">
      <w:tab/>
    </w:r>
    <w:r w:rsidR="0029020B">
      <w:tab/>
    </w:r>
    <w:fldSimple w:instr=" TITLE  \* MERGEFORMAT ">
      <w:r w:rsidR="005610A7">
        <w:t>doc.: IEEE 802.11-</w:t>
      </w:r>
      <w:r w:rsidR="00A3771D">
        <w:t>22</w:t>
      </w:r>
      <w:r w:rsidR="005610A7">
        <w:t>/</w:t>
      </w:r>
      <w:r>
        <w:t>1954</w:t>
      </w:r>
      <w:r w:rsidR="00DE132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9"/>
  </w:num>
  <w:num w:numId="5">
    <w:abstractNumId w:val="6"/>
  </w:num>
  <w:num w:numId="6">
    <w:abstractNumId w:val="15"/>
  </w:num>
  <w:num w:numId="7">
    <w:abstractNumId w:val="11"/>
  </w:num>
  <w:num w:numId="8">
    <w:abstractNumId w:val="18"/>
  </w:num>
  <w:num w:numId="9">
    <w:abstractNumId w:val="5"/>
  </w:num>
  <w:num w:numId="10">
    <w:abstractNumId w:val="7"/>
  </w:num>
  <w:num w:numId="11">
    <w:abstractNumId w:val="12"/>
  </w:num>
  <w:num w:numId="12">
    <w:abstractNumId w:val="10"/>
  </w:num>
  <w:num w:numId="13">
    <w:abstractNumId w:val="14"/>
  </w:num>
  <w:num w:numId="14">
    <w:abstractNumId w:val="19"/>
  </w:num>
  <w:num w:numId="15">
    <w:abstractNumId w:val="0"/>
  </w:num>
  <w:num w:numId="16">
    <w:abstractNumId w:val="1"/>
  </w:num>
  <w:num w:numId="17">
    <w:abstractNumId w:val="17"/>
  </w:num>
  <w:num w:numId="18">
    <w:abstractNumId w:val="20"/>
  </w:num>
  <w:num w:numId="19">
    <w:abstractNumId w:val="4"/>
  </w:num>
  <w:num w:numId="20">
    <w:abstractNumId w:val="13"/>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0D3F"/>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90ACC"/>
    <w:rsid w:val="00093DBA"/>
    <w:rsid w:val="000966F9"/>
    <w:rsid w:val="000A0403"/>
    <w:rsid w:val="000A0ACA"/>
    <w:rsid w:val="000A4E6A"/>
    <w:rsid w:val="000B2E8E"/>
    <w:rsid w:val="000C0C15"/>
    <w:rsid w:val="000C347C"/>
    <w:rsid w:val="000C540E"/>
    <w:rsid w:val="000D02D7"/>
    <w:rsid w:val="000D1ADC"/>
    <w:rsid w:val="000D22CE"/>
    <w:rsid w:val="000D3837"/>
    <w:rsid w:val="000D3E96"/>
    <w:rsid w:val="000D4300"/>
    <w:rsid w:val="000D4F6C"/>
    <w:rsid w:val="000E0CC3"/>
    <w:rsid w:val="000E14E7"/>
    <w:rsid w:val="000E1D16"/>
    <w:rsid w:val="000E4B23"/>
    <w:rsid w:val="000E542A"/>
    <w:rsid w:val="000E6220"/>
    <w:rsid w:val="000E679F"/>
    <w:rsid w:val="000E6E08"/>
    <w:rsid w:val="000F2BE5"/>
    <w:rsid w:val="000F391A"/>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06F"/>
    <w:rsid w:val="00135CCE"/>
    <w:rsid w:val="00142268"/>
    <w:rsid w:val="00142D3D"/>
    <w:rsid w:val="00144DCE"/>
    <w:rsid w:val="00152A67"/>
    <w:rsid w:val="001558A5"/>
    <w:rsid w:val="001564EF"/>
    <w:rsid w:val="00156CEC"/>
    <w:rsid w:val="00161761"/>
    <w:rsid w:val="00162144"/>
    <w:rsid w:val="00162EC3"/>
    <w:rsid w:val="001632A7"/>
    <w:rsid w:val="001639B5"/>
    <w:rsid w:val="00163F0D"/>
    <w:rsid w:val="00166E05"/>
    <w:rsid w:val="0017098B"/>
    <w:rsid w:val="00170CD3"/>
    <w:rsid w:val="00172687"/>
    <w:rsid w:val="00173174"/>
    <w:rsid w:val="0017411E"/>
    <w:rsid w:val="00176C5A"/>
    <w:rsid w:val="00176F5A"/>
    <w:rsid w:val="001774BD"/>
    <w:rsid w:val="00177EDA"/>
    <w:rsid w:val="00180041"/>
    <w:rsid w:val="001807D7"/>
    <w:rsid w:val="00182970"/>
    <w:rsid w:val="00183658"/>
    <w:rsid w:val="00183BAB"/>
    <w:rsid w:val="00186A66"/>
    <w:rsid w:val="00186D08"/>
    <w:rsid w:val="00186D1F"/>
    <w:rsid w:val="00192B5C"/>
    <w:rsid w:val="0019331C"/>
    <w:rsid w:val="0019397D"/>
    <w:rsid w:val="00194C1D"/>
    <w:rsid w:val="001A01FB"/>
    <w:rsid w:val="001A2D11"/>
    <w:rsid w:val="001A3AB2"/>
    <w:rsid w:val="001A3EF9"/>
    <w:rsid w:val="001A4501"/>
    <w:rsid w:val="001A497D"/>
    <w:rsid w:val="001A7671"/>
    <w:rsid w:val="001C1B00"/>
    <w:rsid w:val="001C210D"/>
    <w:rsid w:val="001C36FE"/>
    <w:rsid w:val="001C5863"/>
    <w:rsid w:val="001D0BFA"/>
    <w:rsid w:val="001D0DEB"/>
    <w:rsid w:val="001D3FC6"/>
    <w:rsid w:val="001D45B2"/>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048D1"/>
    <w:rsid w:val="00210A2D"/>
    <w:rsid w:val="00216E50"/>
    <w:rsid w:val="00217035"/>
    <w:rsid w:val="00217A3A"/>
    <w:rsid w:val="00220905"/>
    <w:rsid w:val="00222747"/>
    <w:rsid w:val="00224369"/>
    <w:rsid w:val="00225122"/>
    <w:rsid w:val="002275C4"/>
    <w:rsid w:val="002342D4"/>
    <w:rsid w:val="00234C51"/>
    <w:rsid w:val="00235F6F"/>
    <w:rsid w:val="00240090"/>
    <w:rsid w:val="002449AB"/>
    <w:rsid w:val="00245FF0"/>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5BA7"/>
    <w:rsid w:val="00396F41"/>
    <w:rsid w:val="0039714F"/>
    <w:rsid w:val="0039777F"/>
    <w:rsid w:val="003A30D3"/>
    <w:rsid w:val="003A31C2"/>
    <w:rsid w:val="003A6684"/>
    <w:rsid w:val="003B094F"/>
    <w:rsid w:val="003B2072"/>
    <w:rsid w:val="003B5417"/>
    <w:rsid w:val="003B703E"/>
    <w:rsid w:val="003C007B"/>
    <w:rsid w:val="003C2156"/>
    <w:rsid w:val="003C30FC"/>
    <w:rsid w:val="003C46EC"/>
    <w:rsid w:val="003C5CBD"/>
    <w:rsid w:val="003D0401"/>
    <w:rsid w:val="003D560E"/>
    <w:rsid w:val="003D6103"/>
    <w:rsid w:val="003D67F0"/>
    <w:rsid w:val="003E36E5"/>
    <w:rsid w:val="003E7D78"/>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67B9"/>
    <w:rsid w:val="0041737C"/>
    <w:rsid w:val="004175AD"/>
    <w:rsid w:val="00422204"/>
    <w:rsid w:val="00422503"/>
    <w:rsid w:val="00422A3D"/>
    <w:rsid w:val="0042373E"/>
    <w:rsid w:val="004241BA"/>
    <w:rsid w:val="004249E7"/>
    <w:rsid w:val="004252F9"/>
    <w:rsid w:val="0043035A"/>
    <w:rsid w:val="00431DEF"/>
    <w:rsid w:val="00433B76"/>
    <w:rsid w:val="00436D2E"/>
    <w:rsid w:val="00437B47"/>
    <w:rsid w:val="00437C24"/>
    <w:rsid w:val="00442037"/>
    <w:rsid w:val="00443E78"/>
    <w:rsid w:val="00445712"/>
    <w:rsid w:val="00450227"/>
    <w:rsid w:val="004508C8"/>
    <w:rsid w:val="00450B2A"/>
    <w:rsid w:val="00452213"/>
    <w:rsid w:val="00452BB0"/>
    <w:rsid w:val="004535E7"/>
    <w:rsid w:val="00460E9A"/>
    <w:rsid w:val="004613E3"/>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15B1"/>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1EB"/>
    <w:rsid w:val="0052179C"/>
    <w:rsid w:val="00526DCA"/>
    <w:rsid w:val="005304C7"/>
    <w:rsid w:val="005307E4"/>
    <w:rsid w:val="00530A1C"/>
    <w:rsid w:val="0053138D"/>
    <w:rsid w:val="0053238B"/>
    <w:rsid w:val="00532E0B"/>
    <w:rsid w:val="0053408A"/>
    <w:rsid w:val="00534746"/>
    <w:rsid w:val="005371D8"/>
    <w:rsid w:val="00537E10"/>
    <w:rsid w:val="005432FE"/>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7D6"/>
    <w:rsid w:val="005875F1"/>
    <w:rsid w:val="00587DB6"/>
    <w:rsid w:val="005936D2"/>
    <w:rsid w:val="00594638"/>
    <w:rsid w:val="005961DE"/>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07695"/>
    <w:rsid w:val="00612883"/>
    <w:rsid w:val="00613D80"/>
    <w:rsid w:val="00614EF4"/>
    <w:rsid w:val="00621F4A"/>
    <w:rsid w:val="0062440B"/>
    <w:rsid w:val="00624730"/>
    <w:rsid w:val="00624FB5"/>
    <w:rsid w:val="00627D92"/>
    <w:rsid w:val="0063107E"/>
    <w:rsid w:val="00633E9A"/>
    <w:rsid w:val="0063640D"/>
    <w:rsid w:val="0063753F"/>
    <w:rsid w:val="00640653"/>
    <w:rsid w:val="0064772B"/>
    <w:rsid w:val="00652AB9"/>
    <w:rsid w:val="00653B97"/>
    <w:rsid w:val="00655788"/>
    <w:rsid w:val="00661794"/>
    <w:rsid w:val="00662A59"/>
    <w:rsid w:val="00665966"/>
    <w:rsid w:val="00666572"/>
    <w:rsid w:val="00667F41"/>
    <w:rsid w:val="00672F4B"/>
    <w:rsid w:val="00674E96"/>
    <w:rsid w:val="006751B0"/>
    <w:rsid w:val="006758A7"/>
    <w:rsid w:val="006771D7"/>
    <w:rsid w:val="0068296C"/>
    <w:rsid w:val="006860DA"/>
    <w:rsid w:val="00690709"/>
    <w:rsid w:val="00697005"/>
    <w:rsid w:val="00697883"/>
    <w:rsid w:val="006A05A4"/>
    <w:rsid w:val="006A44E5"/>
    <w:rsid w:val="006B0A04"/>
    <w:rsid w:val="006B16EE"/>
    <w:rsid w:val="006B36CB"/>
    <w:rsid w:val="006B50C8"/>
    <w:rsid w:val="006B538F"/>
    <w:rsid w:val="006B5B9D"/>
    <w:rsid w:val="006C0727"/>
    <w:rsid w:val="006C15E5"/>
    <w:rsid w:val="006C18E5"/>
    <w:rsid w:val="006C1A28"/>
    <w:rsid w:val="006C3921"/>
    <w:rsid w:val="006C52FF"/>
    <w:rsid w:val="006D01A1"/>
    <w:rsid w:val="006D1D91"/>
    <w:rsid w:val="006D557F"/>
    <w:rsid w:val="006E011F"/>
    <w:rsid w:val="006E0E7D"/>
    <w:rsid w:val="006E145F"/>
    <w:rsid w:val="006E1D46"/>
    <w:rsid w:val="006E51FB"/>
    <w:rsid w:val="006E7561"/>
    <w:rsid w:val="006E7718"/>
    <w:rsid w:val="006F0DB5"/>
    <w:rsid w:val="006F1A1C"/>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1A0"/>
    <w:rsid w:val="00765DCA"/>
    <w:rsid w:val="007669C9"/>
    <w:rsid w:val="00766A99"/>
    <w:rsid w:val="00766EB2"/>
    <w:rsid w:val="007677AB"/>
    <w:rsid w:val="00770572"/>
    <w:rsid w:val="00770984"/>
    <w:rsid w:val="007738C5"/>
    <w:rsid w:val="00774924"/>
    <w:rsid w:val="00774FE9"/>
    <w:rsid w:val="007934F8"/>
    <w:rsid w:val="00797B43"/>
    <w:rsid w:val="007A0B55"/>
    <w:rsid w:val="007A0F96"/>
    <w:rsid w:val="007A1D9D"/>
    <w:rsid w:val="007A4825"/>
    <w:rsid w:val="007A496A"/>
    <w:rsid w:val="007B0EDB"/>
    <w:rsid w:val="007B1B49"/>
    <w:rsid w:val="007B1E47"/>
    <w:rsid w:val="007B2EE1"/>
    <w:rsid w:val="007B5F20"/>
    <w:rsid w:val="007B71C2"/>
    <w:rsid w:val="007C1F7A"/>
    <w:rsid w:val="007C30D1"/>
    <w:rsid w:val="007C6589"/>
    <w:rsid w:val="007D04E3"/>
    <w:rsid w:val="007D3857"/>
    <w:rsid w:val="007D70B8"/>
    <w:rsid w:val="007E0838"/>
    <w:rsid w:val="007E1F69"/>
    <w:rsid w:val="007E7311"/>
    <w:rsid w:val="007E7B27"/>
    <w:rsid w:val="007F74B2"/>
    <w:rsid w:val="0080078A"/>
    <w:rsid w:val="00806CFD"/>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1EED"/>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D10C4"/>
    <w:rsid w:val="008D4C13"/>
    <w:rsid w:val="008E15F5"/>
    <w:rsid w:val="008E494C"/>
    <w:rsid w:val="008E7637"/>
    <w:rsid w:val="008E783D"/>
    <w:rsid w:val="008F3C3D"/>
    <w:rsid w:val="008F78F8"/>
    <w:rsid w:val="0090229B"/>
    <w:rsid w:val="00903263"/>
    <w:rsid w:val="00910300"/>
    <w:rsid w:val="00911249"/>
    <w:rsid w:val="00913691"/>
    <w:rsid w:val="00913B04"/>
    <w:rsid w:val="009160EA"/>
    <w:rsid w:val="00916A65"/>
    <w:rsid w:val="00917527"/>
    <w:rsid w:val="00920C7E"/>
    <w:rsid w:val="009210C7"/>
    <w:rsid w:val="00922EA6"/>
    <w:rsid w:val="0093015E"/>
    <w:rsid w:val="00930B4A"/>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12EF"/>
    <w:rsid w:val="00972384"/>
    <w:rsid w:val="00973725"/>
    <w:rsid w:val="00976175"/>
    <w:rsid w:val="00976C4A"/>
    <w:rsid w:val="00977B8F"/>
    <w:rsid w:val="00980FAA"/>
    <w:rsid w:val="0098683B"/>
    <w:rsid w:val="00986BF4"/>
    <w:rsid w:val="009903BF"/>
    <w:rsid w:val="009909EC"/>
    <w:rsid w:val="00995C78"/>
    <w:rsid w:val="009A07D5"/>
    <w:rsid w:val="009A16B4"/>
    <w:rsid w:val="009B0326"/>
    <w:rsid w:val="009B1D71"/>
    <w:rsid w:val="009B252C"/>
    <w:rsid w:val="009B3662"/>
    <w:rsid w:val="009B4F8A"/>
    <w:rsid w:val="009B5710"/>
    <w:rsid w:val="009C0B45"/>
    <w:rsid w:val="009C0BF1"/>
    <w:rsid w:val="009D1669"/>
    <w:rsid w:val="009D51BB"/>
    <w:rsid w:val="009E38B6"/>
    <w:rsid w:val="009E516F"/>
    <w:rsid w:val="009E60B8"/>
    <w:rsid w:val="009E67DB"/>
    <w:rsid w:val="009F1792"/>
    <w:rsid w:val="009F2FBC"/>
    <w:rsid w:val="009F5E4C"/>
    <w:rsid w:val="00A0047A"/>
    <w:rsid w:val="00A04662"/>
    <w:rsid w:val="00A049DA"/>
    <w:rsid w:val="00A05694"/>
    <w:rsid w:val="00A05801"/>
    <w:rsid w:val="00A05BA1"/>
    <w:rsid w:val="00A1380C"/>
    <w:rsid w:val="00A21BBA"/>
    <w:rsid w:val="00A2433B"/>
    <w:rsid w:val="00A24AE2"/>
    <w:rsid w:val="00A25ACA"/>
    <w:rsid w:val="00A31610"/>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6778D"/>
    <w:rsid w:val="00A71571"/>
    <w:rsid w:val="00A746CA"/>
    <w:rsid w:val="00A75218"/>
    <w:rsid w:val="00A768B1"/>
    <w:rsid w:val="00A808B5"/>
    <w:rsid w:val="00A81C9A"/>
    <w:rsid w:val="00A8250A"/>
    <w:rsid w:val="00A8753F"/>
    <w:rsid w:val="00A8788C"/>
    <w:rsid w:val="00A91285"/>
    <w:rsid w:val="00A9137D"/>
    <w:rsid w:val="00A9503B"/>
    <w:rsid w:val="00A96882"/>
    <w:rsid w:val="00A977B2"/>
    <w:rsid w:val="00AA0AC8"/>
    <w:rsid w:val="00AA29F9"/>
    <w:rsid w:val="00AA4016"/>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733F"/>
    <w:rsid w:val="00AF0552"/>
    <w:rsid w:val="00AF2B91"/>
    <w:rsid w:val="00AF5389"/>
    <w:rsid w:val="00AF7DD7"/>
    <w:rsid w:val="00B00396"/>
    <w:rsid w:val="00B02037"/>
    <w:rsid w:val="00B02ED0"/>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1BD7"/>
    <w:rsid w:val="00B42259"/>
    <w:rsid w:val="00B4449B"/>
    <w:rsid w:val="00B444C2"/>
    <w:rsid w:val="00B4545C"/>
    <w:rsid w:val="00B50B5D"/>
    <w:rsid w:val="00B53E85"/>
    <w:rsid w:val="00B54EF9"/>
    <w:rsid w:val="00B55366"/>
    <w:rsid w:val="00B62610"/>
    <w:rsid w:val="00B64109"/>
    <w:rsid w:val="00B64A02"/>
    <w:rsid w:val="00B735E1"/>
    <w:rsid w:val="00B74A8E"/>
    <w:rsid w:val="00B76882"/>
    <w:rsid w:val="00B955BE"/>
    <w:rsid w:val="00BA00D6"/>
    <w:rsid w:val="00BA28E4"/>
    <w:rsid w:val="00BA3810"/>
    <w:rsid w:val="00BA40A6"/>
    <w:rsid w:val="00BA4A4A"/>
    <w:rsid w:val="00BA5A2D"/>
    <w:rsid w:val="00BA6BAE"/>
    <w:rsid w:val="00BA72D0"/>
    <w:rsid w:val="00BB137C"/>
    <w:rsid w:val="00BB1498"/>
    <w:rsid w:val="00BC0347"/>
    <w:rsid w:val="00BC1963"/>
    <w:rsid w:val="00BC1F62"/>
    <w:rsid w:val="00BC2658"/>
    <w:rsid w:val="00BC365E"/>
    <w:rsid w:val="00BC4CC6"/>
    <w:rsid w:val="00BC5214"/>
    <w:rsid w:val="00BD2838"/>
    <w:rsid w:val="00BD2F30"/>
    <w:rsid w:val="00BD581D"/>
    <w:rsid w:val="00BD5C85"/>
    <w:rsid w:val="00BE2974"/>
    <w:rsid w:val="00BE2DB2"/>
    <w:rsid w:val="00BE3DB9"/>
    <w:rsid w:val="00BE4307"/>
    <w:rsid w:val="00BE63B0"/>
    <w:rsid w:val="00BE68C2"/>
    <w:rsid w:val="00BE6AF6"/>
    <w:rsid w:val="00BE7BD0"/>
    <w:rsid w:val="00BF2639"/>
    <w:rsid w:val="00BF4C5A"/>
    <w:rsid w:val="00BF5953"/>
    <w:rsid w:val="00BF743D"/>
    <w:rsid w:val="00C0014F"/>
    <w:rsid w:val="00C0125E"/>
    <w:rsid w:val="00C01882"/>
    <w:rsid w:val="00C02818"/>
    <w:rsid w:val="00C03BFA"/>
    <w:rsid w:val="00C041B1"/>
    <w:rsid w:val="00C06438"/>
    <w:rsid w:val="00C06459"/>
    <w:rsid w:val="00C15C35"/>
    <w:rsid w:val="00C17458"/>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3ADE"/>
    <w:rsid w:val="00C74AB6"/>
    <w:rsid w:val="00C759D4"/>
    <w:rsid w:val="00C81C4C"/>
    <w:rsid w:val="00C83B27"/>
    <w:rsid w:val="00C9042F"/>
    <w:rsid w:val="00C95A01"/>
    <w:rsid w:val="00C972AF"/>
    <w:rsid w:val="00C978F0"/>
    <w:rsid w:val="00C97EB8"/>
    <w:rsid w:val="00CA0049"/>
    <w:rsid w:val="00CA0382"/>
    <w:rsid w:val="00CA0680"/>
    <w:rsid w:val="00CA09B2"/>
    <w:rsid w:val="00CA4418"/>
    <w:rsid w:val="00CA5D17"/>
    <w:rsid w:val="00CA7A61"/>
    <w:rsid w:val="00CC1573"/>
    <w:rsid w:val="00CC2084"/>
    <w:rsid w:val="00CC26C9"/>
    <w:rsid w:val="00CC2A13"/>
    <w:rsid w:val="00CD0569"/>
    <w:rsid w:val="00CD25E9"/>
    <w:rsid w:val="00CD268B"/>
    <w:rsid w:val="00CD5219"/>
    <w:rsid w:val="00CD5C2A"/>
    <w:rsid w:val="00CE125D"/>
    <w:rsid w:val="00CE71E5"/>
    <w:rsid w:val="00CF09FE"/>
    <w:rsid w:val="00CF187B"/>
    <w:rsid w:val="00CF2643"/>
    <w:rsid w:val="00CF47A9"/>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25F"/>
    <w:rsid w:val="00D46F43"/>
    <w:rsid w:val="00D47729"/>
    <w:rsid w:val="00D51271"/>
    <w:rsid w:val="00D5174D"/>
    <w:rsid w:val="00D52209"/>
    <w:rsid w:val="00D5454E"/>
    <w:rsid w:val="00D5649B"/>
    <w:rsid w:val="00D5701E"/>
    <w:rsid w:val="00D57BA4"/>
    <w:rsid w:val="00D6031E"/>
    <w:rsid w:val="00D60A5B"/>
    <w:rsid w:val="00D60BB8"/>
    <w:rsid w:val="00D640FE"/>
    <w:rsid w:val="00D6517B"/>
    <w:rsid w:val="00D67424"/>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17A"/>
    <w:rsid w:val="00DC494B"/>
    <w:rsid w:val="00DC5A7B"/>
    <w:rsid w:val="00DE1321"/>
    <w:rsid w:val="00DE493F"/>
    <w:rsid w:val="00DF0BB0"/>
    <w:rsid w:val="00DF6202"/>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63700"/>
    <w:rsid w:val="00E65E2F"/>
    <w:rsid w:val="00E71813"/>
    <w:rsid w:val="00E71CD1"/>
    <w:rsid w:val="00E7609E"/>
    <w:rsid w:val="00E7735B"/>
    <w:rsid w:val="00E86FDF"/>
    <w:rsid w:val="00E87D1B"/>
    <w:rsid w:val="00E91BD2"/>
    <w:rsid w:val="00E931B6"/>
    <w:rsid w:val="00E96B34"/>
    <w:rsid w:val="00E9787C"/>
    <w:rsid w:val="00E97F07"/>
    <w:rsid w:val="00EA0602"/>
    <w:rsid w:val="00EA11EF"/>
    <w:rsid w:val="00EA3DF4"/>
    <w:rsid w:val="00EA48E7"/>
    <w:rsid w:val="00EA4B79"/>
    <w:rsid w:val="00EA52B9"/>
    <w:rsid w:val="00EA6B5E"/>
    <w:rsid w:val="00EA7B87"/>
    <w:rsid w:val="00EB2B5D"/>
    <w:rsid w:val="00EB3A91"/>
    <w:rsid w:val="00EB3FF0"/>
    <w:rsid w:val="00EB5206"/>
    <w:rsid w:val="00EC0BDE"/>
    <w:rsid w:val="00EC1400"/>
    <w:rsid w:val="00EC1A22"/>
    <w:rsid w:val="00EC4E87"/>
    <w:rsid w:val="00ED06C3"/>
    <w:rsid w:val="00ED306B"/>
    <w:rsid w:val="00ED3C12"/>
    <w:rsid w:val="00ED6C35"/>
    <w:rsid w:val="00EE1966"/>
    <w:rsid w:val="00EE1F58"/>
    <w:rsid w:val="00EE225F"/>
    <w:rsid w:val="00EE63AB"/>
    <w:rsid w:val="00EE7366"/>
    <w:rsid w:val="00EF0974"/>
    <w:rsid w:val="00EF142D"/>
    <w:rsid w:val="00EF189F"/>
    <w:rsid w:val="00EF2790"/>
    <w:rsid w:val="00F01CB8"/>
    <w:rsid w:val="00F03961"/>
    <w:rsid w:val="00F04853"/>
    <w:rsid w:val="00F05C92"/>
    <w:rsid w:val="00F0647B"/>
    <w:rsid w:val="00F1183E"/>
    <w:rsid w:val="00F12675"/>
    <w:rsid w:val="00F23CF1"/>
    <w:rsid w:val="00F30AFD"/>
    <w:rsid w:val="00F3206B"/>
    <w:rsid w:val="00F3380D"/>
    <w:rsid w:val="00F34EFF"/>
    <w:rsid w:val="00F3669E"/>
    <w:rsid w:val="00F41120"/>
    <w:rsid w:val="00F423D5"/>
    <w:rsid w:val="00F42681"/>
    <w:rsid w:val="00F43619"/>
    <w:rsid w:val="00F445E3"/>
    <w:rsid w:val="00F459C7"/>
    <w:rsid w:val="00F52659"/>
    <w:rsid w:val="00F5326C"/>
    <w:rsid w:val="00F6027D"/>
    <w:rsid w:val="00F64D33"/>
    <w:rsid w:val="00F67B4F"/>
    <w:rsid w:val="00F717C7"/>
    <w:rsid w:val="00F74942"/>
    <w:rsid w:val="00F7546C"/>
    <w:rsid w:val="00F81C02"/>
    <w:rsid w:val="00F82F93"/>
    <w:rsid w:val="00F90E27"/>
    <w:rsid w:val="00F91194"/>
    <w:rsid w:val="00F930A7"/>
    <w:rsid w:val="00F9389F"/>
    <w:rsid w:val="00F952CD"/>
    <w:rsid w:val="00F955C5"/>
    <w:rsid w:val="00F95A8D"/>
    <w:rsid w:val="00F97852"/>
    <w:rsid w:val="00FA386F"/>
    <w:rsid w:val="00FA4ABE"/>
    <w:rsid w:val="00FA6063"/>
    <w:rsid w:val="00FA70E3"/>
    <w:rsid w:val="00FB1135"/>
    <w:rsid w:val="00FB1782"/>
    <w:rsid w:val="00FB17C4"/>
    <w:rsid w:val="00FB1B42"/>
    <w:rsid w:val="00FB6451"/>
    <w:rsid w:val="00FC0E7A"/>
    <w:rsid w:val="00FC15F5"/>
    <w:rsid w:val="00FC2639"/>
    <w:rsid w:val="00FC315B"/>
    <w:rsid w:val="00FC4596"/>
    <w:rsid w:val="00FC64F8"/>
    <w:rsid w:val="00FC7A05"/>
    <w:rsid w:val="00FD2E6D"/>
    <w:rsid w:val="00FD4B0D"/>
    <w:rsid w:val="00FD4C00"/>
    <w:rsid w:val="00FD503C"/>
    <w:rsid w:val="00FD60F2"/>
    <w:rsid w:val="00FD780A"/>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1284</TotalTime>
  <Pages>4</Pages>
  <Words>1007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219</cp:revision>
  <cp:lastPrinted>1900-01-01T08:00:00Z</cp:lastPrinted>
  <dcterms:created xsi:type="dcterms:W3CDTF">2022-08-16T14:49:00Z</dcterms:created>
  <dcterms:modified xsi:type="dcterms:W3CDTF">2022-11-10T21:53:00Z</dcterms:modified>
</cp:coreProperties>
</file>