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200E" w14:textId="77777777" w:rsidR="00CA09B2" w:rsidRPr="000F1A0B" w:rsidRDefault="00CA09B2">
      <w:pPr>
        <w:pStyle w:val="T1"/>
        <w:pBdr>
          <w:bottom w:val="single" w:sz="6" w:space="0" w:color="auto"/>
        </w:pBdr>
        <w:spacing w:after="240"/>
      </w:pPr>
      <w:r w:rsidRPr="000F1A0B">
        <w:t>IEEE P802.11</w:t>
      </w:r>
      <w:r w:rsidRPr="000F1A0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rsidRPr="000F1A0B" w14:paraId="363C8B2B" w14:textId="77777777" w:rsidTr="00AE3DEA">
        <w:trPr>
          <w:trHeight w:val="485"/>
          <w:jc w:val="center"/>
        </w:trPr>
        <w:tc>
          <w:tcPr>
            <w:tcW w:w="9576" w:type="dxa"/>
            <w:gridSpan w:val="5"/>
            <w:vAlign w:val="center"/>
          </w:tcPr>
          <w:p w14:paraId="3123673E" w14:textId="2535E7F0" w:rsidR="00CA09B2" w:rsidRPr="000F1A0B" w:rsidRDefault="006E26AF">
            <w:pPr>
              <w:pStyle w:val="T2"/>
            </w:pPr>
            <w:r w:rsidRPr="000F1A0B">
              <w:t>CC40 CR for CSI related CIDs</w:t>
            </w:r>
          </w:p>
        </w:tc>
      </w:tr>
      <w:tr w:rsidR="00CA09B2" w:rsidRPr="000F1A0B" w14:paraId="49349C04" w14:textId="77777777" w:rsidTr="00AE3DEA">
        <w:trPr>
          <w:trHeight w:val="359"/>
          <w:jc w:val="center"/>
        </w:trPr>
        <w:tc>
          <w:tcPr>
            <w:tcW w:w="9576" w:type="dxa"/>
            <w:gridSpan w:val="5"/>
            <w:vAlign w:val="center"/>
          </w:tcPr>
          <w:p w14:paraId="4BB3BBB3" w14:textId="33555E19" w:rsidR="00CA09B2" w:rsidRPr="000F1A0B" w:rsidRDefault="00CA09B2">
            <w:pPr>
              <w:pStyle w:val="T2"/>
              <w:ind w:left="0"/>
              <w:rPr>
                <w:sz w:val="20"/>
              </w:rPr>
            </w:pPr>
            <w:r w:rsidRPr="000F1A0B">
              <w:rPr>
                <w:sz w:val="20"/>
              </w:rPr>
              <w:t>Date:</w:t>
            </w:r>
            <w:r w:rsidRPr="000F1A0B">
              <w:rPr>
                <w:b w:val="0"/>
                <w:sz w:val="20"/>
              </w:rPr>
              <w:t xml:space="preserve">  </w:t>
            </w:r>
            <w:r w:rsidR="0015758D" w:rsidRPr="000F1A0B">
              <w:rPr>
                <w:b w:val="0"/>
                <w:sz w:val="20"/>
              </w:rPr>
              <w:t>2022-11-09</w:t>
            </w:r>
          </w:p>
        </w:tc>
      </w:tr>
      <w:tr w:rsidR="00CA09B2" w:rsidRPr="000F1A0B" w14:paraId="2464A7F6" w14:textId="77777777" w:rsidTr="00AE3DEA">
        <w:trPr>
          <w:cantSplit/>
          <w:jc w:val="center"/>
        </w:trPr>
        <w:tc>
          <w:tcPr>
            <w:tcW w:w="9576" w:type="dxa"/>
            <w:gridSpan w:val="5"/>
            <w:vAlign w:val="center"/>
          </w:tcPr>
          <w:p w14:paraId="02522511" w14:textId="77777777" w:rsidR="00CA09B2" w:rsidRPr="000F1A0B" w:rsidRDefault="00CA09B2">
            <w:pPr>
              <w:pStyle w:val="T2"/>
              <w:spacing w:after="0"/>
              <w:ind w:left="0" w:right="0"/>
              <w:jc w:val="left"/>
              <w:rPr>
                <w:sz w:val="20"/>
              </w:rPr>
            </w:pPr>
            <w:r w:rsidRPr="000F1A0B">
              <w:rPr>
                <w:sz w:val="20"/>
              </w:rPr>
              <w:t>Author(s):</w:t>
            </w:r>
          </w:p>
        </w:tc>
      </w:tr>
      <w:tr w:rsidR="00CA09B2" w:rsidRPr="000F1A0B" w14:paraId="116E2CEC" w14:textId="77777777" w:rsidTr="00AE3DEA">
        <w:trPr>
          <w:jc w:val="center"/>
        </w:trPr>
        <w:tc>
          <w:tcPr>
            <w:tcW w:w="1336" w:type="dxa"/>
            <w:vAlign w:val="center"/>
          </w:tcPr>
          <w:p w14:paraId="448C5758" w14:textId="77777777" w:rsidR="00CA09B2" w:rsidRPr="000F1A0B" w:rsidRDefault="00CA09B2">
            <w:pPr>
              <w:pStyle w:val="T2"/>
              <w:spacing w:after="0"/>
              <w:ind w:left="0" w:right="0"/>
              <w:jc w:val="left"/>
              <w:rPr>
                <w:sz w:val="20"/>
              </w:rPr>
            </w:pPr>
            <w:r w:rsidRPr="000F1A0B">
              <w:rPr>
                <w:sz w:val="20"/>
              </w:rPr>
              <w:t>Name</w:t>
            </w:r>
          </w:p>
        </w:tc>
        <w:tc>
          <w:tcPr>
            <w:tcW w:w="2064" w:type="dxa"/>
            <w:vAlign w:val="center"/>
          </w:tcPr>
          <w:p w14:paraId="56FFA6AE" w14:textId="77777777" w:rsidR="00CA09B2" w:rsidRPr="000F1A0B" w:rsidRDefault="0062440B">
            <w:pPr>
              <w:pStyle w:val="T2"/>
              <w:spacing w:after="0"/>
              <w:ind w:left="0" w:right="0"/>
              <w:jc w:val="left"/>
              <w:rPr>
                <w:sz w:val="20"/>
              </w:rPr>
            </w:pPr>
            <w:r w:rsidRPr="000F1A0B">
              <w:rPr>
                <w:sz w:val="20"/>
              </w:rPr>
              <w:t>Affiliation</w:t>
            </w:r>
          </w:p>
        </w:tc>
        <w:tc>
          <w:tcPr>
            <w:tcW w:w="2814" w:type="dxa"/>
            <w:vAlign w:val="center"/>
          </w:tcPr>
          <w:p w14:paraId="28AA47A4" w14:textId="77777777" w:rsidR="00CA09B2" w:rsidRPr="000F1A0B" w:rsidRDefault="00CA09B2">
            <w:pPr>
              <w:pStyle w:val="T2"/>
              <w:spacing w:after="0"/>
              <w:ind w:left="0" w:right="0"/>
              <w:jc w:val="left"/>
              <w:rPr>
                <w:sz w:val="20"/>
              </w:rPr>
            </w:pPr>
            <w:r w:rsidRPr="000F1A0B">
              <w:rPr>
                <w:sz w:val="20"/>
              </w:rPr>
              <w:t>Address</w:t>
            </w:r>
          </w:p>
        </w:tc>
        <w:tc>
          <w:tcPr>
            <w:tcW w:w="869" w:type="dxa"/>
            <w:vAlign w:val="center"/>
          </w:tcPr>
          <w:p w14:paraId="278B1DAB" w14:textId="77777777" w:rsidR="00CA09B2" w:rsidRPr="000F1A0B" w:rsidRDefault="00CA09B2">
            <w:pPr>
              <w:pStyle w:val="T2"/>
              <w:spacing w:after="0"/>
              <w:ind w:left="0" w:right="0"/>
              <w:jc w:val="left"/>
              <w:rPr>
                <w:sz w:val="20"/>
              </w:rPr>
            </w:pPr>
            <w:r w:rsidRPr="000F1A0B">
              <w:rPr>
                <w:sz w:val="20"/>
              </w:rPr>
              <w:t>Phone</w:t>
            </w:r>
          </w:p>
        </w:tc>
        <w:tc>
          <w:tcPr>
            <w:tcW w:w="2493" w:type="dxa"/>
            <w:vAlign w:val="center"/>
          </w:tcPr>
          <w:p w14:paraId="1EFE00B7" w14:textId="77777777" w:rsidR="00CA09B2" w:rsidRPr="000F1A0B" w:rsidRDefault="00CA09B2">
            <w:pPr>
              <w:pStyle w:val="T2"/>
              <w:spacing w:after="0"/>
              <w:ind w:left="0" w:right="0"/>
              <w:jc w:val="left"/>
              <w:rPr>
                <w:sz w:val="20"/>
              </w:rPr>
            </w:pPr>
            <w:r w:rsidRPr="000F1A0B">
              <w:rPr>
                <w:sz w:val="20"/>
              </w:rPr>
              <w:t>email</w:t>
            </w:r>
          </w:p>
        </w:tc>
      </w:tr>
      <w:tr w:rsidR="00CA09B2" w:rsidRPr="000F1A0B" w14:paraId="4B207BC8" w14:textId="77777777" w:rsidTr="00AE3DEA">
        <w:trPr>
          <w:jc w:val="center"/>
        </w:trPr>
        <w:tc>
          <w:tcPr>
            <w:tcW w:w="1336" w:type="dxa"/>
            <w:vAlign w:val="center"/>
          </w:tcPr>
          <w:p w14:paraId="4ABE154D" w14:textId="61877D90" w:rsidR="00CA09B2" w:rsidRPr="000F1A0B" w:rsidRDefault="0015758D" w:rsidP="0015758D">
            <w:pPr>
              <w:pStyle w:val="T2"/>
              <w:spacing w:after="0"/>
              <w:ind w:left="0" w:right="0"/>
              <w:jc w:val="left"/>
              <w:rPr>
                <w:b w:val="0"/>
                <w:sz w:val="20"/>
              </w:rPr>
            </w:pPr>
            <w:r w:rsidRPr="000F1A0B">
              <w:rPr>
                <w:b w:val="0"/>
                <w:sz w:val="20"/>
              </w:rPr>
              <w:t>Rajat Pushkarna</w:t>
            </w:r>
          </w:p>
        </w:tc>
        <w:tc>
          <w:tcPr>
            <w:tcW w:w="2064" w:type="dxa"/>
            <w:vAlign w:val="center"/>
          </w:tcPr>
          <w:p w14:paraId="79441452" w14:textId="34174F35" w:rsidR="00CA09B2" w:rsidRPr="000F1A0B" w:rsidRDefault="00AE3DEA" w:rsidP="00AE3DEA">
            <w:pPr>
              <w:pStyle w:val="T2"/>
              <w:spacing w:after="0"/>
              <w:ind w:left="0" w:right="0"/>
              <w:jc w:val="left"/>
              <w:rPr>
                <w:b w:val="0"/>
                <w:sz w:val="20"/>
              </w:rPr>
            </w:pPr>
            <w:r w:rsidRPr="000F1A0B">
              <w:rPr>
                <w:b w:val="0"/>
                <w:sz w:val="20"/>
              </w:rPr>
              <w:t>Panasonic</w:t>
            </w:r>
          </w:p>
        </w:tc>
        <w:tc>
          <w:tcPr>
            <w:tcW w:w="2814" w:type="dxa"/>
            <w:vAlign w:val="center"/>
          </w:tcPr>
          <w:p w14:paraId="43CC7677" w14:textId="77777777" w:rsidR="00CA09B2" w:rsidRPr="000F1A0B" w:rsidRDefault="00CA09B2">
            <w:pPr>
              <w:pStyle w:val="T2"/>
              <w:spacing w:after="0"/>
              <w:ind w:left="0" w:right="0"/>
              <w:rPr>
                <w:b w:val="0"/>
                <w:sz w:val="20"/>
              </w:rPr>
            </w:pPr>
          </w:p>
        </w:tc>
        <w:tc>
          <w:tcPr>
            <w:tcW w:w="869" w:type="dxa"/>
            <w:vAlign w:val="center"/>
          </w:tcPr>
          <w:p w14:paraId="15E983A2" w14:textId="77777777" w:rsidR="00CA09B2" w:rsidRPr="000F1A0B" w:rsidRDefault="00CA09B2">
            <w:pPr>
              <w:pStyle w:val="T2"/>
              <w:spacing w:after="0"/>
              <w:ind w:left="0" w:right="0"/>
              <w:rPr>
                <w:b w:val="0"/>
                <w:sz w:val="20"/>
              </w:rPr>
            </w:pPr>
          </w:p>
        </w:tc>
        <w:tc>
          <w:tcPr>
            <w:tcW w:w="2493" w:type="dxa"/>
            <w:vAlign w:val="center"/>
          </w:tcPr>
          <w:p w14:paraId="3A6B8D82" w14:textId="6B4B82F2" w:rsidR="00CA09B2" w:rsidRPr="000F1A0B" w:rsidRDefault="00AE3DEA">
            <w:pPr>
              <w:pStyle w:val="T2"/>
              <w:spacing w:after="0"/>
              <w:ind w:left="0" w:right="0"/>
              <w:rPr>
                <w:b w:val="0"/>
                <w:sz w:val="16"/>
              </w:rPr>
            </w:pPr>
            <w:r w:rsidRPr="000F1A0B">
              <w:rPr>
                <w:b w:val="0"/>
                <w:sz w:val="16"/>
              </w:rPr>
              <w:t>rajat.pushkarna@sg.panasonic.com</w:t>
            </w:r>
          </w:p>
        </w:tc>
      </w:tr>
      <w:tr w:rsidR="00CA09B2" w:rsidRPr="000F1A0B" w14:paraId="007F7218" w14:textId="77777777" w:rsidTr="00AE3DEA">
        <w:trPr>
          <w:jc w:val="center"/>
        </w:trPr>
        <w:tc>
          <w:tcPr>
            <w:tcW w:w="1336" w:type="dxa"/>
            <w:vAlign w:val="center"/>
          </w:tcPr>
          <w:p w14:paraId="38399367" w14:textId="42E3F0C3" w:rsidR="00CA09B2" w:rsidRPr="000F1A0B" w:rsidRDefault="001841EF" w:rsidP="001841EF">
            <w:pPr>
              <w:pStyle w:val="T2"/>
              <w:spacing w:after="0"/>
              <w:ind w:left="0" w:right="0"/>
              <w:jc w:val="left"/>
              <w:rPr>
                <w:b w:val="0"/>
                <w:sz w:val="20"/>
              </w:rPr>
            </w:pPr>
            <w:r>
              <w:rPr>
                <w:b w:val="0"/>
                <w:sz w:val="20"/>
              </w:rPr>
              <w:t>Rojan Chitrakar</w:t>
            </w:r>
          </w:p>
        </w:tc>
        <w:tc>
          <w:tcPr>
            <w:tcW w:w="2064" w:type="dxa"/>
            <w:vAlign w:val="center"/>
          </w:tcPr>
          <w:p w14:paraId="13D8B7E7" w14:textId="7F67684A" w:rsidR="00CA09B2" w:rsidRPr="000F1A0B" w:rsidRDefault="001841EF" w:rsidP="001841EF">
            <w:pPr>
              <w:pStyle w:val="T2"/>
              <w:spacing w:after="0"/>
              <w:ind w:left="0" w:right="0"/>
              <w:jc w:val="left"/>
              <w:rPr>
                <w:b w:val="0"/>
                <w:sz w:val="20"/>
              </w:rPr>
            </w:pPr>
            <w:r>
              <w:rPr>
                <w:b w:val="0"/>
                <w:sz w:val="20"/>
              </w:rPr>
              <w:t>Panasonic</w:t>
            </w:r>
          </w:p>
        </w:tc>
        <w:tc>
          <w:tcPr>
            <w:tcW w:w="2814" w:type="dxa"/>
            <w:vAlign w:val="center"/>
          </w:tcPr>
          <w:p w14:paraId="7C13D874" w14:textId="77777777" w:rsidR="00CA09B2" w:rsidRPr="000F1A0B" w:rsidRDefault="00CA09B2">
            <w:pPr>
              <w:pStyle w:val="T2"/>
              <w:spacing w:after="0"/>
              <w:ind w:left="0" w:right="0"/>
              <w:rPr>
                <w:b w:val="0"/>
                <w:sz w:val="20"/>
              </w:rPr>
            </w:pPr>
          </w:p>
        </w:tc>
        <w:tc>
          <w:tcPr>
            <w:tcW w:w="869" w:type="dxa"/>
            <w:vAlign w:val="center"/>
          </w:tcPr>
          <w:p w14:paraId="2063DB8B" w14:textId="77777777" w:rsidR="00CA09B2" w:rsidRPr="000F1A0B" w:rsidRDefault="00CA09B2">
            <w:pPr>
              <w:pStyle w:val="T2"/>
              <w:spacing w:after="0"/>
              <w:ind w:left="0" w:right="0"/>
              <w:rPr>
                <w:b w:val="0"/>
                <w:sz w:val="20"/>
              </w:rPr>
            </w:pPr>
          </w:p>
        </w:tc>
        <w:tc>
          <w:tcPr>
            <w:tcW w:w="2493" w:type="dxa"/>
            <w:vAlign w:val="center"/>
          </w:tcPr>
          <w:p w14:paraId="31EA31A6" w14:textId="77777777" w:rsidR="00CA09B2" w:rsidRPr="000F1A0B" w:rsidRDefault="00CA09B2">
            <w:pPr>
              <w:pStyle w:val="T2"/>
              <w:spacing w:after="0"/>
              <w:ind w:left="0" w:right="0"/>
              <w:rPr>
                <w:b w:val="0"/>
                <w:sz w:val="16"/>
              </w:rPr>
            </w:pPr>
          </w:p>
        </w:tc>
      </w:tr>
    </w:tbl>
    <w:p w14:paraId="3448AC74" w14:textId="0F7ED4E7" w:rsidR="00CA09B2" w:rsidRPr="000F1A0B" w:rsidRDefault="00B81323">
      <w:pPr>
        <w:pStyle w:val="T1"/>
        <w:spacing w:after="120"/>
        <w:rPr>
          <w:sz w:val="22"/>
        </w:rPr>
      </w:pPr>
      <w:r w:rsidRPr="000F1A0B">
        <w:rPr>
          <w:noProof/>
        </w:rPr>
        <mc:AlternateContent>
          <mc:Choice Requires="wps">
            <w:drawing>
              <wp:anchor distT="0" distB="0" distL="114300" distR="114300" simplePos="0" relativeHeight="251657728" behindDoc="0" locked="0" layoutInCell="0" allowOverlap="1" wp14:anchorId="00554FDD" wp14:editId="209BAE6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CAB1E" w14:textId="77777777" w:rsidR="0029020B" w:rsidRDefault="0029020B">
                            <w:pPr>
                              <w:pStyle w:val="T1"/>
                              <w:spacing w:after="120"/>
                            </w:pPr>
                            <w:r>
                              <w:t>Abstract</w:t>
                            </w:r>
                          </w:p>
                          <w:p w14:paraId="021B1C1A" w14:textId="77777777" w:rsidR="00E77DF6" w:rsidRDefault="00E77DF6" w:rsidP="00E77DF6">
                            <w:pPr>
                              <w:rPr>
                                <w:lang w:eastAsia="ko-KR"/>
                              </w:rPr>
                            </w:pPr>
                            <w:r>
                              <w:rPr>
                                <w:lang w:eastAsia="ko-KR"/>
                              </w:rPr>
                              <w:t>This submission proposes resolutions of comments received from TGbf comment collection 40 (TGbf Draft 0.1).</w:t>
                            </w:r>
                          </w:p>
                          <w:p w14:paraId="6511BDF3" w14:textId="74846CD4" w:rsidR="00E77DF6" w:rsidRDefault="00E77DF6" w:rsidP="00E77DF6">
                            <w:pPr>
                              <w:pStyle w:val="ListParagraph"/>
                              <w:numPr>
                                <w:ilvl w:val="0"/>
                                <w:numId w:val="1"/>
                              </w:numPr>
                              <w:rPr>
                                <w:lang w:eastAsia="ko-KR"/>
                              </w:rPr>
                            </w:pPr>
                            <w:r>
                              <w:rPr>
                                <w:lang w:eastAsia="ko-KR"/>
                              </w:rPr>
                              <w:t xml:space="preserve">CIDs: </w:t>
                            </w:r>
                            <w:r w:rsidR="00520073">
                              <w:rPr>
                                <w:lang w:eastAsia="ko-KR"/>
                              </w:rPr>
                              <w:t>19 and 296</w:t>
                            </w:r>
                            <w:r>
                              <w:rPr>
                                <w:lang w:eastAsia="ko-KR"/>
                              </w:rPr>
                              <w:t xml:space="preserve">. </w:t>
                            </w:r>
                            <w:r>
                              <w:rPr>
                                <w:rFonts w:eastAsia="SimSun"/>
                                <w:lang w:eastAsia="zh-CN"/>
                              </w:rPr>
                              <w:t>(</w:t>
                            </w:r>
                            <w:r w:rsidR="00520073">
                              <w:rPr>
                                <w:rFonts w:eastAsia="SimSun"/>
                                <w:lang w:eastAsia="zh-CN"/>
                              </w:rPr>
                              <w:t>2</w:t>
                            </w:r>
                            <w:r>
                              <w:rPr>
                                <w:rFonts w:eastAsia="SimSun"/>
                                <w:lang w:eastAsia="zh-CN"/>
                              </w:rPr>
                              <w:t xml:space="preserve"> CIDs)</w:t>
                            </w:r>
                          </w:p>
                          <w:p w14:paraId="74B10F6F" w14:textId="77777777" w:rsidR="00E77DF6" w:rsidRDefault="00E77DF6" w:rsidP="00E77DF6"/>
                          <w:p w14:paraId="47AA0558" w14:textId="77777777" w:rsidR="00E77DF6" w:rsidRDefault="00E77DF6" w:rsidP="00E77DF6">
                            <w:r>
                              <w:t>Revisions:</w:t>
                            </w:r>
                          </w:p>
                          <w:p w14:paraId="609BC9B9" w14:textId="77777777" w:rsidR="00E77DF6" w:rsidRDefault="00E77DF6" w:rsidP="00E77DF6"/>
                          <w:p w14:paraId="5396A65B" w14:textId="77777777" w:rsidR="00E77DF6" w:rsidRDefault="00E77DF6" w:rsidP="00E77DF6">
                            <w:pPr>
                              <w:pStyle w:val="ListParagraph"/>
                              <w:numPr>
                                <w:ilvl w:val="0"/>
                                <w:numId w:val="2"/>
                              </w:numPr>
                            </w:pPr>
                            <w:r>
                              <w:t>Rev 0: Initial version of the document.</w:t>
                            </w:r>
                          </w:p>
                          <w:p w14:paraId="046D61DD" w14:textId="4479721A" w:rsidR="0029020B" w:rsidRDefault="0029020B" w:rsidP="00E77DF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54FD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AECAB1E" w14:textId="77777777" w:rsidR="0029020B" w:rsidRDefault="0029020B">
                      <w:pPr>
                        <w:pStyle w:val="T1"/>
                        <w:spacing w:after="120"/>
                      </w:pPr>
                      <w:r>
                        <w:t>Abstract</w:t>
                      </w:r>
                    </w:p>
                    <w:p w14:paraId="021B1C1A" w14:textId="77777777" w:rsidR="00E77DF6" w:rsidRDefault="00E77DF6" w:rsidP="00E77DF6">
                      <w:pPr>
                        <w:rPr>
                          <w:lang w:eastAsia="ko-KR"/>
                        </w:rPr>
                      </w:pPr>
                      <w:r>
                        <w:rPr>
                          <w:lang w:eastAsia="ko-KR"/>
                        </w:rPr>
                        <w:t>This submission proposes resolutions of comments received from TGbf comment collection 40 (TGbf Draft 0.1).</w:t>
                      </w:r>
                    </w:p>
                    <w:p w14:paraId="6511BDF3" w14:textId="74846CD4" w:rsidR="00E77DF6" w:rsidRDefault="00E77DF6" w:rsidP="00E77DF6">
                      <w:pPr>
                        <w:pStyle w:val="ListParagraph"/>
                        <w:numPr>
                          <w:ilvl w:val="0"/>
                          <w:numId w:val="1"/>
                        </w:numPr>
                        <w:rPr>
                          <w:lang w:eastAsia="ko-KR"/>
                        </w:rPr>
                      </w:pPr>
                      <w:r>
                        <w:rPr>
                          <w:lang w:eastAsia="ko-KR"/>
                        </w:rPr>
                        <w:t xml:space="preserve">CIDs: </w:t>
                      </w:r>
                      <w:r w:rsidR="00520073">
                        <w:rPr>
                          <w:lang w:eastAsia="ko-KR"/>
                        </w:rPr>
                        <w:t>19 and 296</w:t>
                      </w:r>
                      <w:r>
                        <w:rPr>
                          <w:lang w:eastAsia="ko-KR"/>
                        </w:rPr>
                        <w:t xml:space="preserve">. </w:t>
                      </w:r>
                      <w:r>
                        <w:rPr>
                          <w:rFonts w:eastAsia="SimSun"/>
                          <w:lang w:eastAsia="zh-CN"/>
                        </w:rPr>
                        <w:t>(</w:t>
                      </w:r>
                      <w:r w:rsidR="00520073">
                        <w:rPr>
                          <w:rFonts w:eastAsia="SimSun"/>
                          <w:lang w:eastAsia="zh-CN"/>
                        </w:rPr>
                        <w:t>2</w:t>
                      </w:r>
                      <w:r>
                        <w:rPr>
                          <w:rFonts w:eastAsia="SimSun"/>
                          <w:lang w:eastAsia="zh-CN"/>
                        </w:rPr>
                        <w:t xml:space="preserve"> CIDs)</w:t>
                      </w:r>
                    </w:p>
                    <w:p w14:paraId="74B10F6F" w14:textId="77777777" w:rsidR="00E77DF6" w:rsidRDefault="00E77DF6" w:rsidP="00E77DF6"/>
                    <w:p w14:paraId="47AA0558" w14:textId="77777777" w:rsidR="00E77DF6" w:rsidRDefault="00E77DF6" w:rsidP="00E77DF6">
                      <w:r>
                        <w:t>Revisions:</w:t>
                      </w:r>
                    </w:p>
                    <w:p w14:paraId="609BC9B9" w14:textId="77777777" w:rsidR="00E77DF6" w:rsidRDefault="00E77DF6" w:rsidP="00E77DF6"/>
                    <w:p w14:paraId="5396A65B" w14:textId="77777777" w:rsidR="00E77DF6" w:rsidRDefault="00E77DF6" w:rsidP="00E77DF6">
                      <w:pPr>
                        <w:pStyle w:val="ListParagraph"/>
                        <w:numPr>
                          <w:ilvl w:val="0"/>
                          <w:numId w:val="2"/>
                        </w:numPr>
                      </w:pPr>
                      <w:r>
                        <w:t>Rev 0: Initial version of the document.</w:t>
                      </w:r>
                    </w:p>
                    <w:p w14:paraId="046D61DD" w14:textId="4479721A" w:rsidR="0029020B" w:rsidRDefault="0029020B" w:rsidP="00E77DF6">
                      <w:pPr>
                        <w:jc w:val="both"/>
                      </w:pPr>
                    </w:p>
                  </w:txbxContent>
                </v:textbox>
              </v:shape>
            </w:pict>
          </mc:Fallback>
        </mc:AlternateContent>
      </w:r>
    </w:p>
    <w:p w14:paraId="568CD6F1" w14:textId="77777777" w:rsidR="00A956CA" w:rsidRPr="000F1A0B" w:rsidRDefault="00A956CA">
      <w:r w:rsidRPr="000F1A0B">
        <w:br w:type="page"/>
      </w:r>
    </w:p>
    <w:p w14:paraId="34C7D268" w14:textId="77777777" w:rsidR="00A956CA" w:rsidRPr="000F1A0B" w:rsidRDefault="00A956CA" w:rsidP="00A956CA">
      <w:pPr>
        <w:pStyle w:val="Heading3"/>
        <w:numPr>
          <w:ilvl w:val="0"/>
          <w:numId w:val="3"/>
        </w:numPr>
        <w:rPr>
          <w:rFonts w:ascii="Times New Roman" w:hAnsi="Times New Roman"/>
        </w:rPr>
      </w:pPr>
      <w:r w:rsidRPr="000F1A0B">
        <w:rPr>
          <w:rFonts w:ascii="Times New Roman" w:hAnsi="Times New Roman"/>
        </w:rPr>
        <w:lastRenderedPageBreak/>
        <w:t>Introduction</w:t>
      </w:r>
    </w:p>
    <w:p w14:paraId="420575FE" w14:textId="237EBE61" w:rsidR="002628D8" w:rsidRPr="000F1A0B" w:rsidRDefault="002628D8" w:rsidP="002628D8">
      <w:r w:rsidRPr="000F1A0B">
        <w:t>Interpretation of a Motion to Adopt</w:t>
      </w:r>
    </w:p>
    <w:p w14:paraId="668C736D" w14:textId="77777777" w:rsidR="002628D8" w:rsidRPr="000F1A0B" w:rsidRDefault="002628D8" w:rsidP="002628D8">
      <w:pPr>
        <w:rPr>
          <w:lang w:eastAsia="ko-KR"/>
        </w:rPr>
      </w:pPr>
    </w:p>
    <w:p w14:paraId="35351ADA" w14:textId="77777777" w:rsidR="002628D8" w:rsidRPr="000F1A0B" w:rsidRDefault="002628D8" w:rsidP="002628D8">
      <w:pPr>
        <w:rPr>
          <w:lang w:eastAsia="ko-KR"/>
        </w:rPr>
      </w:pPr>
      <w:r w:rsidRPr="000F1A0B">
        <w:rPr>
          <w:lang w:eastAsia="ko-KR"/>
        </w:rPr>
        <w:t>A motion to approve this submission means that the editing instructions and any changed or added material are actioned in the TGbf Draft. The introduction and the explanation of the proposed changes are not part of the adopted material.</w:t>
      </w:r>
    </w:p>
    <w:p w14:paraId="5153F982" w14:textId="77777777" w:rsidR="002628D8" w:rsidRPr="000F1A0B" w:rsidRDefault="002628D8" w:rsidP="002628D8">
      <w:pPr>
        <w:rPr>
          <w:lang w:eastAsia="ko-KR"/>
        </w:rPr>
      </w:pPr>
    </w:p>
    <w:p w14:paraId="1D97C1AD" w14:textId="77777777" w:rsidR="002628D8" w:rsidRPr="000F1A0B" w:rsidRDefault="002628D8" w:rsidP="002628D8">
      <w:pPr>
        <w:rPr>
          <w:b/>
          <w:bCs/>
          <w:i/>
          <w:iCs/>
          <w:lang w:eastAsia="ko-KR"/>
        </w:rPr>
      </w:pPr>
      <w:r w:rsidRPr="000F1A0B">
        <w:rPr>
          <w:b/>
          <w:bCs/>
          <w:i/>
          <w:iCs/>
          <w:lang w:eastAsia="ko-KR"/>
        </w:rPr>
        <w:t>Editing instructions formatted like this are intended to be copied into the TGbf Draft (i.e., they are instructions to the 802.11bf editor on how to merge the text with the baseline documents).</w:t>
      </w:r>
    </w:p>
    <w:p w14:paraId="61EDCE55" w14:textId="77777777" w:rsidR="002628D8" w:rsidRPr="000F1A0B" w:rsidRDefault="002628D8" w:rsidP="002628D8">
      <w:pPr>
        <w:rPr>
          <w:lang w:eastAsia="ko-KR"/>
        </w:rPr>
      </w:pPr>
    </w:p>
    <w:p w14:paraId="7B116D77" w14:textId="77777777" w:rsidR="002628D8" w:rsidRPr="000F1A0B" w:rsidRDefault="002628D8" w:rsidP="002628D8">
      <w:pPr>
        <w:rPr>
          <w:b/>
          <w:bCs/>
          <w:i/>
          <w:iCs/>
          <w:lang w:eastAsia="ko-KR"/>
        </w:rPr>
      </w:pPr>
      <w:r w:rsidRPr="000F1A0B">
        <w:rPr>
          <w:b/>
          <w:bCs/>
          <w:i/>
          <w:iCs/>
          <w:lang w:eastAsia="ko-KR"/>
        </w:rPr>
        <w:t>TGbf Editor: Editing instructions preceded by “TGbf Editor” are instructions to the TGbf editor to modify existing material in the TGbf draft.  As a result of adopting the changes, the TGbf editor will execute the instructions rather than copy them to the TGbf Draft.</w:t>
      </w:r>
    </w:p>
    <w:p w14:paraId="624BF15E" w14:textId="77777777" w:rsidR="00AB2CD6" w:rsidRPr="000F1A0B" w:rsidRDefault="00AB2CD6" w:rsidP="00881248"/>
    <w:tbl>
      <w:tblPr>
        <w:tblStyle w:val="TableGrid"/>
        <w:tblW w:w="0" w:type="auto"/>
        <w:tblLook w:val="04A0" w:firstRow="1" w:lastRow="0" w:firstColumn="1" w:lastColumn="0" w:noHBand="0" w:noVBand="1"/>
      </w:tblPr>
      <w:tblGrid>
        <w:gridCol w:w="820"/>
        <w:gridCol w:w="1340"/>
        <w:gridCol w:w="1316"/>
        <w:gridCol w:w="785"/>
        <w:gridCol w:w="722"/>
        <w:gridCol w:w="1482"/>
        <w:gridCol w:w="1666"/>
        <w:gridCol w:w="1219"/>
      </w:tblGrid>
      <w:tr w:rsidR="00AB2CD6" w:rsidRPr="000F1A0B" w14:paraId="41D33AAC" w14:textId="77777777" w:rsidTr="00624A93">
        <w:tc>
          <w:tcPr>
            <w:tcW w:w="1040" w:type="dxa"/>
          </w:tcPr>
          <w:p w14:paraId="1677823C" w14:textId="77777777" w:rsidR="00AB2CD6" w:rsidRPr="000F1A0B" w:rsidRDefault="00AB2CD6" w:rsidP="00624A93">
            <w:pPr>
              <w:jc w:val="center"/>
              <w:rPr>
                <w:b/>
                <w:bCs/>
                <w:lang w:eastAsia="ko-KR"/>
              </w:rPr>
            </w:pPr>
            <w:r w:rsidRPr="000F1A0B">
              <w:rPr>
                <w:b/>
                <w:bCs/>
                <w:lang w:eastAsia="ko-KR"/>
              </w:rPr>
              <w:t>CID</w:t>
            </w:r>
          </w:p>
        </w:tc>
        <w:tc>
          <w:tcPr>
            <w:tcW w:w="1340" w:type="dxa"/>
          </w:tcPr>
          <w:p w14:paraId="01CBFE89" w14:textId="77777777" w:rsidR="00AB2CD6" w:rsidRPr="000F1A0B" w:rsidRDefault="00AB2CD6" w:rsidP="00624A93">
            <w:pPr>
              <w:jc w:val="center"/>
              <w:rPr>
                <w:b/>
                <w:bCs/>
                <w:lang w:eastAsia="ko-KR"/>
              </w:rPr>
            </w:pPr>
            <w:r w:rsidRPr="000F1A0B">
              <w:rPr>
                <w:b/>
                <w:bCs/>
                <w:lang w:eastAsia="ko-KR"/>
              </w:rPr>
              <w:t>Commenter</w:t>
            </w:r>
          </w:p>
        </w:tc>
        <w:tc>
          <w:tcPr>
            <w:tcW w:w="1177" w:type="dxa"/>
          </w:tcPr>
          <w:p w14:paraId="09F06CDE" w14:textId="77777777" w:rsidR="00AB2CD6" w:rsidRPr="000F1A0B" w:rsidRDefault="00AB2CD6" w:rsidP="00624A93">
            <w:pPr>
              <w:jc w:val="center"/>
              <w:rPr>
                <w:b/>
                <w:bCs/>
                <w:lang w:eastAsia="ko-KR"/>
              </w:rPr>
            </w:pPr>
            <w:r w:rsidRPr="000F1A0B">
              <w:rPr>
                <w:b/>
                <w:bCs/>
                <w:lang w:eastAsia="ko-KR"/>
              </w:rPr>
              <w:t>Clause</w:t>
            </w:r>
          </w:p>
        </w:tc>
        <w:tc>
          <w:tcPr>
            <w:tcW w:w="912" w:type="dxa"/>
          </w:tcPr>
          <w:p w14:paraId="678D42BC" w14:textId="77777777" w:rsidR="00AB2CD6" w:rsidRPr="000F1A0B" w:rsidRDefault="00AB2CD6" w:rsidP="00624A93">
            <w:pPr>
              <w:jc w:val="center"/>
              <w:rPr>
                <w:b/>
                <w:bCs/>
                <w:lang w:eastAsia="ko-KR"/>
              </w:rPr>
            </w:pPr>
            <w:r w:rsidRPr="000F1A0B">
              <w:rPr>
                <w:b/>
                <w:bCs/>
                <w:lang w:eastAsia="ko-KR"/>
              </w:rPr>
              <w:t>Page</w:t>
            </w:r>
          </w:p>
        </w:tc>
        <w:tc>
          <w:tcPr>
            <w:tcW w:w="809" w:type="dxa"/>
          </w:tcPr>
          <w:p w14:paraId="31461F13" w14:textId="77777777" w:rsidR="00AB2CD6" w:rsidRPr="000F1A0B" w:rsidRDefault="00AB2CD6" w:rsidP="00624A93">
            <w:pPr>
              <w:jc w:val="center"/>
              <w:rPr>
                <w:b/>
                <w:bCs/>
                <w:lang w:eastAsia="ko-KR"/>
              </w:rPr>
            </w:pPr>
            <w:r w:rsidRPr="000F1A0B">
              <w:rPr>
                <w:b/>
                <w:bCs/>
                <w:lang w:eastAsia="ko-KR"/>
              </w:rPr>
              <w:t>Line</w:t>
            </w:r>
          </w:p>
        </w:tc>
        <w:tc>
          <w:tcPr>
            <w:tcW w:w="1616" w:type="dxa"/>
          </w:tcPr>
          <w:p w14:paraId="6A22DEF6" w14:textId="77777777" w:rsidR="00AB2CD6" w:rsidRPr="000F1A0B" w:rsidRDefault="00AB2CD6" w:rsidP="00624A93">
            <w:pPr>
              <w:jc w:val="center"/>
              <w:rPr>
                <w:b/>
                <w:bCs/>
                <w:lang w:eastAsia="ko-KR"/>
              </w:rPr>
            </w:pPr>
            <w:r w:rsidRPr="000F1A0B">
              <w:rPr>
                <w:b/>
                <w:bCs/>
                <w:lang w:eastAsia="ko-KR"/>
              </w:rPr>
              <w:t>Comment</w:t>
            </w:r>
          </w:p>
        </w:tc>
        <w:tc>
          <w:tcPr>
            <w:tcW w:w="1237" w:type="dxa"/>
          </w:tcPr>
          <w:p w14:paraId="56D07302" w14:textId="77777777" w:rsidR="00AB2CD6" w:rsidRPr="000F1A0B" w:rsidRDefault="00AB2CD6" w:rsidP="00624A93">
            <w:pPr>
              <w:jc w:val="center"/>
              <w:rPr>
                <w:b/>
                <w:bCs/>
                <w:lang w:eastAsia="ko-KR"/>
              </w:rPr>
            </w:pPr>
            <w:r w:rsidRPr="000F1A0B">
              <w:rPr>
                <w:b/>
                <w:bCs/>
                <w:lang w:eastAsia="ko-KR"/>
              </w:rPr>
              <w:t>Proposed Change</w:t>
            </w:r>
          </w:p>
        </w:tc>
        <w:tc>
          <w:tcPr>
            <w:tcW w:w="1219" w:type="dxa"/>
          </w:tcPr>
          <w:p w14:paraId="15D9064B" w14:textId="77777777" w:rsidR="00AB2CD6" w:rsidRPr="000F1A0B" w:rsidRDefault="00AB2CD6" w:rsidP="00624A93">
            <w:pPr>
              <w:jc w:val="center"/>
              <w:rPr>
                <w:b/>
                <w:bCs/>
                <w:lang w:eastAsia="ko-KR"/>
              </w:rPr>
            </w:pPr>
            <w:r w:rsidRPr="000F1A0B">
              <w:rPr>
                <w:b/>
                <w:bCs/>
                <w:lang w:eastAsia="ko-KR"/>
              </w:rPr>
              <w:t>Resolution</w:t>
            </w:r>
          </w:p>
        </w:tc>
      </w:tr>
      <w:tr w:rsidR="00AB2CD6" w:rsidRPr="000F1A0B" w14:paraId="756B4878" w14:textId="77777777" w:rsidTr="00624A93">
        <w:tc>
          <w:tcPr>
            <w:tcW w:w="1040" w:type="dxa"/>
          </w:tcPr>
          <w:p w14:paraId="5F7EA0A4" w14:textId="2C42FC67" w:rsidR="00AB2CD6" w:rsidRPr="000F1A0B" w:rsidRDefault="00AB2CD6" w:rsidP="00624A93">
            <w:pPr>
              <w:rPr>
                <w:lang w:eastAsia="ko-KR"/>
              </w:rPr>
            </w:pPr>
            <w:r w:rsidRPr="000F1A0B">
              <w:rPr>
                <w:lang w:eastAsia="ko-KR"/>
              </w:rPr>
              <w:t>19</w:t>
            </w:r>
          </w:p>
        </w:tc>
        <w:tc>
          <w:tcPr>
            <w:tcW w:w="1340" w:type="dxa"/>
          </w:tcPr>
          <w:p w14:paraId="17E58A59" w14:textId="2538A812" w:rsidR="00AB2CD6" w:rsidRPr="000F1A0B" w:rsidRDefault="00AB2CD6" w:rsidP="00624A93">
            <w:pPr>
              <w:rPr>
                <w:lang w:eastAsia="ko-KR"/>
              </w:rPr>
            </w:pPr>
            <w:r w:rsidRPr="000F1A0B">
              <w:rPr>
                <w:lang w:eastAsia="ko-KR"/>
              </w:rPr>
              <w:t>Rajat Pushkarna</w:t>
            </w:r>
          </w:p>
        </w:tc>
        <w:tc>
          <w:tcPr>
            <w:tcW w:w="1177" w:type="dxa"/>
          </w:tcPr>
          <w:p w14:paraId="5BF938D8" w14:textId="45EC8D81" w:rsidR="00AB2CD6" w:rsidRPr="000F1A0B" w:rsidRDefault="00AB2CD6" w:rsidP="00624A93">
            <w:pPr>
              <w:rPr>
                <w:lang w:eastAsia="ko-KR"/>
              </w:rPr>
            </w:pPr>
            <w:r w:rsidRPr="000F1A0B">
              <w:rPr>
                <w:lang w:eastAsia="ko-KR"/>
              </w:rPr>
              <w:t>11.21.18.6</w:t>
            </w:r>
            <w:r w:rsidR="00741BC6" w:rsidRPr="000F1A0B">
              <w:rPr>
                <w:lang w:eastAsia="ko-KR"/>
              </w:rPr>
              <w:t>.5</w:t>
            </w:r>
          </w:p>
        </w:tc>
        <w:tc>
          <w:tcPr>
            <w:tcW w:w="912" w:type="dxa"/>
          </w:tcPr>
          <w:p w14:paraId="03069F5F" w14:textId="4926F256" w:rsidR="00AB2CD6" w:rsidRPr="000F1A0B" w:rsidRDefault="00741BC6" w:rsidP="00624A93">
            <w:pPr>
              <w:rPr>
                <w:lang w:eastAsia="ko-KR"/>
              </w:rPr>
            </w:pPr>
            <w:r w:rsidRPr="000F1A0B">
              <w:rPr>
                <w:lang w:eastAsia="ko-KR"/>
              </w:rPr>
              <w:t>70</w:t>
            </w:r>
          </w:p>
        </w:tc>
        <w:tc>
          <w:tcPr>
            <w:tcW w:w="809" w:type="dxa"/>
          </w:tcPr>
          <w:p w14:paraId="301CBE61" w14:textId="1D33F8E5" w:rsidR="00AB2CD6" w:rsidRPr="000F1A0B" w:rsidRDefault="00741BC6" w:rsidP="00624A93">
            <w:pPr>
              <w:rPr>
                <w:lang w:eastAsia="ko-KR"/>
              </w:rPr>
            </w:pPr>
            <w:r w:rsidRPr="000F1A0B">
              <w:rPr>
                <w:lang w:eastAsia="ko-KR"/>
              </w:rPr>
              <w:t>59</w:t>
            </w:r>
          </w:p>
        </w:tc>
        <w:tc>
          <w:tcPr>
            <w:tcW w:w="1616" w:type="dxa"/>
          </w:tcPr>
          <w:p w14:paraId="53690B72" w14:textId="77777777" w:rsidR="00741BC6" w:rsidRPr="000F1A0B" w:rsidRDefault="00741BC6" w:rsidP="00741BC6">
            <w:pPr>
              <w:rPr>
                <w:sz w:val="20"/>
                <w:lang w:val="en-SG" w:eastAsia="en-SG"/>
              </w:rPr>
            </w:pPr>
            <w:r w:rsidRPr="000F1A0B">
              <w:rPr>
                <w:sz w:val="20"/>
              </w:rPr>
              <w:t>CSI variation captures and measures CSI variation for whole CSI, which may be computational heavy and may not be effective for power restrained devices. Moreover, not all application require full CSI feedback.</w:t>
            </w:r>
          </w:p>
          <w:p w14:paraId="4213D4E7" w14:textId="77777777" w:rsidR="00AB2CD6" w:rsidRPr="000F1A0B" w:rsidRDefault="00AB2CD6" w:rsidP="00624A93">
            <w:pPr>
              <w:rPr>
                <w:szCs w:val="22"/>
                <w:lang w:eastAsia="ko-KR"/>
              </w:rPr>
            </w:pPr>
          </w:p>
        </w:tc>
        <w:tc>
          <w:tcPr>
            <w:tcW w:w="1237" w:type="dxa"/>
          </w:tcPr>
          <w:p w14:paraId="7ED73016" w14:textId="77777777" w:rsidR="00741BC6" w:rsidRPr="000F1A0B" w:rsidRDefault="00741BC6" w:rsidP="00741BC6">
            <w:pPr>
              <w:rPr>
                <w:sz w:val="20"/>
                <w:lang w:val="en-SG" w:eastAsia="en-SG"/>
              </w:rPr>
            </w:pPr>
            <w:r w:rsidRPr="000F1A0B">
              <w:rPr>
                <w:sz w:val="20"/>
              </w:rPr>
              <w:t>Threshold based reporting can be further extended to limit the feedback by using the CSI variation only for amplitude or phase and reporting the part i.e. amplitude or phase which has crossed the CSI variation</w:t>
            </w:r>
          </w:p>
          <w:p w14:paraId="0DDB79AA" w14:textId="07EB4EA1" w:rsidR="00AB2CD6" w:rsidRPr="000F1A0B" w:rsidRDefault="00AB2CD6" w:rsidP="00624A93">
            <w:pPr>
              <w:rPr>
                <w:sz w:val="20"/>
                <w:lang w:val="en-SG" w:eastAsia="en-SG"/>
              </w:rPr>
            </w:pPr>
          </w:p>
        </w:tc>
        <w:tc>
          <w:tcPr>
            <w:tcW w:w="1219" w:type="dxa"/>
          </w:tcPr>
          <w:p w14:paraId="37D716C5" w14:textId="6CCC58C8" w:rsidR="00AB2CD6" w:rsidRPr="000F1A0B" w:rsidRDefault="00741BC6" w:rsidP="00624A93">
            <w:pPr>
              <w:rPr>
                <w:b/>
                <w:bCs/>
                <w:i/>
                <w:iCs/>
                <w:lang w:eastAsia="ko-KR"/>
              </w:rPr>
            </w:pPr>
            <w:r w:rsidRPr="000F1A0B">
              <w:rPr>
                <w:b/>
                <w:bCs/>
                <w:i/>
                <w:iCs/>
                <w:lang w:eastAsia="ko-KR"/>
              </w:rPr>
              <w:t>Rejected.</w:t>
            </w:r>
          </w:p>
          <w:p w14:paraId="44128E66" w14:textId="77777777" w:rsidR="00741BC6" w:rsidRPr="000F1A0B" w:rsidRDefault="00741BC6" w:rsidP="00624A93">
            <w:pPr>
              <w:rPr>
                <w:lang w:eastAsia="ko-KR"/>
              </w:rPr>
            </w:pPr>
          </w:p>
          <w:p w14:paraId="0EF7D7C1" w14:textId="5B2D9742" w:rsidR="00AB2CD6" w:rsidRPr="000F1A0B" w:rsidRDefault="00AB2CD6" w:rsidP="00624A93">
            <w:pPr>
              <w:rPr>
                <w:lang w:eastAsia="ko-KR"/>
              </w:rPr>
            </w:pPr>
            <w:r w:rsidRPr="000F1A0B">
              <w:rPr>
                <w:lang w:eastAsia="ko-KR"/>
              </w:rPr>
              <w:t xml:space="preserve">TGbf Editor to make </w:t>
            </w:r>
            <w:r w:rsidRPr="000F1A0B">
              <w:rPr>
                <w:b/>
                <w:bCs/>
                <w:lang w:eastAsia="ko-KR"/>
              </w:rPr>
              <w:t>no</w:t>
            </w:r>
            <w:r w:rsidRPr="000F1A0B">
              <w:rPr>
                <w:lang w:eastAsia="ko-KR"/>
              </w:rPr>
              <w:t xml:space="preserve"> changes </w:t>
            </w:r>
            <w:r w:rsidR="002C2ADB" w:rsidRPr="000F1A0B">
              <w:rPr>
                <w:lang w:eastAsia="ko-KR"/>
              </w:rPr>
              <w:t>to the spec text.</w:t>
            </w:r>
            <w:r w:rsidRPr="000F1A0B">
              <w:rPr>
                <w:lang w:eastAsia="ko-KR"/>
              </w:rPr>
              <w:t xml:space="preserve"> </w:t>
            </w:r>
          </w:p>
          <w:p w14:paraId="551CAE3A" w14:textId="77777777" w:rsidR="00AB2CD6" w:rsidRPr="000F1A0B" w:rsidRDefault="00AB2CD6" w:rsidP="00624A93">
            <w:pPr>
              <w:rPr>
                <w:lang w:eastAsia="ko-KR"/>
              </w:rPr>
            </w:pPr>
          </w:p>
          <w:p w14:paraId="4854B9DE" w14:textId="77777777" w:rsidR="00AB2CD6" w:rsidRPr="000F1A0B" w:rsidRDefault="00AB2CD6" w:rsidP="00624A93">
            <w:pPr>
              <w:rPr>
                <w:lang w:eastAsia="ko-KR"/>
              </w:rPr>
            </w:pPr>
          </w:p>
        </w:tc>
      </w:tr>
      <w:tr w:rsidR="00741BC6" w:rsidRPr="000F1A0B" w14:paraId="693755A2" w14:textId="77777777" w:rsidTr="00624A93">
        <w:tc>
          <w:tcPr>
            <w:tcW w:w="1040" w:type="dxa"/>
          </w:tcPr>
          <w:p w14:paraId="37CF6AD7" w14:textId="07BC1BB6" w:rsidR="00741BC6" w:rsidRPr="000F1A0B" w:rsidRDefault="00741BC6" w:rsidP="00624A93">
            <w:pPr>
              <w:rPr>
                <w:lang w:eastAsia="ko-KR"/>
              </w:rPr>
            </w:pPr>
            <w:r w:rsidRPr="000F1A0B">
              <w:rPr>
                <w:lang w:eastAsia="ko-KR"/>
              </w:rPr>
              <w:t>296</w:t>
            </w:r>
          </w:p>
        </w:tc>
        <w:tc>
          <w:tcPr>
            <w:tcW w:w="1340" w:type="dxa"/>
          </w:tcPr>
          <w:p w14:paraId="2B428303" w14:textId="4B343B3A" w:rsidR="00741BC6" w:rsidRPr="000F1A0B" w:rsidRDefault="00741BC6" w:rsidP="00624A93">
            <w:pPr>
              <w:rPr>
                <w:lang w:eastAsia="ko-KR"/>
              </w:rPr>
            </w:pPr>
            <w:r w:rsidRPr="000F1A0B">
              <w:rPr>
                <w:lang w:eastAsia="ko-KR"/>
              </w:rPr>
              <w:t>Rojan Chitrakar</w:t>
            </w:r>
          </w:p>
        </w:tc>
        <w:tc>
          <w:tcPr>
            <w:tcW w:w="1177" w:type="dxa"/>
          </w:tcPr>
          <w:p w14:paraId="31A8D9D1" w14:textId="6696F28B" w:rsidR="00741BC6" w:rsidRPr="000F1A0B" w:rsidRDefault="00460A2B" w:rsidP="00624A93">
            <w:pPr>
              <w:rPr>
                <w:lang w:eastAsia="ko-KR"/>
              </w:rPr>
            </w:pPr>
            <w:r w:rsidRPr="000F1A0B">
              <w:rPr>
                <w:lang w:eastAsia="ko-KR"/>
              </w:rPr>
              <w:t>9.4.2.318</w:t>
            </w:r>
          </w:p>
        </w:tc>
        <w:tc>
          <w:tcPr>
            <w:tcW w:w="912" w:type="dxa"/>
          </w:tcPr>
          <w:p w14:paraId="35B8E498" w14:textId="020D04C5" w:rsidR="00741BC6" w:rsidRPr="000F1A0B" w:rsidRDefault="00460A2B" w:rsidP="00624A93">
            <w:pPr>
              <w:rPr>
                <w:lang w:eastAsia="ko-KR"/>
              </w:rPr>
            </w:pPr>
            <w:r w:rsidRPr="000F1A0B">
              <w:rPr>
                <w:lang w:eastAsia="ko-KR"/>
              </w:rPr>
              <w:t>34</w:t>
            </w:r>
          </w:p>
        </w:tc>
        <w:tc>
          <w:tcPr>
            <w:tcW w:w="809" w:type="dxa"/>
          </w:tcPr>
          <w:p w14:paraId="11266181" w14:textId="734C220E" w:rsidR="00741BC6" w:rsidRPr="000F1A0B" w:rsidRDefault="00460A2B" w:rsidP="00624A93">
            <w:pPr>
              <w:rPr>
                <w:lang w:eastAsia="ko-KR"/>
              </w:rPr>
            </w:pPr>
            <w:r w:rsidRPr="000F1A0B">
              <w:rPr>
                <w:lang w:eastAsia="ko-KR"/>
              </w:rPr>
              <w:t>28</w:t>
            </w:r>
          </w:p>
        </w:tc>
        <w:tc>
          <w:tcPr>
            <w:tcW w:w="1616" w:type="dxa"/>
          </w:tcPr>
          <w:p w14:paraId="0E057098" w14:textId="77777777" w:rsidR="00460A2B" w:rsidRPr="000F1A0B" w:rsidRDefault="00460A2B" w:rsidP="00460A2B">
            <w:pPr>
              <w:rPr>
                <w:sz w:val="20"/>
                <w:lang w:val="en-SG" w:eastAsia="en-SG"/>
              </w:rPr>
            </w:pPr>
            <w:r w:rsidRPr="000F1A0B">
              <w:rPr>
                <w:sz w:val="20"/>
              </w:rPr>
              <w:t xml:space="preserve">In the sub-7 GHz, while some sensing applications make use of both amplitude and phase components of CSI, a vast majority of sensing applications only use one of them, either amplitude or phase, but not both. 11bf should support providing reports for either the amplitude component or the phase </w:t>
            </w:r>
            <w:r w:rsidRPr="000F1A0B">
              <w:rPr>
                <w:sz w:val="20"/>
              </w:rPr>
              <w:lastRenderedPageBreak/>
              <w:t>component of CSI in order to reduce the overhead of the sensing measurement report.</w:t>
            </w:r>
          </w:p>
          <w:p w14:paraId="087753E1" w14:textId="77777777" w:rsidR="00741BC6" w:rsidRPr="000F1A0B" w:rsidRDefault="00741BC6" w:rsidP="00741BC6">
            <w:pPr>
              <w:rPr>
                <w:sz w:val="20"/>
              </w:rPr>
            </w:pPr>
          </w:p>
        </w:tc>
        <w:tc>
          <w:tcPr>
            <w:tcW w:w="1237" w:type="dxa"/>
          </w:tcPr>
          <w:p w14:paraId="3CF9B12B" w14:textId="77777777" w:rsidR="002C2ADB" w:rsidRPr="000F1A0B" w:rsidRDefault="002C2ADB" w:rsidP="002C2ADB">
            <w:pPr>
              <w:rPr>
                <w:sz w:val="20"/>
                <w:lang w:val="en-SG" w:eastAsia="en-SG"/>
              </w:rPr>
            </w:pPr>
            <w:r w:rsidRPr="000F1A0B">
              <w:rPr>
                <w:sz w:val="20"/>
              </w:rPr>
              <w:lastRenderedPageBreak/>
              <w:t>Add the following two optional Sensing Measurement Report Type values to Table 9-401s:</w:t>
            </w:r>
            <w:r w:rsidRPr="000F1A0B">
              <w:rPr>
                <w:sz w:val="20"/>
              </w:rPr>
              <w:br/>
              <w:t>1. CSI_Amplitude</w:t>
            </w:r>
            <w:r w:rsidRPr="000F1A0B">
              <w:rPr>
                <w:sz w:val="20"/>
              </w:rPr>
              <w:br/>
              <w:t>2. CSI_Phase</w:t>
            </w:r>
            <w:r w:rsidRPr="000F1A0B">
              <w:rPr>
                <w:sz w:val="20"/>
              </w:rPr>
              <w:br/>
              <w:t>For Type = 1 (CSI_Amplitude), only the amplitude component of the CSI is reported and for Type = 2 ( CSI_Phase), only the phase component of the CSI is reported. Refer to 21/1921r1 for further details.</w:t>
            </w:r>
          </w:p>
          <w:p w14:paraId="64D99330" w14:textId="77777777" w:rsidR="00741BC6" w:rsidRPr="000F1A0B" w:rsidRDefault="00741BC6" w:rsidP="00741BC6">
            <w:pPr>
              <w:rPr>
                <w:sz w:val="20"/>
              </w:rPr>
            </w:pPr>
          </w:p>
        </w:tc>
        <w:tc>
          <w:tcPr>
            <w:tcW w:w="1219" w:type="dxa"/>
          </w:tcPr>
          <w:p w14:paraId="1C56D131" w14:textId="77777777" w:rsidR="00741BC6" w:rsidRPr="000F1A0B" w:rsidRDefault="002C2ADB" w:rsidP="00624A93">
            <w:pPr>
              <w:rPr>
                <w:b/>
                <w:bCs/>
                <w:i/>
                <w:iCs/>
                <w:lang w:eastAsia="ko-KR"/>
              </w:rPr>
            </w:pPr>
            <w:r w:rsidRPr="000F1A0B">
              <w:rPr>
                <w:b/>
                <w:bCs/>
                <w:i/>
                <w:iCs/>
                <w:lang w:eastAsia="ko-KR"/>
              </w:rPr>
              <w:lastRenderedPageBreak/>
              <w:t>Rejected.</w:t>
            </w:r>
          </w:p>
          <w:p w14:paraId="3569AB95" w14:textId="77777777" w:rsidR="002C2ADB" w:rsidRPr="000F1A0B" w:rsidRDefault="002C2ADB" w:rsidP="00624A93">
            <w:pPr>
              <w:rPr>
                <w:b/>
                <w:bCs/>
                <w:i/>
                <w:iCs/>
                <w:lang w:eastAsia="ko-KR"/>
              </w:rPr>
            </w:pPr>
          </w:p>
          <w:p w14:paraId="31E846FA" w14:textId="48B8592B" w:rsidR="002C2ADB" w:rsidRPr="000F1A0B" w:rsidRDefault="002C2ADB" w:rsidP="002C2ADB">
            <w:pPr>
              <w:rPr>
                <w:lang w:eastAsia="ko-KR"/>
              </w:rPr>
            </w:pPr>
            <w:r w:rsidRPr="000F1A0B">
              <w:rPr>
                <w:lang w:eastAsia="ko-KR"/>
              </w:rPr>
              <w:t xml:space="preserve">TGbf Editor to make </w:t>
            </w:r>
            <w:r w:rsidRPr="000F1A0B">
              <w:rPr>
                <w:b/>
                <w:bCs/>
                <w:lang w:eastAsia="ko-KR"/>
              </w:rPr>
              <w:t>no</w:t>
            </w:r>
            <w:r w:rsidRPr="000F1A0B">
              <w:rPr>
                <w:lang w:eastAsia="ko-KR"/>
              </w:rPr>
              <w:t xml:space="preserve"> changes </w:t>
            </w:r>
            <w:r w:rsidRPr="000F1A0B">
              <w:rPr>
                <w:lang w:eastAsia="ko-KR"/>
              </w:rPr>
              <w:t>to the spec text.</w:t>
            </w:r>
          </w:p>
          <w:p w14:paraId="09F077FA" w14:textId="49A40BE8" w:rsidR="002C2ADB" w:rsidRPr="000F1A0B" w:rsidRDefault="002C2ADB" w:rsidP="00624A93">
            <w:pPr>
              <w:rPr>
                <w:b/>
                <w:bCs/>
                <w:i/>
                <w:iCs/>
                <w:lang w:eastAsia="ko-KR"/>
              </w:rPr>
            </w:pPr>
          </w:p>
        </w:tc>
      </w:tr>
    </w:tbl>
    <w:p w14:paraId="2E201DB9" w14:textId="77777777" w:rsidR="000F1A0B" w:rsidRPr="000F1A0B" w:rsidRDefault="000F1A0B" w:rsidP="00881248"/>
    <w:p w14:paraId="3D833397" w14:textId="77777777" w:rsidR="000F1A0B" w:rsidRPr="000F1A0B" w:rsidRDefault="000F1A0B" w:rsidP="00881248">
      <w:pPr>
        <w:rPr>
          <w:b/>
          <w:bCs/>
        </w:rPr>
      </w:pPr>
      <w:r w:rsidRPr="000F1A0B">
        <w:rPr>
          <w:b/>
          <w:bCs/>
          <w:highlight w:val="yellow"/>
        </w:rPr>
        <w:t>Baseline is D0.4</w:t>
      </w:r>
    </w:p>
    <w:p w14:paraId="71AB5181" w14:textId="6CAFF75A" w:rsidR="000F1A0B" w:rsidRDefault="000F1A0B" w:rsidP="00881248">
      <w:pPr>
        <w:rPr>
          <w:b/>
          <w:bCs/>
        </w:rPr>
      </w:pPr>
    </w:p>
    <w:p w14:paraId="17122FCA" w14:textId="180443ED" w:rsidR="000654CE" w:rsidRDefault="00C01C6E" w:rsidP="000654CE">
      <w:pPr>
        <w:rPr>
          <w:lang w:val="en-SG" w:eastAsia="en-SG"/>
        </w:rPr>
      </w:pPr>
      <w:r>
        <w:rPr>
          <w:b/>
          <w:bCs/>
        </w:rPr>
        <w:t xml:space="preserve">SP: </w:t>
      </w:r>
      <w:r w:rsidR="000654CE">
        <w:rPr>
          <w:lang w:val="en-SG" w:eastAsia="en-SG"/>
        </w:rPr>
        <w:t>Do you agree to the resolutions provided in the document 11-22/</w:t>
      </w:r>
      <w:r w:rsidR="000654CE">
        <w:rPr>
          <w:lang w:val="en-SG" w:eastAsia="en-SG"/>
        </w:rPr>
        <w:t>1932</w:t>
      </w:r>
      <w:r w:rsidR="000654CE">
        <w:rPr>
          <w:lang w:val="en-SG" w:eastAsia="en-SG"/>
        </w:rPr>
        <w:t>r</w:t>
      </w:r>
      <w:r w:rsidR="000654CE">
        <w:rPr>
          <w:lang w:val="en-SG" w:eastAsia="en-SG"/>
        </w:rPr>
        <w:t>0</w:t>
      </w:r>
      <w:r w:rsidR="000654CE">
        <w:rPr>
          <w:lang w:val="en-SG" w:eastAsia="en-SG"/>
        </w:rPr>
        <w:t xml:space="preserve"> for the following CIDs: </w:t>
      </w:r>
      <w:r w:rsidR="000654CE">
        <w:rPr>
          <w:lang w:val="en-SG" w:eastAsia="en-SG"/>
        </w:rPr>
        <w:t>19 and 296</w:t>
      </w:r>
      <w:r w:rsidR="000654CE">
        <w:rPr>
          <w:lang w:val="en-SG" w:eastAsia="en-SG"/>
        </w:rPr>
        <w:t xml:space="preserve"> for inclusion in the latest 11bf draft?</w:t>
      </w:r>
    </w:p>
    <w:p w14:paraId="35B126F7" w14:textId="2FC0159A" w:rsidR="00C01C6E" w:rsidRPr="00C01C6E" w:rsidRDefault="00C01C6E" w:rsidP="00881248"/>
    <w:p w14:paraId="0A787375" w14:textId="77777777" w:rsidR="000F1A0B" w:rsidRPr="000F1A0B" w:rsidRDefault="000F1A0B" w:rsidP="000F1A0B">
      <w:pPr>
        <w:pStyle w:val="Heading3"/>
        <w:numPr>
          <w:ilvl w:val="0"/>
          <w:numId w:val="3"/>
        </w:numPr>
        <w:rPr>
          <w:rFonts w:ascii="Times New Roman" w:hAnsi="Times New Roman"/>
        </w:rPr>
      </w:pPr>
      <w:r w:rsidRPr="000F1A0B">
        <w:rPr>
          <w:rFonts w:ascii="Times New Roman" w:hAnsi="Times New Roman"/>
        </w:rPr>
        <w:t>Discussion</w:t>
      </w:r>
    </w:p>
    <w:p w14:paraId="6AC61B5E" w14:textId="77777777" w:rsidR="0044177D" w:rsidRDefault="009B6F3F" w:rsidP="000F1A0B">
      <w:pPr>
        <w:rPr>
          <w:noProof/>
        </w:rPr>
      </w:pPr>
      <w:r>
        <w:t>It has been already discussed in 802.11 TGbf that there will be only one measurement report type for sensing measurement</w:t>
      </w:r>
      <w:r w:rsidR="00F37C00">
        <w:t xml:space="preserve"> report</w:t>
      </w:r>
      <w:r>
        <w:t>.</w:t>
      </w:r>
      <w:r w:rsidR="00F37C00">
        <w:t xml:space="preserve"> </w:t>
      </w:r>
      <w:r w:rsidR="002741BF">
        <w:t xml:space="preserve">Table </w:t>
      </w:r>
      <w:r w:rsidR="00D602D7">
        <w:t xml:space="preserve">9-401r Sensing Measurement Report Type field definition describes only one measurement report type which is CSI. Therefore, TGbf </w:t>
      </w:r>
      <w:r w:rsidR="008F7F2C">
        <w:t>has only 1 sensing measurement report type which is CSI.</w:t>
      </w:r>
      <w:r w:rsidR="008F7F2C" w:rsidRPr="008F7F2C">
        <w:rPr>
          <w:noProof/>
        </w:rPr>
        <w:t xml:space="preserve"> </w:t>
      </w:r>
      <w:r w:rsidR="008F7F2C" w:rsidRPr="008F7F2C">
        <w:drawing>
          <wp:inline distT="0" distB="0" distL="0" distR="0" wp14:anchorId="36BF704A" wp14:editId="2E2EB5F1">
            <wp:extent cx="4953691" cy="1076475"/>
            <wp:effectExtent l="0" t="0" r="0"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7"/>
                    <a:stretch>
                      <a:fillRect/>
                    </a:stretch>
                  </pic:blipFill>
                  <pic:spPr>
                    <a:xfrm>
                      <a:off x="0" y="0"/>
                      <a:ext cx="4953691" cy="1076475"/>
                    </a:xfrm>
                    <a:prstGeom prst="rect">
                      <a:avLst/>
                    </a:prstGeom>
                  </pic:spPr>
                </pic:pic>
              </a:graphicData>
            </a:graphic>
          </wp:inline>
        </w:drawing>
      </w:r>
    </w:p>
    <w:p w14:paraId="5D6B9D99" w14:textId="54B41B27" w:rsidR="00A956CA" w:rsidRPr="00F74B5E" w:rsidRDefault="0044177D" w:rsidP="00F74B5E">
      <w:pPr>
        <w:ind w:firstLineChars="100" w:firstLine="220"/>
        <w:rPr>
          <w:rFonts w:ascii="Calibri" w:hAnsi="Calibri" w:cs="Calibri"/>
          <w:color w:val="000000"/>
          <w:szCs w:val="22"/>
          <w:lang w:val="en-SG" w:eastAsia="en-SG"/>
        </w:rPr>
      </w:pPr>
      <w:r>
        <w:rPr>
          <w:noProof/>
        </w:rPr>
        <w:t xml:space="preserve">DCN </w:t>
      </w:r>
      <w:r w:rsidR="00023437">
        <w:rPr>
          <w:noProof/>
        </w:rPr>
        <w:t>21/1921r1 presented a contribution related to the CIDs</w:t>
      </w:r>
      <w:r w:rsidR="007C7180">
        <w:rPr>
          <w:noProof/>
        </w:rPr>
        <w:t>; upon discussion it was pointed that it would be simpler to have a single measurement report type which is CSI</w:t>
      </w:r>
      <w:r w:rsidR="00F74B5E">
        <w:rPr>
          <w:noProof/>
        </w:rPr>
        <w:t xml:space="preserve">. The straw poll was run for the document and the document did not gain majority support. </w:t>
      </w:r>
      <w:r w:rsidR="00F74B5E" w:rsidRPr="00F74B5E">
        <w:rPr>
          <w:noProof/>
        </w:rPr>
        <w:t>(</w:t>
      </w:r>
      <w:r w:rsidR="00F74B5E" w:rsidRPr="00F74B5E">
        <w:rPr>
          <w:color w:val="000000"/>
          <w:szCs w:val="22"/>
          <w:lang w:val="en-SG" w:eastAsia="en-SG"/>
        </w:rPr>
        <w:t xml:space="preserve">10-May'22-r1 - SP: </w:t>
      </w:r>
      <w:r w:rsidR="00F74B5E" w:rsidRPr="00F74B5E">
        <w:rPr>
          <w:color w:val="FF0000"/>
          <w:szCs w:val="22"/>
          <w:lang w:val="en-SG" w:eastAsia="en-SG"/>
        </w:rPr>
        <w:t>24Y, 16N ,13A</w:t>
      </w:r>
      <w:r w:rsidR="00F74B5E" w:rsidRPr="00F74B5E">
        <w:rPr>
          <w:color w:val="000000"/>
          <w:szCs w:val="22"/>
          <w:lang w:val="en-SG" w:eastAsia="en-SG"/>
        </w:rPr>
        <w:t>)</w:t>
      </w:r>
      <w:r w:rsidR="00F74B5E">
        <w:t>.</w:t>
      </w:r>
      <w:r w:rsidR="00A956CA" w:rsidRPr="000F1A0B">
        <w:br w:type="page"/>
      </w:r>
    </w:p>
    <w:p w14:paraId="62D14B73" w14:textId="741ED202" w:rsidR="00CA09B2" w:rsidRPr="000F1A0B" w:rsidRDefault="00CA09B2">
      <w:pPr>
        <w:rPr>
          <w:b/>
          <w:sz w:val="24"/>
        </w:rPr>
      </w:pPr>
      <w:r w:rsidRPr="000F1A0B">
        <w:rPr>
          <w:b/>
          <w:sz w:val="24"/>
        </w:rPr>
        <w:lastRenderedPageBreak/>
        <w:t>References:</w:t>
      </w:r>
    </w:p>
    <w:p w14:paraId="1248724B" w14:textId="4F39A60E" w:rsidR="00CA09B2" w:rsidRPr="000F1A0B" w:rsidRDefault="00945D0A">
      <w:r>
        <w:t xml:space="preserve">[1] P802.11bf </w:t>
      </w:r>
      <w:r w:rsidR="00ED76E6">
        <w:t>specification</w:t>
      </w:r>
      <w:r>
        <w:t xml:space="preserve"> draft.</w:t>
      </w:r>
    </w:p>
    <w:sectPr w:rsidR="00CA09B2" w:rsidRPr="000F1A0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7A91" w14:textId="77777777" w:rsidR="005F23C9" w:rsidRDefault="005F23C9">
      <w:r>
        <w:separator/>
      </w:r>
    </w:p>
  </w:endnote>
  <w:endnote w:type="continuationSeparator" w:id="0">
    <w:p w14:paraId="1AFE6CE4" w14:textId="77777777" w:rsidR="005F23C9" w:rsidRDefault="005F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5A03" w14:textId="21F0CAE6" w:rsidR="0029020B" w:rsidRDefault="000654CE">
    <w:pPr>
      <w:pStyle w:val="Footer"/>
      <w:tabs>
        <w:tab w:val="clear" w:pos="6480"/>
        <w:tab w:val="center" w:pos="4680"/>
        <w:tab w:val="right" w:pos="9360"/>
      </w:tabs>
    </w:pPr>
    <w:r>
      <w:fldChar w:fldCharType="begin"/>
    </w:r>
    <w:r>
      <w:instrText xml:space="preserve"> SUBJECT  \* MERGEFORMAT </w:instrText>
    </w:r>
    <w:r>
      <w:fldChar w:fldCharType="separate"/>
    </w:r>
    <w:r w:rsidR="00B8132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A956CA">
      <w:t>Rajat Pushkarna, Panasonic</w:t>
    </w:r>
  </w:p>
  <w:p w14:paraId="367400B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1EE0" w14:textId="77777777" w:rsidR="005F23C9" w:rsidRDefault="005F23C9">
      <w:r>
        <w:separator/>
      </w:r>
    </w:p>
  </w:footnote>
  <w:footnote w:type="continuationSeparator" w:id="0">
    <w:p w14:paraId="5F247E9C" w14:textId="77777777" w:rsidR="005F23C9" w:rsidRDefault="005F2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2337" w14:textId="0AE06551" w:rsidR="0029020B" w:rsidRDefault="006E26AF">
    <w:pPr>
      <w:pStyle w:val="Header"/>
      <w:tabs>
        <w:tab w:val="clear" w:pos="6480"/>
        <w:tab w:val="center" w:pos="4680"/>
        <w:tab w:val="right" w:pos="9360"/>
      </w:tabs>
    </w:pPr>
    <w:r>
      <w:t>November 2022</w:t>
    </w:r>
    <w:r w:rsidR="0029020B">
      <w:tab/>
    </w:r>
    <w:r w:rsidR="0029020B">
      <w:tab/>
    </w:r>
    <w:r w:rsidR="000654CE">
      <w:fldChar w:fldCharType="begin"/>
    </w:r>
    <w:r w:rsidR="000654CE">
      <w:instrText xml:space="preserve"> TITLE  \* MERGEFORMAT </w:instrText>
    </w:r>
    <w:r w:rsidR="000654CE">
      <w:fldChar w:fldCharType="separate"/>
    </w:r>
    <w:r w:rsidR="00B81323">
      <w:t>doc.: IEEE 802.11-</w:t>
    </w:r>
    <w:r>
      <w:t>22</w:t>
    </w:r>
    <w:r w:rsidR="00B81323">
      <w:t>/</w:t>
    </w:r>
    <w:r>
      <w:t>1932</w:t>
    </w:r>
    <w:r w:rsidR="00B81323">
      <w:t>r0</w:t>
    </w:r>
    <w:r w:rsidR="000654C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6D9F2CD6"/>
    <w:multiLevelType w:val="hybridMultilevel"/>
    <w:tmpl w:val="CE5AC84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33934031">
    <w:abstractNumId w:val="0"/>
  </w:num>
  <w:num w:numId="2" w16cid:durableId="1991905011">
    <w:abstractNumId w:val="2"/>
  </w:num>
  <w:num w:numId="3" w16cid:durableId="1548833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23"/>
    <w:rsid w:val="00023437"/>
    <w:rsid w:val="000654CE"/>
    <w:rsid w:val="000F1A0B"/>
    <w:rsid w:val="0015758D"/>
    <w:rsid w:val="001841EF"/>
    <w:rsid w:val="001D723B"/>
    <w:rsid w:val="002628D8"/>
    <w:rsid w:val="002741BF"/>
    <w:rsid w:val="0029020B"/>
    <w:rsid w:val="002C2ADB"/>
    <w:rsid w:val="002D44BE"/>
    <w:rsid w:val="0044177D"/>
    <w:rsid w:val="00442037"/>
    <w:rsid w:val="00460A2B"/>
    <w:rsid w:val="004B064B"/>
    <w:rsid w:val="00520073"/>
    <w:rsid w:val="005F23C9"/>
    <w:rsid w:val="0062440B"/>
    <w:rsid w:val="006C0727"/>
    <w:rsid w:val="006E145F"/>
    <w:rsid w:val="006E26AF"/>
    <w:rsid w:val="00741BC6"/>
    <w:rsid w:val="00770572"/>
    <w:rsid w:val="007C7180"/>
    <w:rsid w:val="00881248"/>
    <w:rsid w:val="008F7F2C"/>
    <w:rsid w:val="00945D0A"/>
    <w:rsid w:val="009B6F3F"/>
    <w:rsid w:val="009F2FBC"/>
    <w:rsid w:val="00A956CA"/>
    <w:rsid w:val="00AA427C"/>
    <w:rsid w:val="00AB2CD6"/>
    <w:rsid w:val="00AE3DEA"/>
    <w:rsid w:val="00B81323"/>
    <w:rsid w:val="00BE68C2"/>
    <w:rsid w:val="00C01C6E"/>
    <w:rsid w:val="00CA09B2"/>
    <w:rsid w:val="00D602D7"/>
    <w:rsid w:val="00DC5A7B"/>
    <w:rsid w:val="00E77DF6"/>
    <w:rsid w:val="00ED76E6"/>
    <w:rsid w:val="00F37C00"/>
    <w:rsid w:val="00F74B5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D531F"/>
  <w15:chartTrackingRefBased/>
  <w15:docId w15:val="{66245D7D-0E94-4D15-83EF-1218CE4A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77DF6"/>
    <w:pPr>
      <w:ind w:left="720"/>
      <w:contextualSpacing/>
      <w:jc w:val="both"/>
    </w:pPr>
  </w:style>
  <w:style w:type="table" w:styleId="TableGrid">
    <w:name w:val="Table Grid"/>
    <w:basedOn w:val="TableNormal"/>
    <w:rsid w:val="00AB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61">
    <w:name w:val="font261"/>
    <w:basedOn w:val="DefaultParagraphFont"/>
    <w:rsid w:val="00F74B5E"/>
    <w:rPr>
      <w:rFonts w:ascii="Calibri" w:hAnsi="Calibri" w:cs="Calibri" w:hint="default"/>
      <w:b w:val="0"/>
      <w:bCs w:val="0"/>
      <w:i w:val="0"/>
      <w:iCs w:val="0"/>
      <w:strike w:val="0"/>
      <w:dstrike w:val="0"/>
      <w:color w:val="FF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2443">
      <w:bodyDiv w:val="1"/>
      <w:marLeft w:val="0"/>
      <w:marRight w:val="0"/>
      <w:marTop w:val="0"/>
      <w:marBottom w:val="0"/>
      <w:divBdr>
        <w:top w:val="none" w:sz="0" w:space="0" w:color="auto"/>
        <w:left w:val="none" w:sz="0" w:space="0" w:color="auto"/>
        <w:bottom w:val="none" w:sz="0" w:space="0" w:color="auto"/>
        <w:right w:val="none" w:sz="0" w:space="0" w:color="auto"/>
      </w:divBdr>
    </w:div>
    <w:div w:id="370762091">
      <w:bodyDiv w:val="1"/>
      <w:marLeft w:val="0"/>
      <w:marRight w:val="0"/>
      <w:marTop w:val="0"/>
      <w:marBottom w:val="0"/>
      <w:divBdr>
        <w:top w:val="none" w:sz="0" w:space="0" w:color="auto"/>
        <w:left w:val="none" w:sz="0" w:space="0" w:color="auto"/>
        <w:bottom w:val="none" w:sz="0" w:space="0" w:color="auto"/>
        <w:right w:val="none" w:sz="0" w:space="0" w:color="auto"/>
      </w:divBdr>
    </w:div>
    <w:div w:id="804126779">
      <w:bodyDiv w:val="1"/>
      <w:marLeft w:val="0"/>
      <w:marRight w:val="0"/>
      <w:marTop w:val="0"/>
      <w:marBottom w:val="0"/>
      <w:divBdr>
        <w:top w:val="none" w:sz="0" w:space="0" w:color="auto"/>
        <w:left w:val="none" w:sz="0" w:space="0" w:color="auto"/>
        <w:bottom w:val="none" w:sz="0" w:space="0" w:color="auto"/>
        <w:right w:val="none" w:sz="0" w:space="0" w:color="auto"/>
      </w:divBdr>
    </w:div>
    <w:div w:id="1212350888">
      <w:bodyDiv w:val="1"/>
      <w:marLeft w:val="0"/>
      <w:marRight w:val="0"/>
      <w:marTop w:val="0"/>
      <w:marBottom w:val="0"/>
      <w:divBdr>
        <w:top w:val="none" w:sz="0" w:space="0" w:color="auto"/>
        <w:left w:val="none" w:sz="0" w:space="0" w:color="auto"/>
        <w:bottom w:val="none" w:sz="0" w:space="0" w:color="auto"/>
        <w:right w:val="none" w:sz="0" w:space="0" w:color="auto"/>
      </w:divBdr>
    </w:div>
    <w:div w:id="1560163153">
      <w:bodyDiv w:val="1"/>
      <w:marLeft w:val="0"/>
      <w:marRight w:val="0"/>
      <w:marTop w:val="0"/>
      <w:marBottom w:val="0"/>
      <w:divBdr>
        <w:top w:val="none" w:sz="0" w:space="0" w:color="auto"/>
        <w:left w:val="none" w:sz="0" w:space="0" w:color="auto"/>
        <w:bottom w:val="none" w:sz="0" w:space="0" w:color="auto"/>
        <w:right w:val="none" w:sz="0" w:space="0" w:color="auto"/>
      </w:divBdr>
    </w:div>
    <w:div w:id="1979262862">
      <w:bodyDiv w:val="1"/>
      <w:marLeft w:val="0"/>
      <w:marRight w:val="0"/>
      <w:marTop w:val="0"/>
      <w:marBottom w:val="0"/>
      <w:divBdr>
        <w:top w:val="none" w:sz="0" w:space="0" w:color="auto"/>
        <w:left w:val="none" w:sz="0" w:space="0" w:color="auto"/>
        <w:bottom w:val="none" w:sz="0" w:space="0" w:color="auto"/>
        <w:right w:val="none" w:sz="0" w:space="0" w:color="auto"/>
      </w:divBdr>
      <w:divsChild>
        <w:div w:id="1173454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5929\OneDrive%20-%20Panasonic\Standardization%20Work\11bf%20CR%20documents\Reporting%20Link%20Identification%20for%20R2R%20Sens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Reporting Link Identification for R2R Sensing</Template>
  <TotalTime>78</TotalTime>
  <Pages>4</Pages>
  <Words>511</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PUSHKARNA_Rajat</dc:creator>
  <cp:keywords>Month Year</cp:keywords>
  <dc:description>John Doe, Some Company</dc:description>
  <cp:lastModifiedBy>Rajat PUSHKARNA</cp:lastModifiedBy>
  <cp:revision>28</cp:revision>
  <cp:lastPrinted>1899-12-31T16:00:00Z</cp:lastPrinted>
  <dcterms:created xsi:type="dcterms:W3CDTF">2022-11-09T04:02:00Z</dcterms:created>
  <dcterms:modified xsi:type="dcterms:W3CDTF">2022-11-09T05:21:00Z</dcterms:modified>
</cp:coreProperties>
</file>