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E66EE04" w:rsidR="00C723BC" w:rsidRPr="00183F4C" w:rsidRDefault="00B054B4" w:rsidP="00BA1853">
            <w:pPr>
              <w:pStyle w:val="T2"/>
            </w:pPr>
            <w:r>
              <w:t xml:space="preserve">LB 266 CR for </w:t>
            </w:r>
            <w:r w:rsidR="00900D73">
              <w:t>EMLSR Misc.</w:t>
            </w:r>
            <w:r w:rsidR="00896DE0">
              <w:t xml:space="preserve"> 2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A88941F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 w:rsidR="00900D73">
              <w:rPr>
                <w:b w:val="0"/>
                <w:sz w:val="20"/>
                <w:lang w:eastAsia="ko-KR"/>
              </w:rPr>
              <w:t>1</w:t>
            </w:r>
            <w:r w:rsidR="00896DE0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96DE0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0682DF35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896DE0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LB266</w:t>
                            </w:r>
                          </w:p>
                          <w:p w14:paraId="69159309" w14:textId="04A73624" w:rsidR="00A3456B" w:rsidRPr="00A3456B" w:rsidRDefault="00B054B4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A35C45">
                              <w:rPr>
                                <w:lang w:eastAsia="ko-KR"/>
                              </w:rPr>
                              <w:t>13854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2899344D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18783528" w14:textId="52730498" w:rsidR="004B32EB" w:rsidRDefault="004B32EB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Reject the comment</w:t>
                            </w:r>
                          </w:p>
                          <w:p w14:paraId="5F40E9B1" w14:textId="27124133" w:rsidR="009F2504" w:rsidRDefault="009F2504" w:rsidP="009F2504">
                            <w:pPr>
                              <w:jc w:val="both"/>
                            </w:pP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30C5B15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2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XwBwIAAPADAAAOAAAAZHJzL2Uyb0RvYy54bWysU8tu2zAQvBfoPxC817Id260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0682DF35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896DE0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LB266</w:t>
                      </w:r>
                    </w:p>
                    <w:p w14:paraId="69159309" w14:textId="04A73624" w:rsidR="00A3456B" w:rsidRPr="00A3456B" w:rsidRDefault="00B054B4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 w:rsidR="00A35C45">
                        <w:rPr>
                          <w:lang w:eastAsia="ko-KR"/>
                        </w:rPr>
                        <w:t>13854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2899344D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18783528" w14:textId="52730498" w:rsidR="004B32EB" w:rsidRDefault="004B32EB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Reject the comment</w:t>
                      </w:r>
                    </w:p>
                    <w:p w14:paraId="5F40E9B1" w14:textId="27124133" w:rsidR="009F2504" w:rsidRDefault="009F2504" w:rsidP="009F2504">
                      <w:pPr>
                        <w:jc w:val="both"/>
                      </w:pP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30C5B15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2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60EC0" w:rsidRPr="008B0293" w14:paraId="2527D1C5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812324" w14:textId="2F346D3C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13854</w:t>
            </w:r>
          </w:p>
        </w:tc>
        <w:tc>
          <w:tcPr>
            <w:tcW w:w="1276" w:type="dxa"/>
          </w:tcPr>
          <w:p w14:paraId="192E1949" w14:textId="094F65ED" w:rsidR="00C60EC0" w:rsidRPr="007B2E1F" w:rsidRDefault="00C60EC0" w:rsidP="00C60EC0">
            <w:pPr>
              <w:suppressAutoHyphens/>
              <w:rPr>
                <w:sz w:val="20"/>
              </w:rPr>
            </w:pPr>
            <w:proofErr w:type="spellStart"/>
            <w:r w:rsidRPr="007B2E1F">
              <w:rPr>
                <w:sz w:val="20"/>
              </w:rPr>
              <w:t>Sanghyun</w:t>
            </w:r>
            <w:proofErr w:type="spellEnd"/>
            <w:r w:rsidRPr="007B2E1F">
              <w:rPr>
                <w:sz w:val="20"/>
              </w:rPr>
              <w:t xml:space="preserve"> Kim</w:t>
            </w:r>
          </w:p>
        </w:tc>
        <w:tc>
          <w:tcPr>
            <w:tcW w:w="708" w:type="dxa"/>
            <w:shd w:val="clear" w:color="auto" w:fill="auto"/>
            <w:noWrap/>
          </w:tcPr>
          <w:p w14:paraId="188CCD14" w14:textId="4605E161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35.3.17</w:t>
            </w:r>
          </w:p>
        </w:tc>
        <w:tc>
          <w:tcPr>
            <w:tcW w:w="894" w:type="dxa"/>
          </w:tcPr>
          <w:p w14:paraId="6CA43DA6" w14:textId="6AA42D7D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461.55</w:t>
            </w:r>
          </w:p>
        </w:tc>
        <w:tc>
          <w:tcPr>
            <w:tcW w:w="2235" w:type="dxa"/>
            <w:shd w:val="clear" w:color="auto" w:fill="auto"/>
            <w:noWrap/>
          </w:tcPr>
          <w:p w14:paraId="73DDEAC9" w14:textId="3771F9CA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There are cases that only one EMLSR link is enabled.</w:t>
            </w:r>
            <w:r w:rsidRPr="007B2E1F">
              <w:rPr>
                <w:sz w:val="20"/>
              </w:rPr>
              <w:br/>
            </w:r>
            <w:r w:rsidRPr="007B2E1F">
              <w:rPr>
                <w:sz w:val="20"/>
              </w:rPr>
              <w:br/>
              <w:t>For example:</w:t>
            </w:r>
            <w:r w:rsidRPr="007B2E1F">
              <w:rPr>
                <w:sz w:val="20"/>
              </w:rPr>
              <w:br/>
              <w:t xml:space="preserve">1. One of the two EMLSR links is removed after a reconfiguration procedure performed by </w:t>
            </w:r>
            <w:proofErr w:type="gramStart"/>
            <w:r w:rsidRPr="007B2E1F">
              <w:rPr>
                <w:sz w:val="20"/>
              </w:rPr>
              <w:t>a</w:t>
            </w:r>
            <w:proofErr w:type="gramEnd"/>
            <w:r w:rsidRPr="007B2E1F">
              <w:rPr>
                <w:sz w:val="20"/>
              </w:rPr>
              <w:t xml:space="preserve"> AP MLD.</w:t>
            </w:r>
            <w:r w:rsidRPr="007B2E1F">
              <w:rPr>
                <w:sz w:val="20"/>
              </w:rPr>
              <w:br/>
              <w:t>2. One of the two EMLSR links is disabled by a newly negotiated TID-to-Link mapping.</w:t>
            </w:r>
            <w:r w:rsidRPr="007B2E1F">
              <w:rPr>
                <w:sz w:val="20"/>
              </w:rPr>
              <w:br/>
            </w:r>
            <w:r w:rsidRPr="007B2E1F">
              <w:rPr>
                <w:sz w:val="20"/>
              </w:rPr>
              <w:br/>
              <w:t>A non-AP MLD does not need to operate in the EMLSR mode if the non-AP MLD has only the single (enabled) EMLSR link, this is because the EMLSR mode cause unnecessary overhead with no benefit for this case.</w:t>
            </w:r>
          </w:p>
        </w:tc>
        <w:tc>
          <w:tcPr>
            <w:tcW w:w="1985" w:type="dxa"/>
            <w:shd w:val="clear" w:color="auto" w:fill="auto"/>
            <w:noWrap/>
          </w:tcPr>
          <w:p w14:paraId="23850700" w14:textId="2A888B02" w:rsidR="00C60EC0" w:rsidRPr="007B2E1F" w:rsidRDefault="00C60EC0" w:rsidP="00C60EC0">
            <w:pPr>
              <w:suppressAutoHyphens/>
              <w:rPr>
                <w:sz w:val="20"/>
              </w:rPr>
            </w:pPr>
            <w:r w:rsidRPr="007B2E1F">
              <w:rPr>
                <w:sz w:val="20"/>
              </w:rPr>
              <w:t>Please define a restriction on the EMLSR mode operation regarding the number of enabled EMLSR links.</w:t>
            </w:r>
            <w:r w:rsidRPr="007B2E1F">
              <w:rPr>
                <w:sz w:val="20"/>
              </w:rPr>
              <w:br/>
            </w:r>
            <w:r w:rsidRPr="007B2E1F">
              <w:rPr>
                <w:sz w:val="20"/>
              </w:rPr>
              <w:br/>
              <w:t xml:space="preserve">If a non-AP MLD has only one EMLSR link enabled, the AP MLD and the non-AP MLD shall consider that the EMLSR mode of the non-AP MLD is deactivated without additional </w:t>
            </w:r>
            <w:proofErr w:type="spellStart"/>
            <w:r w:rsidRPr="007B2E1F">
              <w:rPr>
                <w:sz w:val="20"/>
              </w:rPr>
              <w:t>signaling</w:t>
            </w:r>
            <w:proofErr w:type="spellEnd"/>
            <w:r w:rsidRPr="007B2E1F">
              <w:rPr>
                <w:sz w:val="20"/>
              </w:rPr>
              <w:t>.</w:t>
            </w:r>
          </w:p>
        </w:tc>
        <w:tc>
          <w:tcPr>
            <w:tcW w:w="3391" w:type="dxa"/>
            <w:shd w:val="clear" w:color="auto" w:fill="auto"/>
          </w:tcPr>
          <w:p w14:paraId="682FDC03" w14:textId="30CFAD1B" w:rsidR="00C60EC0" w:rsidRPr="0099601D" w:rsidRDefault="00C60EC0" w:rsidP="00C60EC0">
            <w:pPr>
              <w:suppressAutoHyphens/>
              <w:rPr>
                <w:b/>
                <w:sz w:val="20"/>
              </w:rPr>
            </w:pPr>
            <w:r w:rsidRPr="0099601D">
              <w:rPr>
                <w:b/>
                <w:sz w:val="20"/>
              </w:rPr>
              <w:t>Re</w:t>
            </w:r>
            <w:r w:rsidR="004B32EB">
              <w:rPr>
                <w:b/>
                <w:sz w:val="20"/>
              </w:rPr>
              <w:t>jected</w:t>
            </w:r>
          </w:p>
          <w:p w14:paraId="321893EF" w14:textId="77777777" w:rsidR="00C60EC0" w:rsidRDefault="00C60EC0" w:rsidP="00C60EC0">
            <w:pPr>
              <w:suppressAutoHyphens/>
              <w:rPr>
                <w:bCs/>
                <w:sz w:val="20"/>
              </w:rPr>
            </w:pPr>
          </w:p>
          <w:p w14:paraId="21257B1E" w14:textId="2934572B" w:rsidR="00C60EC0" w:rsidRDefault="00C60EC0" w:rsidP="00C60EC0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r>
              <w:rPr>
                <w:rFonts w:eastAsia="新細明體" w:hint="eastAsia"/>
                <w:bCs/>
                <w:sz w:val="20"/>
                <w:lang w:eastAsia="zh-TW"/>
              </w:rPr>
              <w:t>I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t is possible that a non-AP MLD </w:t>
            </w:r>
            <w:r w:rsidR="00135731">
              <w:rPr>
                <w:rFonts w:eastAsia="新細明體"/>
                <w:bCs/>
                <w:sz w:val="20"/>
                <w:lang w:eastAsia="zh-TW"/>
              </w:rPr>
              <w:t xml:space="preserve">wants to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keep operating in EMLSR mode when there is only one </w:t>
            </w:r>
            <w:r w:rsidR="00F240BC">
              <w:rPr>
                <w:rFonts w:eastAsia="新細明體"/>
                <w:bCs/>
                <w:sz w:val="20"/>
                <w:lang w:eastAsia="zh-TW"/>
              </w:rPr>
              <w:t xml:space="preserve">enabled </w:t>
            </w:r>
            <w:r>
              <w:rPr>
                <w:rFonts w:eastAsia="新細明體"/>
                <w:bCs/>
                <w:sz w:val="20"/>
                <w:lang w:eastAsia="zh-TW"/>
              </w:rPr>
              <w:t>EMLSR link</w:t>
            </w:r>
            <w:r w:rsidR="00135731">
              <w:rPr>
                <w:rFonts w:eastAsia="新細明體"/>
                <w:bCs/>
                <w:sz w:val="20"/>
                <w:lang w:eastAsia="zh-TW"/>
              </w:rPr>
              <w:t xml:space="preserve"> left after ML reconfiguration or TID-to-</w:t>
            </w:r>
            <w:proofErr w:type="spellStart"/>
            <w:r w:rsidR="00135731">
              <w:rPr>
                <w:rFonts w:eastAsia="新細明體"/>
                <w:bCs/>
                <w:sz w:val="20"/>
                <w:lang w:eastAsia="zh-TW"/>
              </w:rPr>
              <w:t>linkg</w:t>
            </w:r>
            <w:proofErr w:type="spellEnd"/>
            <w:r w:rsidR="00135731">
              <w:rPr>
                <w:rFonts w:eastAsia="新細明體"/>
                <w:bCs/>
                <w:sz w:val="20"/>
                <w:lang w:eastAsia="zh-TW"/>
              </w:rPr>
              <w:t xml:space="preserve"> mapping negotiation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. It may bring power save benefit. </w:t>
            </w:r>
            <w:r w:rsidR="00646A64">
              <w:rPr>
                <w:rFonts w:eastAsia="新細明體"/>
                <w:bCs/>
                <w:sz w:val="20"/>
                <w:lang w:eastAsia="zh-TW"/>
              </w:rPr>
              <w:t xml:space="preserve"> </w:t>
            </w:r>
            <w:r w:rsidR="00646A64">
              <w:rPr>
                <w:rFonts w:eastAsia="新細明體"/>
                <w:bCs/>
                <w:sz w:val="20"/>
                <w:lang w:eastAsia="zh-TW"/>
              </w:rPr>
              <w:t xml:space="preserve">Also, in current EMLSR rules, it </w:t>
            </w:r>
            <w:proofErr w:type="gramStart"/>
            <w:r w:rsidR="00646A64">
              <w:rPr>
                <w:rFonts w:eastAsia="新細明體"/>
                <w:bCs/>
                <w:sz w:val="20"/>
                <w:lang w:eastAsia="zh-TW"/>
              </w:rPr>
              <w:t>is allowed to</w:t>
            </w:r>
            <w:proofErr w:type="gramEnd"/>
            <w:r w:rsidR="00646A64">
              <w:rPr>
                <w:rFonts w:eastAsia="新細明體"/>
                <w:bCs/>
                <w:sz w:val="20"/>
                <w:lang w:eastAsia="zh-TW"/>
              </w:rPr>
              <w:t xml:space="preserve"> set up only one EMLSR link. </w:t>
            </w:r>
            <w:r>
              <w:rPr>
                <w:rFonts w:eastAsia="新細明體"/>
                <w:bCs/>
                <w:sz w:val="20"/>
                <w:lang w:eastAsia="zh-TW"/>
              </w:rPr>
              <w:t xml:space="preserve">Thus, in such case, it is not necessary to force the non-AP MLD to disable the EMLSR mode. </w:t>
            </w:r>
          </w:p>
          <w:p w14:paraId="79725E76" w14:textId="77777777" w:rsidR="00C60EC0" w:rsidRDefault="00C60EC0" w:rsidP="00C60EC0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  <w:p w14:paraId="416A46B8" w14:textId="199E01F2" w:rsidR="00C60EC0" w:rsidRPr="00DB66DE" w:rsidRDefault="00C60EC0" w:rsidP="00C60EC0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B32B0F5" w14:textId="632F50E3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18DE97EA" w14:textId="2E76AC4C" w:rsidR="00EE07E0" w:rsidRDefault="00EE07E0" w:rsidP="00F52CA3">
      <w:pPr>
        <w:jc w:val="both"/>
        <w:rPr>
          <w:rFonts w:eastAsia="新細明體"/>
          <w:sz w:val="18"/>
          <w:szCs w:val="18"/>
          <w:lang w:eastAsia="zh-TW"/>
        </w:rPr>
      </w:pPr>
    </w:p>
    <w:p w14:paraId="5D5EC612" w14:textId="17E1829F" w:rsidR="00A52294" w:rsidRDefault="00A52294" w:rsidP="00EF1014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9D83C83" w14:textId="615A63F5" w:rsidR="00A52294" w:rsidRPr="00EF1014" w:rsidRDefault="00A52294" w:rsidP="00EF1014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r>
        <w:rPr>
          <w:rFonts w:eastAsia="新細明體"/>
          <w:color w:val="C00000"/>
          <w:sz w:val="24"/>
          <w:szCs w:val="24"/>
          <w:lang w:eastAsia="zh-TW"/>
        </w:rPr>
        <w:t xml:space="preserve"> </w:t>
      </w:r>
    </w:p>
    <w:sectPr w:rsidR="00A52294" w:rsidRPr="00EF1014" w:rsidSect="002410A1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07A3A" w14:textId="77777777" w:rsidR="00E8513D" w:rsidRDefault="00E8513D">
      <w:r>
        <w:separator/>
      </w:r>
    </w:p>
  </w:endnote>
  <w:endnote w:type="continuationSeparator" w:id="0">
    <w:p w14:paraId="3DE38209" w14:textId="77777777" w:rsidR="00E8513D" w:rsidRDefault="00E8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344E" w14:textId="0F61581A" w:rsidR="00DA3D06" w:rsidRDefault="00C9282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2A99D" w14:textId="77777777" w:rsidR="00E8513D" w:rsidRDefault="00E8513D">
      <w:r>
        <w:separator/>
      </w:r>
    </w:p>
  </w:footnote>
  <w:footnote w:type="continuationSeparator" w:id="0">
    <w:p w14:paraId="59B85ED6" w14:textId="77777777" w:rsidR="00E8513D" w:rsidRDefault="00E8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CE14" w14:textId="56BF804A" w:rsidR="00DA3D06" w:rsidRDefault="00896DE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4E46DF">
      <w:rPr>
        <w:lang w:eastAsia="ko-KR"/>
      </w:rPr>
      <w:t xml:space="preserve"> </w:t>
    </w:r>
    <w:r w:rsidR="00DA3D06">
      <w:t>20</w:t>
    </w:r>
    <w:r w:rsidR="006511AD">
      <w:t>22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802.11-22/</w:t>
      </w:r>
      <w:r w:rsidR="002410A1">
        <w:t>1</w:t>
      </w:r>
      <w:r w:rsidR="008C06AE">
        <w:t>898</w:t>
      </w:r>
      <w:r w:rsidR="006511AD" w:rsidRPr="006511AD">
        <w:t>r</w:t>
      </w:r>
    </w:fldSimple>
    <w:r w:rsidR="004B32E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A29AE"/>
    <w:rsid w:val="000B4023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731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C295F"/>
    <w:rsid w:val="001C7CCE"/>
    <w:rsid w:val="001D15ED"/>
    <w:rsid w:val="001D20B8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0A1"/>
    <w:rsid w:val="00241AD7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EF3"/>
    <w:rsid w:val="0031705E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32EB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32D20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2295"/>
    <w:rsid w:val="00583212"/>
    <w:rsid w:val="005842A0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46A64"/>
    <w:rsid w:val="006511AD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7583"/>
    <w:rsid w:val="00887717"/>
    <w:rsid w:val="00891445"/>
    <w:rsid w:val="0089251E"/>
    <w:rsid w:val="00892A42"/>
    <w:rsid w:val="00896DE0"/>
    <w:rsid w:val="00897183"/>
    <w:rsid w:val="008A5AFD"/>
    <w:rsid w:val="008A61E3"/>
    <w:rsid w:val="008B03E5"/>
    <w:rsid w:val="008B47B4"/>
    <w:rsid w:val="008B5396"/>
    <w:rsid w:val="008C06AE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5EA3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344B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30F5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5869"/>
    <w:rsid w:val="00BD003A"/>
    <w:rsid w:val="00BD0A13"/>
    <w:rsid w:val="00BD119D"/>
    <w:rsid w:val="00BD1D45"/>
    <w:rsid w:val="00BD3099"/>
    <w:rsid w:val="00BD3E62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1E78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624E2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282A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F0C93"/>
    <w:rsid w:val="00CF16FB"/>
    <w:rsid w:val="00CF2295"/>
    <w:rsid w:val="00CF3343"/>
    <w:rsid w:val="00CF3BDE"/>
    <w:rsid w:val="00CF5724"/>
    <w:rsid w:val="00D07ABE"/>
    <w:rsid w:val="00D12917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22BE8"/>
    <w:rsid w:val="00E33B8F"/>
    <w:rsid w:val="00E44336"/>
    <w:rsid w:val="00E53C1B"/>
    <w:rsid w:val="00E54D26"/>
    <w:rsid w:val="00E5708C"/>
    <w:rsid w:val="00E610D6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513D"/>
    <w:rsid w:val="00E873C2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F04FF6"/>
    <w:rsid w:val="00F05585"/>
    <w:rsid w:val="00F109FC"/>
    <w:rsid w:val="00F17CAD"/>
    <w:rsid w:val="00F240BC"/>
    <w:rsid w:val="00F2561F"/>
    <w:rsid w:val="00F2637D"/>
    <w:rsid w:val="00F2795B"/>
    <w:rsid w:val="00F309F3"/>
    <w:rsid w:val="00F342FD"/>
    <w:rsid w:val="00F34E9E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506A"/>
    <w:rsid w:val="00FB6C2B"/>
    <w:rsid w:val="00FC08A6"/>
    <w:rsid w:val="00FC124F"/>
    <w:rsid w:val="00FC18E0"/>
    <w:rsid w:val="00FC1FE4"/>
    <w:rsid w:val="00FC20C3"/>
    <w:rsid w:val="00FC29BA"/>
    <w:rsid w:val="00FC2EF2"/>
    <w:rsid w:val="00FC4DC5"/>
    <w:rsid w:val="00FC64E4"/>
    <w:rsid w:val="00FD3B71"/>
    <w:rsid w:val="00FD529F"/>
    <w:rsid w:val="00FD554D"/>
    <w:rsid w:val="00FD5B24"/>
    <w:rsid w:val="00FD6205"/>
    <w:rsid w:val="00FD7775"/>
    <w:rsid w:val="00FE31E9"/>
    <w:rsid w:val="00FE362B"/>
    <w:rsid w:val="00FE37EF"/>
    <w:rsid w:val="00FE4197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semiHidden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semiHidden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2114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Hsu (徐建芳)</cp:lastModifiedBy>
  <cp:revision>7</cp:revision>
  <cp:lastPrinted>2010-05-04T03:47:00Z</cp:lastPrinted>
  <dcterms:created xsi:type="dcterms:W3CDTF">2022-12-07T16:56:00Z</dcterms:created>
  <dcterms:modified xsi:type="dcterms:W3CDTF">2022-12-08T06:46:00Z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