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2A15692" w:rsidR="00B6527E" w:rsidRDefault="00D02A35" w:rsidP="00642364">
            <w:pPr>
              <w:pStyle w:val="T2"/>
              <w:rPr>
                <w:lang w:eastAsia="zh-CN"/>
              </w:rPr>
            </w:pPr>
            <w:r w:rsidRPr="00D02A35">
              <w:rPr>
                <w:lang w:eastAsia="zh-CN"/>
              </w:rPr>
              <w:t>LB266 CR for Leftover CIDs</w:t>
            </w:r>
          </w:p>
        </w:tc>
      </w:tr>
      <w:tr w:rsidR="00B6527E" w14:paraId="071CDBB3" w14:textId="77777777" w:rsidTr="007E52CB">
        <w:trPr>
          <w:trHeight w:val="359"/>
          <w:jc w:val="center"/>
        </w:trPr>
        <w:tc>
          <w:tcPr>
            <w:tcW w:w="9576" w:type="dxa"/>
            <w:gridSpan w:val="5"/>
            <w:vAlign w:val="center"/>
          </w:tcPr>
          <w:p w14:paraId="43614EE7" w14:textId="0B131945" w:rsidR="00B6527E" w:rsidRDefault="00B6527E" w:rsidP="00210E1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210E1C">
              <w:rPr>
                <w:b w:val="0"/>
                <w:sz w:val="20"/>
              </w:rPr>
              <w:t>10</w:t>
            </w:r>
            <w:r>
              <w:rPr>
                <w:b w:val="0"/>
                <w:sz w:val="20"/>
              </w:rPr>
              <w:t>-</w:t>
            </w:r>
            <w:r w:rsidR="00210E1C">
              <w:rPr>
                <w:b w:val="0"/>
                <w:sz w:val="20"/>
              </w:rPr>
              <w:t>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642364">
                              <w:rPr>
                                <w:lang w:eastAsia="ko-KR"/>
                              </w:rPr>
                              <w:t>2</w:t>
                            </w:r>
                            <w:r>
                              <w:rPr>
                                <w:rFonts w:hint="eastAsia"/>
                                <w:lang w:eastAsia="ko-KR"/>
                              </w:rPr>
                              <w:t>.</w:t>
                            </w:r>
                          </w:p>
                          <w:p w14:paraId="1A97D349" w14:textId="77777777" w:rsidR="007205AE" w:rsidRDefault="007205AE" w:rsidP="00C92D89">
                            <w:pPr>
                              <w:rPr>
                                <w:lang w:eastAsia="ko-KR"/>
                              </w:rPr>
                            </w:pPr>
                          </w:p>
                          <w:p w14:paraId="3C201A44" w14:textId="7C54B8D8" w:rsidR="003F6F4A" w:rsidRDefault="002B199F" w:rsidP="00657DC3">
                            <w:pPr>
                              <w:rPr>
                                <w:rFonts w:eastAsia="Malgun Gothic"/>
                                <w:lang w:eastAsia="ko-KR"/>
                              </w:rPr>
                            </w:pPr>
                            <w:r w:rsidRPr="002B199F">
                              <w:rPr>
                                <w:rFonts w:eastAsia="Malgun Gothic"/>
                                <w:lang w:eastAsia="ko-KR"/>
                              </w:rPr>
                              <w:t>12588</w:t>
                            </w:r>
                            <w:r>
                              <w:rPr>
                                <w:rFonts w:eastAsia="Malgun Gothic"/>
                                <w:lang w:eastAsia="ko-KR"/>
                              </w:rPr>
                              <w:t xml:space="preserve">  </w:t>
                            </w:r>
                            <w:r w:rsidRPr="002B199F">
                              <w:rPr>
                                <w:rFonts w:eastAsia="Malgun Gothic"/>
                                <w:lang w:eastAsia="ko-KR"/>
                              </w:rPr>
                              <w:t>11879</w:t>
                            </w:r>
                            <w:r>
                              <w:rPr>
                                <w:rFonts w:eastAsia="Malgun Gothic"/>
                                <w:lang w:eastAsia="ko-KR"/>
                              </w:rPr>
                              <w:t xml:space="preserve">  </w:t>
                            </w:r>
                            <w:r w:rsidRPr="002B199F">
                              <w:rPr>
                                <w:rFonts w:eastAsia="Malgun Gothic"/>
                                <w:lang w:eastAsia="ko-KR"/>
                              </w:rPr>
                              <w:t>13598</w:t>
                            </w:r>
                            <w:r>
                              <w:rPr>
                                <w:rFonts w:eastAsia="Malgun Gothic"/>
                                <w:lang w:eastAsia="ko-KR"/>
                              </w:rPr>
                              <w:t xml:space="preserve">  </w:t>
                            </w:r>
                            <w:r w:rsidRPr="002B199F">
                              <w:rPr>
                                <w:rFonts w:eastAsia="Malgun Gothic"/>
                                <w:lang w:eastAsia="ko-KR"/>
                              </w:rPr>
                              <w:t>13244</w:t>
                            </w:r>
                            <w:r>
                              <w:rPr>
                                <w:rFonts w:eastAsia="Malgun Gothic"/>
                                <w:lang w:eastAsia="ko-KR"/>
                              </w:rPr>
                              <w:t xml:space="preserve">  </w:t>
                            </w:r>
                            <w:r w:rsidRPr="002B199F">
                              <w:rPr>
                                <w:rFonts w:eastAsia="Malgun Gothic"/>
                                <w:lang w:eastAsia="ko-KR"/>
                              </w:rPr>
                              <w:t>10666</w:t>
                            </w:r>
                            <w:r>
                              <w:rPr>
                                <w:rFonts w:eastAsia="Malgun Gothic"/>
                                <w:lang w:eastAsia="ko-KR"/>
                              </w:rPr>
                              <w:t xml:space="preserve">  </w:t>
                            </w:r>
                            <w:r w:rsidRPr="002B199F">
                              <w:rPr>
                                <w:rFonts w:eastAsia="Malgun Gothic"/>
                                <w:lang w:eastAsia="ko-KR"/>
                              </w:rPr>
                              <w:t>11880</w:t>
                            </w:r>
                            <w:r>
                              <w:rPr>
                                <w:rFonts w:eastAsia="Malgun Gothic"/>
                                <w:lang w:eastAsia="ko-KR"/>
                              </w:rPr>
                              <w:t xml:space="preserve">  </w:t>
                            </w:r>
                            <w:r w:rsidRPr="002B199F">
                              <w:rPr>
                                <w:rFonts w:eastAsia="Malgun Gothic"/>
                                <w:lang w:eastAsia="ko-KR"/>
                              </w:rPr>
                              <w:t>11373</w:t>
                            </w:r>
                            <w:r>
                              <w:rPr>
                                <w:rFonts w:eastAsia="Malgun Gothic"/>
                                <w:lang w:eastAsia="ko-KR"/>
                              </w:rPr>
                              <w:t xml:space="preserve">  </w:t>
                            </w:r>
                            <w:r w:rsidRPr="002B199F">
                              <w:rPr>
                                <w:rFonts w:eastAsia="Malgun Gothic"/>
                                <w:lang w:eastAsia="ko-KR"/>
                              </w:rPr>
                              <w:t>10667</w:t>
                            </w:r>
                            <w:r>
                              <w:rPr>
                                <w:rFonts w:eastAsia="Malgun Gothic"/>
                                <w:lang w:eastAsia="ko-KR"/>
                              </w:rPr>
                              <w:t xml:space="preserve">  </w:t>
                            </w:r>
                            <w:r w:rsidRPr="002B199F">
                              <w:rPr>
                                <w:rFonts w:eastAsia="Malgun Gothic"/>
                                <w:lang w:eastAsia="ko-KR"/>
                              </w:rPr>
                              <w:t>11951</w:t>
                            </w:r>
                            <w:r>
                              <w:rPr>
                                <w:rFonts w:eastAsia="Malgun Gothic"/>
                                <w:lang w:eastAsia="ko-KR"/>
                              </w:rPr>
                              <w:t xml:space="preserve">  </w:t>
                            </w:r>
                            <w:r w:rsidRPr="002B199F">
                              <w:rPr>
                                <w:rFonts w:eastAsia="Malgun Gothic"/>
                                <w:lang w:eastAsia="ko-KR"/>
                              </w:rPr>
                              <w:t>11156</w:t>
                            </w:r>
                            <w:r w:rsidR="00657DC3">
                              <w:rPr>
                                <w:rFonts w:eastAsia="Malgun Gothic"/>
                                <w:lang w:eastAsia="ko-KR"/>
                              </w:rPr>
                              <w:t xml:space="preserve"> </w:t>
                            </w:r>
                            <w:r w:rsidR="00657DC3" w:rsidRPr="00657DC3">
                              <w:rPr>
                                <w:rFonts w:eastAsia="Malgun Gothic"/>
                                <w:lang w:eastAsia="ko-KR"/>
                              </w:rPr>
                              <w:t>12347</w:t>
                            </w:r>
                            <w:r w:rsidR="00657DC3">
                              <w:rPr>
                                <w:rFonts w:eastAsia="Malgun Gothic"/>
                                <w:lang w:eastAsia="ko-KR"/>
                              </w:rPr>
                              <w:t xml:space="preserve"> </w:t>
                            </w:r>
                            <w:r w:rsidR="00657DC3" w:rsidRPr="00657DC3">
                              <w:rPr>
                                <w:rFonts w:eastAsia="Malgun Gothic"/>
                                <w:lang w:eastAsia="ko-KR"/>
                              </w:rPr>
                              <w:t>13873</w:t>
                            </w:r>
                            <w:r w:rsidR="00657DC3">
                              <w:rPr>
                                <w:rFonts w:eastAsia="Malgun Gothic"/>
                                <w:lang w:eastAsia="ko-KR"/>
                              </w:rPr>
                              <w:t xml:space="preserve"> </w:t>
                            </w:r>
                            <w:r w:rsidR="00657DC3" w:rsidRPr="00783278">
                              <w:rPr>
                                <w:rFonts w:eastAsia="Malgun Gothic"/>
                                <w:strike/>
                                <w:lang w:eastAsia="ko-KR"/>
                              </w:rPr>
                              <w:t>11833</w:t>
                            </w:r>
                            <w:r w:rsidR="003E7EA8" w:rsidRPr="00783278">
                              <w:rPr>
                                <w:rFonts w:eastAsia="Malgun Gothic"/>
                                <w:strike/>
                                <w:lang w:eastAsia="ko-KR"/>
                              </w:rPr>
                              <w:t xml:space="preserve"> </w:t>
                            </w:r>
                            <w:r w:rsidR="003E7EA8">
                              <w:rPr>
                                <w:rFonts w:eastAsia="Malgun Gothic"/>
                                <w:lang w:eastAsia="ko-KR"/>
                              </w:rPr>
                              <w:t>(13 CIDs)</w:t>
                            </w:r>
                          </w:p>
                          <w:p w14:paraId="2100D2A0" w14:textId="77777777" w:rsidR="002B199F" w:rsidRDefault="002B199F" w:rsidP="002B199F">
                            <w:pPr>
                              <w:rPr>
                                <w:rFonts w:eastAsia="Malgun Gothic"/>
                                <w:lang w:eastAsia="ko-KR"/>
                              </w:rPr>
                            </w:pPr>
                          </w:p>
                          <w:p w14:paraId="379CFDAC" w14:textId="77777777" w:rsidR="002B199F" w:rsidRDefault="002B199F" w:rsidP="002B199F"/>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642364">
                        <w:rPr>
                          <w:lang w:eastAsia="ko-KR"/>
                        </w:rPr>
                        <w:t>2</w:t>
                      </w:r>
                      <w:r>
                        <w:rPr>
                          <w:rFonts w:hint="eastAsia"/>
                          <w:lang w:eastAsia="ko-KR"/>
                        </w:rPr>
                        <w:t>.</w:t>
                      </w:r>
                    </w:p>
                    <w:p w14:paraId="1A97D349" w14:textId="77777777" w:rsidR="007205AE" w:rsidRDefault="007205AE" w:rsidP="00C92D89">
                      <w:pPr>
                        <w:rPr>
                          <w:lang w:eastAsia="ko-KR"/>
                        </w:rPr>
                      </w:pPr>
                    </w:p>
                    <w:p w14:paraId="3C201A44" w14:textId="7C54B8D8" w:rsidR="003F6F4A" w:rsidRDefault="002B199F" w:rsidP="00657DC3">
                      <w:pPr>
                        <w:rPr>
                          <w:rFonts w:eastAsia="Malgun Gothic"/>
                          <w:lang w:eastAsia="ko-KR"/>
                        </w:rPr>
                      </w:pPr>
                      <w:r w:rsidRPr="002B199F">
                        <w:rPr>
                          <w:rFonts w:eastAsia="Malgun Gothic"/>
                          <w:lang w:eastAsia="ko-KR"/>
                        </w:rPr>
                        <w:t>12588</w:t>
                      </w:r>
                      <w:r>
                        <w:rPr>
                          <w:rFonts w:eastAsia="Malgun Gothic"/>
                          <w:lang w:eastAsia="ko-KR"/>
                        </w:rPr>
                        <w:t xml:space="preserve">  </w:t>
                      </w:r>
                      <w:r w:rsidRPr="002B199F">
                        <w:rPr>
                          <w:rFonts w:eastAsia="Malgun Gothic"/>
                          <w:lang w:eastAsia="ko-KR"/>
                        </w:rPr>
                        <w:t>11879</w:t>
                      </w:r>
                      <w:r>
                        <w:rPr>
                          <w:rFonts w:eastAsia="Malgun Gothic"/>
                          <w:lang w:eastAsia="ko-KR"/>
                        </w:rPr>
                        <w:t xml:space="preserve">  </w:t>
                      </w:r>
                      <w:r w:rsidRPr="002B199F">
                        <w:rPr>
                          <w:rFonts w:eastAsia="Malgun Gothic"/>
                          <w:lang w:eastAsia="ko-KR"/>
                        </w:rPr>
                        <w:t>13598</w:t>
                      </w:r>
                      <w:r>
                        <w:rPr>
                          <w:rFonts w:eastAsia="Malgun Gothic"/>
                          <w:lang w:eastAsia="ko-KR"/>
                        </w:rPr>
                        <w:t xml:space="preserve">  </w:t>
                      </w:r>
                      <w:r w:rsidRPr="002B199F">
                        <w:rPr>
                          <w:rFonts w:eastAsia="Malgun Gothic"/>
                          <w:lang w:eastAsia="ko-KR"/>
                        </w:rPr>
                        <w:t>13244</w:t>
                      </w:r>
                      <w:r>
                        <w:rPr>
                          <w:rFonts w:eastAsia="Malgun Gothic"/>
                          <w:lang w:eastAsia="ko-KR"/>
                        </w:rPr>
                        <w:t xml:space="preserve">  </w:t>
                      </w:r>
                      <w:r w:rsidRPr="002B199F">
                        <w:rPr>
                          <w:rFonts w:eastAsia="Malgun Gothic"/>
                          <w:lang w:eastAsia="ko-KR"/>
                        </w:rPr>
                        <w:t>10666</w:t>
                      </w:r>
                      <w:r>
                        <w:rPr>
                          <w:rFonts w:eastAsia="Malgun Gothic"/>
                          <w:lang w:eastAsia="ko-KR"/>
                        </w:rPr>
                        <w:t xml:space="preserve">  </w:t>
                      </w:r>
                      <w:r w:rsidRPr="002B199F">
                        <w:rPr>
                          <w:rFonts w:eastAsia="Malgun Gothic"/>
                          <w:lang w:eastAsia="ko-KR"/>
                        </w:rPr>
                        <w:t>11880</w:t>
                      </w:r>
                      <w:r>
                        <w:rPr>
                          <w:rFonts w:eastAsia="Malgun Gothic"/>
                          <w:lang w:eastAsia="ko-KR"/>
                        </w:rPr>
                        <w:t xml:space="preserve">  </w:t>
                      </w:r>
                      <w:r w:rsidRPr="002B199F">
                        <w:rPr>
                          <w:rFonts w:eastAsia="Malgun Gothic"/>
                          <w:lang w:eastAsia="ko-KR"/>
                        </w:rPr>
                        <w:t>11373</w:t>
                      </w:r>
                      <w:r>
                        <w:rPr>
                          <w:rFonts w:eastAsia="Malgun Gothic"/>
                          <w:lang w:eastAsia="ko-KR"/>
                        </w:rPr>
                        <w:t xml:space="preserve">  </w:t>
                      </w:r>
                      <w:r w:rsidRPr="002B199F">
                        <w:rPr>
                          <w:rFonts w:eastAsia="Malgun Gothic"/>
                          <w:lang w:eastAsia="ko-KR"/>
                        </w:rPr>
                        <w:t>10667</w:t>
                      </w:r>
                      <w:r>
                        <w:rPr>
                          <w:rFonts w:eastAsia="Malgun Gothic"/>
                          <w:lang w:eastAsia="ko-KR"/>
                        </w:rPr>
                        <w:t xml:space="preserve">  </w:t>
                      </w:r>
                      <w:r w:rsidRPr="002B199F">
                        <w:rPr>
                          <w:rFonts w:eastAsia="Malgun Gothic"/>
                          <w:lang w:eastAsia="ko-KR"/>
                        </w:rPr>
                        <w:t>11951</w:t>
                      </w:r>
                      <w:r>
                        <w:rPr>
                          <w:rFonts w:eastAsia="Malgun Gothic"/>
                          <w:lang w:eastAsia="ko-KR"/>
                        </w:rPr>
                        <w:t xml:space="preserve">  </w:t>
                      </w:r>
                      <w:r w:rsidRPr="002B199F">
                        <w:rPr>
                          <w:rFonts w:eastAsia="Malgun Gothic"/>
                          <w:lang w:eastAsia="ko-KR"/>
                        </w:rPr>
                        <w:t>11156</w:t>
                      </w:r>
                      <w:r w:rsidR="00657DC3">
                        <w:rPr>
                          <w:rFonts w:eastAsia="Malgun Gothic"/>
                          <w:lang w:eastAsia="ko-KR"/>
                        </w:rPr>
                        <w:t xml:space="preserve"> </w:t>
                      </w:r>
                      <w:r w:rsidR="00657DC3" w:rsidRPr="00657DC3">
                        <w:rPr>
                          <w:rFonts w:eastAsia="Malgun Gothic"/>
                          <w:lang w:eastAsia="ko-KR"/>
                        </w:rPr>
                        <w:t>12347</w:t>
                      </w:r>
                      <w:r w:rsidR="00657DC3">
                        <w:rPr>
                          <w:rFonts w:eastAsia="Malgun Gothic"/>
                          <w:lang w:eastAsia="ko-KR"/>
                        </w:rPr>
                        <w:t xml:space="preserve"> </w:t>
                      </w:r>
                      <w:r w:rsidR="00657DC3" w:rsidRPr="00657DC3">
                        <w:rPr>
                          <w:rFonts w:eastAsia="Malgun Gothic"/>
                          <w:lang w:eastAsia="ko-KR"/>
                        </w:rPr>
                        <w:t>13873</w:t>
                      </w:r>
                      <w:r w:rsidR="00657DC3">
                        <w:rPr>
                          <w:rFonts w:eastAsia="Malgun Gothic"/>
                          <w:lang w:eastAsia="ko-KR"/>
                        </w:rPr>
                        <w:t xml:space="preserve"> </w:t>
                      </w:r>
                      <w:bookmarkStart w:id="1" w:name="_GoBack"/>
                      <w:r w:rsidR="00657DC3" w:rsidRPr="00783278">
                        <w:rPr>
                          <w:rFonts w:eastAsia="Malgun Gothic"/>
                          <w:strike/>
                          <w:lang w:eastAsia="ko-KR"/>
                        </w:rPr>
                        <w:t>11833</w:t>
                      </w:r>
                      <w:r w:rsidR="003E7EA8" w:rsidRPr="00783278">
                        <w:rPr>
                          <w:rFonts w:eastAsia="Malgun Gothic"/>
                          <w:strike/>
                          <w:lang w:eastAsia="ko-KR"/>
                        </w:rPr>
                        <w:t xml:space="preserve"> </w:t>
                      </w:r>
                      <w:bookmarkEnd w:id="1"/>
                      <w:r w:rsidR="003E7EA8">
                        <w:rPr>
                          <w:rFonts w:eastAsia="Malgun Gothic"/>
                          <w:lang w:eastAsia="ko-KR"/>
                        </w:rPr>
                        <w:t>(13 CIDs)</w:t>
                      </w:r>
                    </w:p>
                    <w:p w14:paraId="2100D2A0" w14:textId="77777777" w:rsidR="002B199F" w:rsidRDefault="002B199F" w:rsidP="002B199F">
                      <w:pPr>
                        <w:rPr>
                          <w:rFonts w:eastAsia="Malgun Gothic"/>
                          <w:lang w:eastAsia="ko-KR"/>
                        </w:rPr>
                      </w:pPr>
                    </w:p>
                    <w:p w14:paraId="379CFDAC" w14:textId="77777777" w:rsidR="002B199F" w:rsidRDefault="002B199F" w:rsidP="002B199F"/>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51"/>
        <w:gridCol w:w="557"/>
        <w:gridCol w:w="734"/>
        <w:gridCol w:w="2961"/>
        <w:gridCol w:w="1843"/>
        <w:gridCol w:w="2693"/>
      </w:tblGrid>
      <w:tr w:rsidR="003F6F4A" w:rsidRPr="003F6F4A" w14:paraId="123E75EB" w14:textId="77777777" w:rsidTr="002B199F">
        <w:trPr>
          <w:trHeight w:val="900"/>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55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734"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961"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184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693"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2B199F" w:rsidRPr="002B199F" w14:paraId="565CB661"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1EC42F56"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12588</w:t>
            </w:r>
          </w:p>
        </w:tc>
        <w:tc>
          <w:tcPr>
            <w:tcW w:w="557" w:type="dxa"/>
            <w:tcBorders>
              <w:top w:val="nil"/>
              <w:left w:val="nil"/>
              <w:bottom w:val="single" w:sz="4" w:space="0" w:color="333300"/>
              <w:right w:val="single" w:sz="4" w:space="0" w:color="333300"/>
            </w:tcBorders>
            <w:shd w:val="clear" w:color="auto" w:fill="auto"/>
            <w:hideMark/>
          </w:tcPr>
          <w:p w14:paraId="6758C28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532B3EB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510.06</w:t>
            </w:r>
          </w:p>
        </w:tc>
        <w:tc>
          <w:tcPr>
            <w:tcW w:w="2961" w:type="dxa"/>
            <w:tcBorders>
              <w:top w:val="nil"/>
              <w:left w:val="nil"/>
              <w:bottom w:val="single" w:sz="4" w:space="0" w:color="333300"/>
              <w:right w:val="single" w:sz="4" w:space="0" w:color="333300"/>
            </w:tcBorders>
            <w:shd w:val="clear" w:color="auto" w:fill="auto"/>
            <w:hideMark/>
          </w:tcPr>
          <w:p w14:paraId="3D11902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In this paragraph, it allows multiple TWT elements in one TWT Setup frame. In the text of 11ax, the TWT Setup frame may contain one or two TWT elements. And two TWT elements indicate a range of TWT parameter. Thus, 1)  clarification is needed whether a range of TWT parameter is supported in multiple TWT elements corresponding to different link(s) in 11be. 2) TWT Setup frame Action field format in 9.6.24.8 TWT Setup frame format should be modified to support multiple TWT elements described here.</w:t>
            </w:r>
          </w:p>
        </w:tc>
        <w:tc>
          <w:tcPr>
            <w:tcW w:w="1843" w:type="dxa"/>
            <w:tcBorders>
              <w:top w:val="nil"/>
              <w:left w:val="nil"/>
              <w:bottom w:val="single" w:sz="4" w:space="0" w:color="333300"/>
              <w:right w:val="single" w:sz="4" w:space="0" w:color="333300"/>
            </w:tcBorders>
            <w:shd w:val="clear" w:color="auto" w:fill="auto"/>
            <w:hideMark/>
          </w:tcPr>
          <w:p w14:paraId="65D3FF4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the comment described.</w:t>
            </w:r>
          </w:p>
        </w:tc>
        <w:tc>
          <w:tcPr>
            <w:tcW w:w="2693" w:type="dxa"/>
            <w:tcBorders>
              <w:top w:val="nil"/>
              <w:left w:val="nil"/>
              <w:bottom w:val="single" w:sz="4" w:space="0" w:color="333300"/>
              <w:right w:val="single" w:sz="4" w:space="0" w:color="333300"/>
            </w:tcBorders>
            <w:shd w:val="clear" w:color="auto" w:fill="auto"/>
            <w:hideMark/>
          </w:tcPr>
          <w:p w14:paraId="10F65D0F" w14:textId="59D124F2"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Agree with the comment in princip</w:t>
            </w:r>
            <w:r w:rsidR="00DD11CA">
              <w:rPr>
                <w:rFonts w:ascii="Arial" w:eastAsia="宋体" w:hAnsi="Arial" w:cs="Arial"/>
                <w:sz w:val="20"/>
                <w:lang w:val="en-US" w:eastAsia="zh-CN"/>
              </w:rPr>
              <w:t>le</w:t>
            </w:r>
            <w:r w:rsidRPr="002B199F">
              <w:rPr>
                <w:rFonts w:ascii="Arial" w:eastAsia="宋体" w:hAnsi="Arial" w:cs="Arial"/>
                <w:sz w:val="20"/>
                <w:lang w:val="en-US" w:eastAsia="zh-CN"/>
              </w:rPr>
              <w:t>. Apply the changes marked as #12588 in this document</w:t>
            </w:r>
            <w:ins w:id="0" w:author="Stephen McCann" w:date="2022-11-11T13:41:00Z">
              <w:r w:rsidR="00B50504">
                <w:rPr>
                  <w:rFonts w:ascii="Arial" w:eastAsia="宋体" w:hAnsi="Arial" w:cs="Arial"/>
                  <w:sz w:val="20"/>
                  <w:lang w:val="en-US" w:eastAsia="zh-CN"/>
                </w:rPr>
                <w:t>.</w:t>
              </w:r>
            </w:ins>
          </w:p>
        </w:tc>
      </w:tr>
      <w:tr w:rsidR="002B199F" w:rsidRPr="002B199F" w14:paraId="3CCB3D61"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5124C6A"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11879</w:t>
            </w:r>
          </w:p>
        </w:tc>
        <w:tc>
          <w:tcPr>
            <w:tcW w:w="557" w:type="dxa"/>
            <w:tcBorders>
              <w:top w:val="nil"/>
              <w:left w:val="nil"/>
              <w:bottom w:val="single" w:sz="4" w:space="0" w:color="333300"/>
              <w:right w:val="single" w:sz="4" w:space="0" w:color="333300"/>
            </w:tcBorders>
            <w:shd w:val="clear" w:color="auto" w:fill="auto"/>
            <w:hideMark/>
          </w:tcPr>
          <w:p w14:paraId="0A0A6B6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4CC63F2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509.58</w:t>
            </w:r>
          </w:p>
        </w:tc>
        <w:tc>
          <w:tcPr>
            <w:tcW w:w="2961" w:type="dxa"/>
            <w:tcBorders>
              <w:top w:val="nil"/>
              <w:left w:val="nil"/>
              <w:bottom w:val="single" w:sz="4" w:space="0" w:color="333300"/>
              <w:right w:val="single" w:sz="4" w:space="0" w:color="333300"/>
            </w:tcBorders>
            <w:shd w:val="clear" w:color="auto" w:fill="auto"/>
            <w:hideMark/>
          </w:tcPr>
          <w:p w14:paraId="6C71AFF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What about the case of multiple links indicated in the Link ID Bitmap subfield of the TWT element? Please call out this case as well if such case is valid (since only one TWT field is present in the TWT element then this can be possible only if TSF timers accross links are having the same values, hence clairfy this part too). Also TWT reference rule in the response is missing. Either make the respective sentence as an independent bullet or add the same sentence as a subbullet of the next item as well.</w:t>
            </w:r>
          </w:p>
        </w:tc>
        <w:tc>
          <w:tcPr>
            <w:tcW w:w="1843" w:type="dxa"/>
            <w:tcBorders>
              <w:top w:val="nil"/>
              <w:left w:val="nil"/>
              <w:bottom w:val="single" w:sz="4" w:space="0" w:color="333300"/>
              <w:right w:val="single" w:sz="4" w:space="0" w:color="333300"/>
            </w:tcBorders>
            <w:shd w:val="clear" w:color="auto" w:fill="auto"/>
            <w:hideMark/>
          </w:tcPr>
          <w:p w14:paraId="607910D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F87EE3C" w14:textId="534DF3D9"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00B50504">
              <w:rPr>
                <w:rFonts w:ascii="Arial" w:eastAsia="宋体" w:hAnsi="Arial" w:cs="Arial"/>
                <w:sz w:val="20"/>
                <w:lang w:val="en-US" w:eastAsia="zh-CN"/>
              </w:rPr>
              <w:t xml:space="preserve">A </w:t>
            </w:r>
            <w:r w:rsidRPr="002B199F">
              <w:rPr>
                <w:rFonts w:ascii="Arial" w:eastAsia="宋体" w:hAnsi="Arial" w:cs="Arial"/>
                <w:sz w:val="20"/>
                <w:lang w:val="en-US" w:eastAsia="zh-CN"/>
              </w:rPr>
              <w:t xml:space="preserve">TWT reference rule in the response is added. </w:t>
            </w:r>
            <w:r w:rsidR="00B50504">
              <w:rPr>
                <w:rFonts w:ascii="Arial" w:eastAsia="宋体" w:hAnsi="Arial" w:cs="Arial"/>
                <w:sz w:val="20"/>
                <w:lang w:val="en-US" w:eastAsia="zh-CN"/>
              </w:rPr>
              <w:t>In</w:t>
            </w:r>
            <w:r w:rsidRPr="002B199F">
              <w:rPr>
                <w:rFonts w:ascii="Arial" w:eastAsia="宋体" w:hAnsi="Arial" w:cs="Arial"/>
                <w:sz w:val="20"/>
                <w:lang w:val="en-US" w:eastAsia="zh-CN"/>
              </w:rPr>
              <w:t xml:space="preserve"> the case of multiple links, The corresponding change was addressed by the resolution of CID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Apply the changes marked as #11879 in this document </w:t>
            </w:r>
          </w:p>
        </w:tc>
      </w:tr>
      <w:tr w:rsidR="002B199F" w:rsidRPr="002B199F" w14:paraId="1BE2BB02"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17338520"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13598</w:t>
            </w:r>
          </w:p>
        </w:tc>
        <w:tc>
          <w:tcPr>
            <w:tcW w:w="557" w:type="dxa"/>
            <w:tcBorders>
              <w:top w:val="nil"/>
              <w:left w:val="nil"/>
              <w:bottom w:val="single" w:sz="4" w:space="0" w:color="333300"/>
              <w:right w:val="single" w:sz="4" w:space="0" w:color="333300"/>
            </w:tcBorders>
            <w:shd w:val="clear" w:color="auto" w:fill="auto"/>
            <w:hideMark/>
          </w:tcPr>
          <w:p w14:paraId="2E86CCF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04718C8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510.07</w:t>
            </w:r>
          </w:p>
        </w:tc>
        <w:tc>
          <w:tcPr>
            <w:tcW w:w="2961" w:type="dxa"/>
            <w:tcBorders>
              <w:top w:val="nil"/>
              <w:left w:val="nil"/>
              <w:bottom w:val="single" w:sz="4" w:space="0" w:color="333300"/>
              <w:right w:val="single" w:sz="4" w:space="0" w:color="333300"/>
            </w:tcBorders>
            <w:shd w:val="clear" w:color="auto" w:fill="auto"/>
            <w:hideMark/>
          </w:tcPr>
          <w:p w14:paraId="1329C3E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"During the negotiation of TWT agreements, a TWT requesting STA affiliated with an MLD and a TWT responding STA affiliated with another MLD may include multiple TWT elements where each of the Link ID Bitmap subfields in each TWT element indicates different link(s) in the same TWT Setup frame."</w:t>
            </w:r>
            <w:r w:rsidRPr="002B199F">
              <w:rPr>
                <w:rFonts w:ascii="Arial" w:eastAsia="宋体" w:hAnsi="Arial" w:cs="Arial"/>
                <w:sz w:val="20"/>
                <w:lang w:val="en-US" w:eastAsia="zh-CN"/>
              </w:rPr>
              <w:br/>
              <w:t>Based on the current spec, when a MLD operating in the EMLSR/EMLMR mode establishes TWTs over multiple links, the MLD may include multiple TWT elements. In such case, the multiple TWT elements should have the same start time and end time over multiple links. And, the Demand TWT is only option.</w:t>
            </w:r>
            <w:r w:rsidRPr="002B199F">
              <w:rPr>
                <w:rFonts w:ascii="Arial" w:eastAsia="宋体" w:hAnsi="Arial" w:cs="Arial"/>
                <w:sz w:val="20"/>
                <w:lang w:val="en-US" w:eastAsia="zh-CN"/>
              </w:rPr>
              <w:br/>
              <w:t>For Suggest TWT and Request TWT (it means that the AP MLD provides the aligned TWTs over multiple links), the spec should define some normative behavior.</w:t>
            </w:r>
          </w:p>
        </w:tc>
        <w:tc>
          <w:tcPr>
            <w:tcW w:w="1843" w:type="dxa"/>
            <w:tcBorders>
              <w:top w:val="nil"/>
              <w:left w:val="nil"/>
              <w:bottom w:val="single" w:sz="4" w:space="0" w:color="333300"/>
              <w:right w:val="single" w:sz="4" w:space="0" w:color="333300"/>
            </w:tcBorders>
            <w:shd w:val="clear" w:color="auto" w:fill="auto"/>
            <w:hideMark/>
          </w:tcPr>
          <w:p w14:paraId="444C739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hideMark/>
          </w:tcPr>
          <w:p w14:paraId="43FB546D" w14:textId="7533B65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xml:space="preserve">. </w:t>
            </w:r>
            <w:r w:rsidR="00783278">
              <w:rPr>
                <w:rFonts w:ascii="Arial" w:eastAsia="宋体" w:hAnsi="Arial" w:cs="Arial"/>
                <w:sz w:val="20"/>
                <w:lang w:val="en-US" w:eastAsia="zh-CN"/>
              </w:rPr>
              <w:t>An</w:t>
            </w:r>
            <w:r w:rsidR="00B50504">
              <w:rPr>
                <w:rFonts w:ascii="Arial" w:eastAsia="宋体" w:hAnsi="Arial" w:cs="Arial"/>
                <w:sz w:val="20"/>
                <w:lang w:val="en-US" w:eastAsia="zh-CN"/>
              </w:rPr>
              <w:t xml:space="preserve"> </w:t>
            </w:r>
            <w:r w:rsidRPr="002B199F">
              <w:rPr>
                <w:rFonts w:ascii="Arial" w:eastAsia="宋体" w:hAnsi="Arial" w:cs="Arial"/>
                <w:sz w:val="20"/>
                <w:lang w:val="en-US" w:eastAsia="zh-CN"/>
              </w:rPr>
              <w:t>"</w:t>
            </w:r>
            <w:r w:rsidR="00B50504">
              <w:rPr>
                <w:rFonts w:ascii="Arial" w:eastAsia="宋体" w:hAnsi="Arial" w:cs="Arial"/>
                <w:sz w:val="20"/>
                <w:lang w:val="en-US" w:eastAsia="zh-CN"/>
              </w:rPr>
              <w:t>a</w:t>
            </w:r>
            <w:r w:rsidR="00B50504" w:rsidRPr="002B199F">
              <w:rPr>
                <w:rFonts w:ascii="Arial" w:eastAsia="宋体" w:hAnsi="Arial" w:cs="Arial"/>
                <w:sz w:val="20"/>
                <w:lang w:val="en-US" w:eastAsia="zh-CN"/>
              </w:rPr>
              <w:t>ligned</w:t>
            </w:r>
            <w:r w:rsidRPr="002B199F">
              <w:rPr>
                <w:rFonts w:ascii="Arial" w:eastAsia="宋体" w:hAnsi="Arial" w:cs="Arial"/>
                <w:sz w:val="20"/>
                <w:lang w:val="en-US" w:eastAsia="zh-CN"/>
              </w:rPr>
              <w:t xml:space="preserve">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r w:rsidRPr="002B199F">
              <w:rPr>
                <w:rFonts w:ascii="Arial" w:eastAsia="宋体" w:hAnsi="Arial" w:cs="Arial"/>
                <w:sz w:val="20"/>
                <w:lang w:val="en-US" w:eastAsia="zh-CN"/>
              </w:rPr>
              <w:br/>
            </w:r>
          </w:p>
        </w:tc>
      </w:tr>
      <w:tr w:rsidR="002B199F" w:rsidRPr="002B199F" w14:paraId="5E17AED3"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42CF44C"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13244</w:t>
            </w:r>
          </w:p>
        </w:tc>
        <w:tc>
          <w:tcPr>
            <w:tcW w:w="557" w:type="dxa"/>
            <w:tcBorders>
              <w:top w:val="nil"/>
              <w:left w:val="nil"/>
              <w:bottom w:val="single" w:sz="4" w:space="0" w:color="333300"/>
              <w:right w:val="single" w:sz="4" w:space="0" w:color="333300"/>
            </w:tcBorders>
            <w:shd w:val="clear" w:color="auto" w:fill="auto"/>
            <w:hideMark/>
          </w:tcPr>
          <w:p w14:paraId="2BA4E6C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35.8.1</w:t>
            </w:r>
          </w:p>
        </w:tc>
        <w:tc>
          <w:tcPr>
            <w:tcW w:w="734" w:type="dxa"/>
            <w:tcBorders>
              <w:top w:val="nil"/>
              <w:left w:val="nil"/>
              <w:bottom w:val="single" w:sz="4" w:space="0" w:color="333300"/>
              <w:right w:val="single" w:sz="4" w:space="0" w:color="333300"/>
            </w:tcBorders>
            <w:shd w:val="clear" w:color="auto" w:fill="auto"/>
            <w:hideMark/>
          </w:tcPr>
          <w:p w14:paraId="7035E14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510.05</w:t>
            </w:r>
          </w:p>
        </w:tc>
        <w:tc>
          <w:tcPr>
            <w:tcW w:w="2961" w:type="dxa"/>
            <w:tcBorders>
              <w:top w:val="nil"/>
              <w:left w:val="nil"/>
              <w:bottom w:val="single" w:sz="4" w:space="0" w:color="333300"/>
              <w:right w:val="single" w:sz="4" w:space="0" w:color="333300"/>
            </w:tcBorders>
            <w:shd w:val="clear" w:color="auto" w:fill="auto"/>
            <w:hideMark/>
          </w:tcPr>
          <w:p w14:paraId="5E0FD56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For current baseline, a TWT element should only allow indicating a single link in the Link ID bitmap since the group has not aligned on how Target Wake Time field in a single TWT element can be applicable for multiple links with different TSF timer. Add a requirement to indicate this. This is similar to requirement of supporting only one link in the Link ID bitmap of Multi-Link Link Information element for EHT Baseline.</w:t>
            </w:r>
          </w:p>
        </w:tc>
        <w:tc>
          <w:tcPr>
            <w:tcW w:w="1843" w:type="dxa"/>
            <w:tcBorders>
              <w:top w:val="nil"/>
              <w:left w:val="nil"/>
              <w:bottom w:val="single" w:sz="4" w:space="0" w:color="333300"/>
              <w:right w:val="single" w:sz="4" w:space="0" w:color="333300"/>
            </w:tcBorders>
            <w:shd w:val="clear" w:color="auto" w:fill="auto"/>
            <w:hideMark/>
          </w:tcPr>
          <w:p w14:paraId="207AB93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Add following text "If dot11EHTBaseLineFeaturesImplementedOnly is equal to true, only one bit in the Link ID bitmap field (if present) of</w:t>
            </w:r>
            <w:r w:rsidRPr="002B199F">
              <w:rPr>
                <w:rFonts w:ascii="Arial" w:eastAsia="宋体" w:hAnsi="Arial" w:cs="Arial"/>
                <w:sz w:val="20"/>
                <w:lang w:val="en-US" w:eastAsia="zh-CN"/>
              </w:rPr>
              <w:br/>
              <w:t>the Individual TWT Parameter Set field of the TWT element  shall be set to 1."</w:t>
            </w:r>
          </w:p>
        </w:tc>
        <w:tc>
          <w:tcPr>
            <w:tcW w:w="2693" w:type="dxa"/>
            <w:tcBorders>
              <w:top w:val="nil"/>
              <w:left w:val="nil"/>
              <w:bottom w:val="single" w:sz="4" w:space="0" w:color="333300"/>
              <w:right w:val="single" w:sz="4" w:space="0" w:color="333300"/>
            </w:tcBorders>
            <w:shd w:val="clear" w:color="auto" w:fill="auto"/>
            <w:hideMark/>
          </w:tcPr>
          <w:p w14:paraId="1F215DC9" w14:textId="3FFE7884"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achive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172865FD"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4D9AC771"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10666</w:t>
            </w:r>
          </w:p>
        </w:tc>
        <w:tc>
          <w:tcPr>
            <w:tcW w:w="557" w:type="dxa"/>
            <w:tcBorders>
              <w:top w:val="nil"/>
              <w:left w:val="nil"/>
              <w:bottom w:val="single" w:sz="4" w:space="0" w:color="333300"/>
              <w:right w:val="single" w:sz="4" w:space="0" w:color="333300"/>
            </w:tcBorders>
            <w:shd w:val="clear" w:color="auto" w:fill="auto"/>
            <w:hideMark/>
          </w:tcPr>
          <w:p w14:paraId="45E21E6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0EB4516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509.55</w:t>
            </w:r>
          </w:p>
        </w:tc>
        <w:tc>
          <w:tcPr>
            <w:tcW w:w="2961" w:type="dxa"/>
            <w:tcBorders>
              <w:top w:val="nil"/>
              <w:left w:val="nil"/>
              <w:bottom w:val="single" w:sz="4" w:space="0" w:color="333300"/>
              <w:right w:val="single" w:sz="4" w:space="0" w:color="333300"/>
            </w:tcBorders>
            <w:shd w:val="clear" w:color="auto" w:fill="auto"/>
            <w:hideMark/>
          </w:tcPr>
          <w:p w14:paraId="36A3679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The fields in a TWT element are with respect to a specific link - esp. the timing fields carry absolute TSF for a particular link. The spec requires that the TSF offset between links is constant (within +/-30us error margin). However, that doesn't address the issue since the TSF on each link is different.</w:t>
            </w:r>
          </w:p>
        </w:tc>
        <w:tc>
          <w:tcPr>
            <w:tcW w:w="1843" w:type="dxa"/>
            <w:tcBorders>
              <w:top w:val="nil"/>
              <w:left w:val="nil"/>
              <w:bottom w:val="single" w:sz="4" w:space="0" w:color="333300"/>
              <w:right w:val="single" w:sz="4" w:space="0" w:color="333300"/>
            </w:tcBorders>
            <w:shd w:val="clear" w:color="auto" w:fill="auto"/>
            <w:hideMark/>
          </w:tcPr>
          <w:p w14:paraId="35C99B7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Replace "link(s)" with "link" from all the locations in this subclause</w:t>
            </w:r>
          </w:p>
        </w:tc>
        <w:tc>
          <w:tcPr>
            <w:tcW w:w="2693" w:type="dxa"/>
            <w:tcBorders>
              <w:top w:val="nil"/>
              <w:left w:val="nil"/>
              <w:bottom w:val="single" w:sz="4" w:space="0" w:color="333300"/>
              <w:right w:val="single" w:sz="4" w:space="0" w:color="333300"/>
            </w:tcBorders>
            <w:shd w:val="clear" w:color="auto" w:fill="auto"/>
            <w:hideMark/>
          </w:tcPr>
          <w:p w14:paraId="125D0F80" w14:textId="28446141"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achive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w:t>
            </w:r>
            <w:r w:rsidR="00B50504">
              <w:rPr>
                <w:rFonts w:ascii="Arial" w:eastAsia="宋体" w:hAnsi="Arial" w:cs="Arial"/>
                <w:sz w:val="20"/>
                <w:lang w:val="en-US" w:eastAsia="zh-CN"/>
              </w:rPr>
              <w:t>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24EB753E"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03DD4F24"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11880</w:t>
            </w:r>
          </w:p>
        </w:tc>
        <w:tc>
          <w:tcPr>
            <w:tcW w:w="557" w:type="dxa"/>
            <w:tcBorders>
              <w:top w:val="nil"/>
              <w:left w:val="nil"/>
              <w:bottom w:val="single" w:sz="4" w:space="0" w:color="333300"/>
              <w:right w:val="single" w:sz="4" w:space="0" w:color="333300"/>
            </w:tcBorders>
            <w:shd w:val="clear" w:color="auto" w:fill="auto"/>
            <w:hideMark/>
          </w:tcPr>
          <w:p w14:paraId="5C31BC5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7B13528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510.06</w:t>
            </w:r>
          </w:p>
        </w:tc>
        <w:tc>
          <w:tcPr>
            <w:tcW w:w="2961" w:type="dxa"/>
            <w:tcBorders>
              <w:top w:val="nil"/>
              <w:left w:val="nil"/>
              <w:bottom w:val="single" w:sz="4" w:space="0" w:color="333300"/>
              <w:right w:val="single" w:sz="4" w:space="0" w:color="333300"/>
            </w:tcBorders>
            <w:shd w:val="clear" w:color="auto" w:fill="auto"/>
            <w:hideMark/>
          </w:tcPr>
          <w:p w14:paraId="2F513D9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This statement is too generic. Since multiple TWT elements can be added in the same frame then specify that in each of them only one bit can be set to one in the link id bitmap. That way pathological cases of overlapping bits being set to 1 with different parameters are avoided.</w:t>
            </w:r>
          </w:p>
        </w:tc>
        <w:tc>
          <w:tcPr>
            <w:tcW w:w="1843" w:type="dxa"/>
            <w:tcBorders>
              <w:top w:val="nil"/>
              <w:left w:val="nil"/>
              <w:bottom w:val="single" w:sz="4" w:space="0" w:color="333300"/>
              <w:right w:val="single" w:sz="4" w:space="0" w:color="333300"/>
            </w:tcBorders>
            <w:shd w:val="clear" w:color="auto" w:fill="auto"/>
            <w:hideMark/>
          </w:tcPr>
          <w:p w14:paraId="5AB38C5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351C9777" w14:textId="44078374"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xml:space="preserve">. Instead of </w:t>
            </w:r>
            <w:r w:rsidR="00B50504">
              <w:rPr>
                <w:rFonts w:ascii="Arial" w:eastAsia="宋体" w:hAnsi="Arial" w:cs="Arial"/>
                <w:sz w:val="20"/>
                <w:lang w:val="en-US" w:eastAsia="zh-CN"/>
              </w:rPr>
              <w:t xml:space="preserve"> </w:t>
            </w:r>
            <w:r w:rsidRPr="002B199F">
              <w:rPr>
                <w:rFonts w:ascii="Arial" w:eastAsia="宋体" w:hAnsi="Arial" w:cs="Arial"/>
                <w:sz w:val="20"/>
                <w:lang w:val="en-US" w:eastAsia="zh-CN"/>
              </w:rPr>
              <w:t>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achive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w:t>
            </w:r>
            <w:r w:rsidR="00B50504">
              <w:rPr>
                <w:rFonts w:ascii="Arial" w:eastAsia="宋体" w:hAnsi="Arial" w:cs="Arial"/>
                <w:sz w:val="20"/>
                <w:lang w:val="en-US" w:eastAsia="zh-CN"/>
              </w:rPr>
              <w:t>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7F791DA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7FD8A29"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11373</w:t>
            </w:r>
          </w:p>
        </w:tc>
        <w:tc>
          <w:tcPr>
            <w:tcW w:w="557" w:type="dxa"/>
            <w:tcBorders>
              <w:top w:val="nil"/>
              <w:left w:val="nil"/>
              <w:bottom w:val="single" w:sz="4" w:space="0" w:color="333300"/>
              <w:right w:val="single" w:sz="4" w:space="0" w:color="333300"/>
            </w:tcBorders>
            <w:shd w:val="clear" w:color="auto" w:fill="auto"/>
            <w:hideMark/>
          </w:tcPr>
          <w:p w14:paraId="54AA416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229BE5A9"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51C644A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TWT operation is link specific.  Operation of unicast TWT and broadcast TWT across multiple links (including EMLSR) should be defined.</w:t>
            </w:r>
          </w:p>
        </w:tc>
        <w:tc>
          <w:tcPr>
            <w:tcW w:w="1843" w:type="dxa"/>
            <w:tcBorders>
              <w:top w:val="nil"/>
              <w:left w:val="nil"/>
              <w:bottom w:val="single" w:sz="4" w:space="0" w:color="333300"/>
              <w:right w:val="single" w:sz="4" w:space="0" w:color="333300"/>
            </w:tcBorders>
            <w:shd w:val="clear" w:color="auto" w:fill="auto"/>
            <w:hideMark/>
          </w:tcPr>
          <w:p w14:paraId="3E45C19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51FC945" w14:textId="3BDE1C06"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Broadcast TWT agreement across multiple links was discussed in DCN 22/254r6. The group didn't reach consensus. </w:t>
            </w:r>
            <w:r w:rsidRPr="002B199F">
              <w:rPr>
                <w:rFonts w:ascii="Arial" w:eastAsia="宋体" w:hAnsi="Arial" w:cs="Arial"/>
                <w:sz w:val="20"/>
                <w:lang w:val="en-US" w:eastAsia="zh-CN"/>
              </w:rPr>
              <w:br/>
            </w:r>
            <w:r w:rsidRPr="002B199F">
              <w:rPr>
                <w:rFonts w:ascii="Arial" w:eastAsia="宋体" w:hAnsi="Arial" w:cs="Arial"/>
                <w:sz w:val="20"/>
                <w:lang w:val="en-US" w:eastAsia="zh-CN"/>
              </w:rPr>
              <w:br/>
              <w:t>For</w:t>
            </w:r>
            <w:r w:rsidR="00B50504">
              <w:rPr>
                <w:rFonts w:ascii="Arial" w:eastAsia="宋体" w:hAnsi="Arial" w:cs="Arial"/>
                <w:sz w:val="20"/>
                <w:lang w:val="en-US" w:eastAsia="zh-CN"/>
              </w:rPr>
              <w:t xml:space="preserve"> an</w:t>
            </w:r>
            <w:r w:rsidRPr="002B199F">
              <w:rPr>
                <w:rFonts w:ascii="Arial" w:eastAsia="宋体" w:hAnsi="Arial" w:cs="Arial"/>
                <w:sz w:val="20"/>
                <w:lang w:val="en-US" w:eastAsia="zh-CN"/>
              </w:rPr>
              <w:t xml:space="preserve"> individual TWT agreement across multiple links,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requirement is added during the TWT negotiation </w:t>
            </w:r>
            <w:r w:rsidRPr="002B199F">
              <w:rPr>
                <w:rFonts w:ascii="Arial" w:eastAsia="宋体" w:hAnsi="Arial" w:cs="Arial"/>
                <w:sz w:val="20"/>
                <w:lang w:val="en-US" w:eastAsia="zh-CN"/>
              </w:rPr>
              <w:lastRenderedPageBreak/>
              <w:t xml:space="preserve">to achived aligned TWT SPs for EMLSR/NSTR/EMLMR, even for STR.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TGbe Editor, there is no further change for this CID. </w:t>
            </w:r>
          </w:p>
        </w:tc>
      </w:tr>
      <w:tr w:rsidR="002B199F" w:rsidRPr="002B199F" w14:paraId="6379DC2A"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47280DA"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10667</w:t>
            </w:r>
          </w:p>
        </w:tc>
        <w:tc>
          <w:tcPr>
            <w:tcW w:w="557" w:type="dxa"/>
            <w:tcBorders>
              <w:top w:val="nil"/>
              <w:left w:val="nil"/>
              <w:bottom w:val="single" w:sz="4" w:space="0" w:color="333300"/>
              <w:right w:val="single" w:sz="4" w:space="0" w:color="333300"/>
            </w:tcBorders>
            <w:shd w:val="clear" w:color="auto" w:fill="auto"/>
            <w:hideMark/>
          </w:tcPr>
          <w:p w14:paraId="17C6239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2750C72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509.56</w:t>
            </w:r>
          </w:p>
        </w:tc>
        <w:tc>
          <w:tcPr>
            <w:tcW w:w="2961" w:type="dxa"/>
            <w:tcBorders>
              <w:top w:val="nil"/>
              <w:left w:val="nil"/>
              <w:bottom w:val="single" w:sz="4" w:space="0" w:color="333300"/>
              <w:right w:val="single" w:sz="4" w:space="0" w:color="333300"/>
            </w:tcBorders>
            <w:shd w:val="clear" w:color="auto" w:fill="auto"/>
            <w:hideMark/>
          </w:tcPr>
          <w:p w14:paraId="60F5E95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Why does TGbe spec have a separate mechanism exclusively for TWT setup while all other individually addressed mgmt frames use the mechanism described in clause 35.3.14.2? TGbe spec should clearly state the reasons justifying the need and the benefit why TWT setup cannot include Multi-Link Link Information element (9.4.2.317). If there isn't a clear reason or benefit for having a separate scheme for TWT, update the text to remove Link ID Bitmap field from TWT element and have a uniform mechanism to identify a link in an individual addressed mgmt. frame.</w:t>
            </w:r>
          </w:p>
        </w:tc>
        <w:tc>
          <w:tcPr>
            <w:tcW w:w="1843" w:type="dxa"/>
            <w:tcBorders>
              <w:top w:val="nil"/>
              <w:left w:val="nil"/>
              <w:bottom w:val="single" w:sz="4" w:space="0" w:color="333300"/>
              <w:right w:val="single" w:sz="4" w:space="0" w:color="333300"/>
            </w:tcBorders>
            <w:shd w:val="clear" w:color="auto" w:fill="auto"/>
            <w:hideMark/>
          </w:tcPr>
          <w:p w14:paraId="55052F8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42FC4899" w14:textId="417EFA18"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Disagree with the comment. </w:t>
            </w:r>
            <w:r w:rsidRPr="002B199F">
              <w:rPr>
                <w:rFonts w:ascii="Arial" w:eastAsia="宋体" w:hAnsi="Arial" w:cs="Arial"/>
                <w:sz w:val="20"/>
                <w:lang w:val="en-US" w:eastAsia="zh-CN"/>
              </w:rPr>
              <w:br/>
              <w:t xml:space="preserve">According to subclause 35.3.24.2 (Individual TWT agreements) </w:t>
            </w:r>
            <w:r w:rsidR="00B50504">
              <w:rPr>
                <w:rFonts w:ascii="Arial" w:eastAsia="宋体" w:hAnsi="Arial" w:cs="Arial"/>
                <w:sz w:val="20"/>
                <w:lang w:val="en-US" w:eastAsia="zh-CN"/>
              </w:rPr>
              <w:t>(</w:t>
            </w:r>
            <w:r w:rsidRPr="002B199F">
              <w:rPr>
                <w:rFonts w:ascii="Arial" w:eastAsia="宋体" w:hAnsi="Arial" w:cs="Arial"/>
                <w:sz w:val="20"/>
                <w:lang w:val="en-US" w:eastAsia="zh-CN"/>
              </w:rPr>
              <w:t>802.11be D2.2</w:t>
            </w:r>
            <w:r w:rsidR="00B50504">
              <w:rPr>
                <w:rFonts w:ascii="Arial" w:eastAsia="宋体" w:hAnsi="Arial" w:cs="Arial"/>
                <w:sz w:val="20"/>
                <w:lang w:val="en-US" w:eastAsia="zh-CN"/>
              </w:rPr>
              <w:t>)</w:t>
            </w:r>
            <w:r w:rsidRPr="002B199F">
              <w:rPr>
                <w:rFonts w:ascii="Arial" w:eastAsia="宋体" w:hAnsi="Arial" w:cs="Arial"/>
                <w:sz w:val="20"/>
                <w:lang w:val="en-US" w:eastAsia="zh-CN"/>
              </w:rPr>
              <w:t xml:space="preserve">, more than one TWT element could be carried in a TWT setup frame and these TWT elements could also be applied to different link sets. However, a Multi-Link Information element can’t have the above-mentioned functionality as the Link ID Bitmap subfield. </w:t>
            </w:r>
            <w:r w:rsidRPr="002B199F">
              <w:rPr>
                <w:rFonts w:ascii="Arial" w:eastAsia="宋体" w:hAnsi="Arial" w:cs="Arial"/>
                <w:sz w:val="20"/>
                <w:lang w:val="en-US" w:eastAsia="zh-CN"/>
              </w:rPr>
              <w:br/>
            </w:r>
            <w:r w:rsidRPr="002B199F">
              <w:rPr>
                <w:rFonts w:ascii="Arial" w:eastAsia="宋体" w:hAnsi="Arial" w:cs="Arial"/>
                <w:sz w:val="20"/>
                <w:lang w:val="en-US" w:eastAsia="zh-CN"/>
              </w:rPr>
              <w:br/>
              <w:t>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achive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aligned TWT,</w:t>
            </w:r>
            <w:r w:rsidR="00B50504">
              <w:rPr>
                <w:rFonts w:ascii="Arial" w:eastAsia="宋体" w:hAnsi="Arial" w:cs="Arial"/>
                <w:sz w:val="20"/>
                <w:lang w:val="en-US" w:eastAsia="zh-CN"/>
              </w:rPr>
              <w:t xml:space="preserve"> 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6034E77F"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2F52C9AF"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11951</w:t>
            </w:r>
          </w:p>
        </w:tc>
        <w:tc>
          <w:tcPr>
            <w:tcW w:w="557" w:type="dxa"/>
            <w:tcBorders>
              <w:top w:val="nil"/>
              <w:left w:val="nil"/>
              <w:bottom w:val="single" w:sz="4" w:space="0" w:color="333300"/>
              <w:right w:val="single" w:sz="4" w:space="0" w:color="333300"/>
            </w:tcBorders>
            <w:shd w:val="clear" w:color="auto" w:fill="auto"/>
            <w:hideMark/>
          </w:tcPr>
          <w:p w14:paraId="160FF9E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7DF380D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01A1A09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802.11be should define a TWT flow that can be operated in multiple links and is optimized for EMLSR access. EMLSR transmits data in a single links at a time. AP should consider that EMSLR STA is avaiable on all links, or if AP early terminates SPs, both SPs are terminated at the same time.</w:t>
            </w:r>
            <w:r w:rsidRPr="002B199F">
              <w:rPr>
                <w:rFonts w:ascii="Arial" w:eastAsia="宋体" w:hAnsi="Arial" w:cs="Arial"/>
                <w:sz w:val="20"/>
                <w:lang w:val="en-US" w:eastAsia="zh-CN"/>
              </w:rPr>
              <w:br/>
            </w:r>
            <w:r w:rsidRPr="002B199F">
              <w:rPr>
                <w:rFonts w:ascii="Arial" w:eastAsia="宋体" w:hAnsi="Arial" w:cs="Arial"/>
                <w:sz w:val="20"/>
                <w:lang w:val="en-US" w:eastAsia="zh-CN"/>
              </w:rPr>
              <w:br/>
              <w:t>When the STA operates EMLSR mode both links should be triggered at the same and early terminated at the same time.</w:t>
            </w:r>
          </w:p>
        </w:tc>
        <w:tc>
          <w:tcPr>
            <w:tcW w:w="1843" w:type="dxa"/>
            <w:tcBorders>
              <w:top w:val="nil"/>
              <w:left w:val="nil"/>
              <w:bottom w:val="single" w:sz="4" w:space="0" w:color="333300"/>
              <w:right w:val="single" w:sz="4" w:space="0" w:color="333300"/>
            </w:tcBorders>
            <w:shd w:val="clear" w:color="auto" w:fill="auto"/>
            <w:hideMark/>
          </w:tcPr>
          <w:p w14:paraId="309B034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define ML TWT operation rules for EMSLR access mode that allow EMLSR operation on both links, i.e. STA is available at all links and early termination terminates all links.</w:t>
            </w:r>
          </w:p>
        </w:tc>
        <w:tc>
          <w:tcPr>
            <w:tcW w:w="2693" w:type="dxa"/>
            <w:tcBorders>
              <w:top w:val="nil"/>
              <w:left w:val="nil"/>
              <w:bottom w:val="single" w:sz="4" w:space="0" w:color="333300"/>
              <w:right w:val="single" w:sz="4" w:space="0" w:color="333300"/>
            </w:tcBorders>
            <w:shd w:val="clear" w:color="auto" w:fill="auto"/>
            <w:hideMark/>
          </w:tcPr>
          <w:p w14:paraId="45DA3BCC" w14:textId="3F4D34C0"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For EMLSR,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(including the same start time and end time) requirement for multiple links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7AE98EED"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8A1E853"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11156</w:t>
            </w:r>
          </w:p>
        </w:tc>
        <w:tc>
          <w:tcPr>
            <w:tcW w:w="557" w:type="dxa"/>
            <w:tcBorders>
              <w:top w:val="nil"/>
              <w:left w:val="nil"/>
              <w:bottom w:val="single" w:sz="4" w:space="0" w:color="333300"/>
              <w:right w:val="single" w:sz="4" w:space="0" w:color="333300"/>
            </w:tcBorders>
            <w:shd w:val="clear" w:color="auto" w:fill="auto"/>
            <w:hideMark/>
          </w:tcPr>
          <w:p w14:paraId="265A954A"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7C1E094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2755E67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How TWT/bTWT/rTWT operation will coexist with EMLMR is not clear.</w:t>
            </w:r>
          </w:p>
        </w:tc>
        <w:tc>
          <w:tcPr>
            <w:tcW w:w="1843" w:type="dxa"/>
            <w:tcBorders>
              <w:top w:val="nil"/>
              <w:left w:val="nil"/>
              <w:bottom w:val="single" w:sz="4" w:space="0" w:color="333300"/>
              <w:right w:val="single" w:sz="4" w:space="0" w:color="333300"/>
            </w:tcBorders>
            <w:shd w:val="clear" w:color="auto" w:fill="auto"/>
            <w:hideMark/>
          </w:tcPr>
          <w:p w14:paraId="25784E8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provide procedures and rules to enable TWT operation with EMLMR</w:t>
            </w:r>
          </w:p>
        </w:tc>
        <w:tc>
          <w:tcPr>
            <w:tcW w:w="2693" w:type="dxa"/>
            <w:tcBorders>
              <w:top w:val="nil"/>
              <w:left w:val="nil"/>
              <w:bottom w:val="single" w:sz="4" w:space="0" w:color="333300"/>
              <w:right w:val="single" w:sz="4" w:space="0" w:color="333300"/>
            </w:tcBorders>
            <w:shd w:val="clear" w:color="auto" w:fill="auto"/>
            <w:hideMark/>
          </w:tcPr>
          <w:p w14:paraId="136A952D" w14:textId="55E29F7B"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For EMLMR, </w:t>
            </w:r>
            <w:r w:rsidR="00B50504">
              <w:rPr>
                <w:rFonts w:ascii="Arial" w:eastAsia="宋体" w:hAnsi="Arial" w:cs="Arial"/>
                <w:sz w:val="20"/>
                <w:lang w:val="en-US" w:eastAsia="zh-CN"/>
              </w:rPr>
              <w:t>an</w:t>
            </w:r>
            <w:r w:rsidRPr="002B199F">
              <w:rPr>
                <w:rFonts w:ascii="Arial" w:eastAsia="宋体" w:hAnsi="Arial" w:cs="Arial"/>
                <w:sz w:val="20"/>
                <w:lang w:val="en-US" w:eastAsia="zh-CN"/>
              </w:rPr>
              <w:t xml:space="preserve"> "aligned TWT" (including the same start time and end time) requirement for multiple links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4048784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28A91A7"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12347</w:t>
            </w:r>
          </w:p>
        </w:tc>
        <w:tc>
          <w:tcPr>
            <w:tcW w:w="557" w:type="dxa"/>
            <w:tcBorders>
              <w:top w:val="nil"/>
              <w:left w:val="nil"/>
              <w:bottom w:val="single" w:sz="4" w:space="0" w:color="333300"/>
              <w:right w:val="single" w:sz="4" w:space="0" w:color="333300"/>
            </w:tcBorders>
            <w:shd w:val="clear" w:color="auto" w:fill="auto"/>
            <w:hideMark/>
          </w:tcPr>
          <w:p w14:paraId="4902BB23"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36.3.20.3</w:t>
            </w:r>
          </w:p>
        </w:tc>
        <w:tc>
          <w:tcPr>
            <w:tcW w:w="734" w:type="dxa"/>
            <w:tcBorders>
              <w:top w:val="nil"/>
              <w:left w:val="nil"/>
              <w:bottom w:val="single" w:sz="4" w:space="0" w:color="333300"/>
              <w:right w:val="single" w:sz="4" w:space="0" w:color="333300"/>
            </w:tcBorders>
            <w:shd w:val="clear" w:color="auto" w:fill="auto"/>
            <w:hideMark/>
          </w:tcPr>
          <w:p w14:paraId="08D2172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769.22</w:t>
            </w:r>
          </w:p>
        </w:tc>
        <w:tc>
          <w:tcPr>
            <w:tcW w:w="2961" w:type="dxa"/>
            <w:tcBorders>
              <w:top w:val="nil"/>
              <w:left w:val="nil"/>
              <w:bottom w:val="single" w:sz="4" w:space="0" w:color="333300"/>
              <w:right w:val="single" w:sz="4" w:space="0" w:color="333300"/>
            </w:tcBorders>
            <w:shd w:val="clear" w:color="auto" w:fill="auto"/>
            <w:hideMark/>
          </w:tcPr>
          <w:p w14:paraId="7ECE895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"is caused for a PSDU length of 2048 octets for BPSK modulation with DCM or 4096 octets for all other moudlations". There is no good reason for singling out DCM in this way. It is simpler and better to state a unified reference length.</w:t>
            </w:r>
          </w:p>
        </w:tc>
        <w:tc>
          <w:tcPr>
            <w:tcW w:w="1843" w:type="dxa"/>
            <w:tcBorders>
              <w:top w:val="nil"/>
              <w:left w:val="nil"/>
              <w:bottom w:val="single" w:sz="4" w:space="0" w:color="333300"/>
              <w:right w:val="single" w:sz="4" w:space="0" w:color="333300"/>
            </w:tcBorders>
            <w:shd w:val="clear" w:color="auto" w:fill="auto"/>
            <w:hideMark/>
          </w:tcPr>
          <w:p w14:paraId="54785A9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Change to "is caused for a PSDU length of 2048 octets" (i.e., delete the rest of the sentence).</w:t>
            </w:r>
          </w:p>
        </w:tc>
        <w:tc>
          <w:tcPr>
            <w:tcW w:w="2693" w:type="dxa"/>
            <w:tcBorders>
              <w:top w:val="nil"/>
              <w:left w:val="nil"/>
              <w:bottom w:val="single" w:sz="4" w:space="0" w:color="333300"/>
              <w:right w:val="single" w:sz="4" w:space="0" w:color="333300"/>
            </w:tcBorders>
            <w:shd w:val="clear" w:color="auto" w:fill="auto"/>
            <w:hideMark/>
          </w:tcPr>
          <w:p w14:paraId="27EC0803" w14:textId="77777777" w:rsidR="002B199F" w:rsidRDefault="008847C8" w:rsidP="002B199F">
            <w:pPr>
              <w:jc w:val="left"/>
              <w:rPr>
                <w:rFonts w:ascii="Arial" w:eastAsia="宋体" w:hAnsi="Arial" w:cs="Arial"/>
                <w:sz w:val="20"/>
                <w:lang w:val="en-US" w:eastAsia="zh-CN"/>
              </w:rPr>
            </w:pPr>
            <w:r>
              <w:rPr>
                <w:rFonts w:ascii="Arial" w:eastAsia="宋体" w:hAnsi="Arial" w:cs="Arial"/>
                <w:sz w:val="20"/>
                <w:lang w:val="en-US" w:eastAsia="zh-CN"/>
              </w:rPr>
              <w:t>Rejected-</w:t>
            </w:r>
          </w:p>
          <w:p w14:paraId="77DB3EE9" w14:textId="77777777" w:rsidR="008847C8" w:rsidRDefault="008847C8" w:rsidP="002B199F">
            <w:pPr>
              <w:jc w:val="left"/>
              <w:rPr>
                <w:rFonts w:ascii="Arial" w:eastAsia="宋体" w:hAnsi="Arial" w:cs="Arial"/>
                <w:sz w:val="20"/>
                <w:lang w:val="en-US" w:eastAsia="zh-CN"/>
              </w:rPr>
            </w:pPr>
          </w:p>
          <w:p w14:paraId="28397BA0" w14:textId="0FED6EE9" w:rsidR="008847C8" w:rsidRPr="002B199F" w:rsidRDefault="008847C8">
            <w:pPr>
              <w:jc w:val="left"/>
              <w:rPr>
                <w:rFonts w:ascii="Arial" w:eastAsia="宋体" w:hAnsi="Arial" w:cs="Arial"/>
                <w:sz w:val="20"/>
                <w:lang w:val="en-US" w:eastAsia="zh-CN"/>
              </w:rPr>
            </w:pPr>
            <w:r>
              <w:rPr>
                <w:rFonts w:ascii="Arial" w:eastAsia="宋体" w:hAnsi="Arial" w:cs="Arial"/>
                <w:sz w:val="20"/>
                <w:lang w:val="en-US" w:eastAsia="zh-CN"/>
              </w:rPr>
              <w:t xml:space="preserve">The cited </w:t>
            </w:r>
            <w:r w:rsidR="00B50504">
              <w:rPr>
                <w:rFonts w:ascii="Arial" w:eastAsia="宋体" w:hAnsi="Arial" w:cs="Arial"/>
                <w:sz w:val="20"/>
                <w:lang w:val="en-US" w:eastAsia="zh-CN"/>
              </w:rPr>
              <w:t xml:space="preserve">text is part of the </w:t>
            </w:r>
            <w:r>
              <w:rPr>
                <w:rFonts w:ascii="Arial" w:eastAsia="宋体" w:hAnsi="Arial" w:cs="Arial"/>
                <w:sz w:val="20"/>
                <w:lang w:val="en-US" w:eastAsia="zh-CN"/>
              </w:rPr>
              <w:t>802.11REVme Draft 2.0</w:t>
            </w:r>
            <w:r w:rsidR="00B50504">
              <w:rPr>
                <w:rFonts w:ascii="Arial" w:eastAsia="宋体" w:hAnsi="Arial" w:cs="Arial"/>
                <w:sz w:val="20"/>
                <w:lang w:val="en-US" w:eastAsia="zh-CN"/>
              </w:rPr>
              <w:t xml:space="preserve"> baseline</w:t>
            </w:r>
            <w:r>
              <w:rPr>
                <w:rFonts w:ascii="Arial" w:eastAsia="宋体" w:hAnsi="Arial" w:cs="Arial"/>
                <w:sz w:val="20"/>
                <w:lang w:val="en-US" w:eastAsia="zh-CN"/>
              </w:rPr>
              <w:t>. It is</w:t>
            </w:r>
            <w:r>
              <w:rPr>
                <w:rFonts w:ascii="Arial" w:eastAsia="宋体" w:hAnsi="Arial" w:cs="Arial" w:hint="eastAsia"/>
                <w:sz w:val="20"/>
                <w:lang w:val="en-US" w:eastAsia="zh-CN"/>
              </w:rPr>
              <w:t xml:space="preserve"> reasonable</w:t>
            </w:r>
            <w:r>
              <w:rPr>
                <w:rFonts w:ascii="Arial" w:eastAsia="宋体" w:hAnsi="Arial" w:cs="Arial"/>
                <w:sz w:val="20"/>
                <w:lang w:val="en-US" w:eastAsia="zh-CN"/>
              </w:rPr>
              <w:t xml:space="preserve"> that BPSK with DCM has a half of length </w:t>
            </w:r>
            <w:r w:rsidR="00B6503A">
              <w:rPr>
                <w:rFonts w:ascii="Arial" w:eastAsia="宋体" w:hAnsi="Arial" w:cs="Arial"/>
                <w:sz w:val="20"/>
                <w:lang w:val="en-US" w:eastAsia="zh-CN"/>
              </w:rPr>
              <w:t xml:space="preserve">that is </w:t>
            </w:r>
            <w:r>
              <w:rPr>
                <w:rFonts w:ascii="Arial" w:eastAsia="宋体" w:hAnsi="Arial" w:cs="Arial"/>
                <w:sz w:val="20"/>
                <w:lang w:val="en-US" w:eastAsia="zh-CN"/>
              </w:rPr>
              <w:t>used for other modulations.</w:t>
            </w:r>
          </w:p>
        </w:tc>
      </w:tr>
      <w:tr w:rsidR="002B199F" w:rsidRPr="002B199F" w14:paraId="5288A7C6"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335BCF7" w14:textId="24FC2319"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13873</w:t>
            </w:r>
          </w:p>
        </w:tc>
        <w:tc>
          <w:tcPr>
            <w:tcW w:w="557" w:type="dxa"/>
            <w:tcBorders>
              <w:top w:val="nil"/>
              <w:left w:val="nil"/>
              <w:bottom w:val="single" w:sz="4" w:space="0" w:color="333300"/>
              <w:right w:val="single" w:sz="4" w:space="0" w:color="333300"/>
            </w:tcBorders>
            <w:shd w:val="clear" w:color="auto" w:fill="auto"/>
            <w:hideMark/>
          </w:tcPr>
          <w:p w14:paraId="6F9F3269"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　</w:t>
            </w:r>
          </w:p>
        </w:tc>
        <w:tc>
          <w:tcPr>
            <w:tcW w:w="734" w:type="dxa"/>
            <w:tcBorders>
              <w:top w:val="nil"/>
              <w:left w:val="nil"/>
              <w:bottom w:val="single" w:sz="4" w:space="0" w:color="333300"/>
              <w:right w:val="single" w:sz="4" w:space="0" w:color="333300"/>
            </w:tcBorders>
            <w:shd w:val="clear" w:color="auto" w:fill="auto"/>
            <w:hideMark/>
          </w:tcPr>
          <w:p w14:paraId="495DC88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0.00</w:t>
            </w:r>
          </w:p>
        </w:tc>
        <w:tc>
          <w:tcPr>
            <w:tcW w:w="2961" w:type="dxa"/>
            <w:tcBorders>
              <w:top w:val="nil"/>
              <w:left w:val="nil"/>
              <w:bottom w:val="single" w:sz="4" w:space="0" w:color="333300"/>
              <w:right w:val="single" w:sz="4" w:space="0" w:color="333300"/>
            </w:tcBorders>
            <w:shd w:val="clear" w:color="auto" w:fill="auto"/>
            <w:hideMark/>
          </w:tcPr>
          <w:p w14:paraId="2DE2A98D"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specify local scoreboard size of each link</w:t>
            </w:r>
          </w:p>
        </w:tc>
        <w:tc>
          <w:tcPr>
            <w:tcW w:w="1843" w:type="dxa"/>
            <w:tcBorders>
              <w:top w:val="nil"/>
              <w:left w:val="nil"/>
              <w:bottom w:val="single" w:sz="4" w:space="0" w:color="333300"/>
              <w:right w:val="single" w:sz="4" w:space="0" w:color="333300"/>
            </w:tcBorders>
            <w:shd w:val="clear" w:color="auto" w:fill="auto"/>
            <w:hideMark/>
          </w:tcPr>
          <w:p w14:paraId="6B8F5D23"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complete the missing case</w:t>
            </w:r>
          </w:p>
        </w:tc>
        <w:tc>
          <w:tcPr>
            <w:tcW w:w="2693" w:type="dxa"/>
            <w:tcBorders>
              <w:top w:val="nil"/>
              <w:left w:val="nil"/>
              <w:bottom w:val="single" w:sz="4" w:space="0" w:color="333300"/>
              <w:right w:val="single" w:sz="4" w:space="0" w:color="333300"/>
            </w:tcBorders>
            <w:shd w:val="clear" w:color="auto" w:fill="auto"/>
            <w:hideMark/>
          </w:tcPr>
          <w:p w14:paraId="7C6D504B" w14:textId="77777777" w:rsidR="002B199F" w:rsidRDefault="00F073B1" w:rsidP="002B199F">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08AE3566" w14:textId="77777777" w:rsidR="00F073B1" w:rsidRDefault="00F073B1" w:rsidP="002B199F">
            <w:pPr>
              <w:jc w:val="left"/>
              <w:rPr>
                <w:rFonts w:ascii="Arial" w:eastAsia="宋体" w:hAnsi="Arial" w:cs="Arial"/>
                <w:sz w:val="20"/>
                <w:lang w:val="en-US" w:eastAsia="zh-CN"/>
              </w:rPr>
            </w:pPr>
          </w:p>
          <w:p w14:paraId="75F4FC86" w14:textId="7E3AAFE8" w:rsidR="00F073B1" w:rsidRPr="002B199F" w:rsidRDefault="00F073B1" w:rsidP="00F073B1">
            <w:pPr>
              <w:jc w:val="left"/>
              <w:rPr>
                <w:rFonts w:ascii="Arial" w:eastAsia="宋体" w:hAnsi="Arial" w:cs="Arial"/>
                <w:sz w:val="20"/>
                <w:lang w:val="en-US" w:eastAsia="zh-CN"/>
              </w:rPr>
            </w:pPr>
            <w:r>
              <w:rPr>
                <w:rFonts w:ascii="Arial" w:eastAsia="宋体" w:hAnsi="Arial" w:cs="Arial"/>
                <w:sz w:val="20"/>
                <w:lang w:val="en-US" w:eastAsia="zh-CN"/>
              </w:rPr>
              <w:t xml:space="preserve">Agree with comment. </w:t>
            </w:r>
            <w:r w:rsidRPr="003F6F4A">
              <w:rPr>
                <w:rFonts w:ascii="Arial" w:eastAsia="宋体" w:hAnsi="Arial" w:cs="Arial"/>
                <w:sz w:val="20"/>
                <w:lang w:val="en-US" w:eastAsia="zh-CN"/>
              </w:rPr>
              <w:t>Apply the the changes marked as #1</w:t>
            </w:r>
            <w:r>
              <w:rPr>
                <w:rFonts w:ascii="Arial" w:eastAsia="宋体" w:hAnsi="Arial" w:cs="Arial"/>
                <w:sz w:val="20"/>
                <w:lang w:val="en-US" w:eastAsia="zh-CN"/>
              </w:rPr>
              <w:t>3873</w:t>
            </w:r>
            <w:r w:rsidRPr="003F6F4A">
              <w:rPr>
                <w:rFonts w:ascii="Arial" w:eastAsia="宋体" w:hAnsi="Arial" w:cs="Arial"/>
                <w:sz w:val="20"/>
                <w:lang w:val="en-US" w:eastAsia="zh-CN"/>
              </w:rPr>
              <w:t xml:space="preserve"> in this document.</w:t>
            </w:r>
          </w:p>
        </w:tc>
      </w:tr>
      <w:tr w:rsidR="002B199F" w:rsidRPr="002B199F" w14:paraId="409FD81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2D2E23B5" w14:textId="77777777" w:rsidR="002B199F" w:rsidRPr="00783278" w:rsidRDefault="002B199F" w:rsidP="002B199F">
            <w:pPr>
              <w:jc w:val="right"/>
              <w:rPr>
                <w:rFonts w:ascii="Arial" w:eastAsia="宋体" w:hAnsi="Arial" w:cs="Arial"/>
                <w:strike/>
                <w:sz w:val="20"/>
                <w:lang w:val="en-US" w:eastAsia="zh-CN"/>
              </w:rPr>
            </w:pPr>
            <w:r w:rsidRPr="00783278">
              <w:rPr>
                <w:rFonts w:ascii="Arial" w:eastAsia="宋体" w:hAnsi="Arial" w:cs="Arial"/>
                <w:strike/>
                <w:sz w:val="20"/>
                <w:lang w:val="en-US" w:eastAsia="zh-CN"/>
              </w:rPr>
              <w:t>11833</w:t>
            </w:r>
          </w:p>
        </w:tc>
        <w:tc>
          <w:tcPr>
            <w:tcW w:w="557" w:type="dxa"/>
            <w:tcBorders>
              <w:top w:val="nil"/>
              <w:left w:val="nil"/>
              <w:bottom w:val="single" w:sz="4" w:space="0" w:color="333300"/>
              <w:right w:val="single" w:sz="4" w:space="0" w:color="333300"/>
            </w:tcBorders>
            <w:shd w:val="clear" w:color="auto" w:fill="auto"/>
            <w:hideMark/>
          </w:tcPr>
          <w:p w14:paraId="5E1CA1E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9.2.4.7.10</w:t>
            </w:r>
          </w:p>
        </w:tc>
        <w:tc>
          <w:tcPr>
            <w:tcW w:w="734" w:type="dxa"/>
            <w:tcBorders>
              <w:top w:val="nil"/>
              <w:left w:val="nil"/>
              <w:bottom w:val="single" w:sz="4" w:space="0" w:color="333300"/>
              <w:right w:val="single" w:sz="4" w:space="0" w:color="333300"/>
            </w:tcBorders>
            <w:shd w:val="clear" w:color="auto" w:fill="auto"/>
            <w:hideMark/>
          </w:tcPr>
          <w:p w14:paraId="0B7C223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129.01</w:t>
            </w:r>
          </w:p>
        </w:tc>
        <w:tc>
          <w:tcPr>
            <w:tcW w:w="2961" w:type="dxa"/>
            <w:tcBorders>
              <w:top w:val="nil"/>
              <w:left w:val="nil"/>
              <w:bottom w:val="single" w:sz="4" w:space="0" w:color="333300"/>
              <w:right w:val="single" w:sz="4" w:space="0" w:color="333300"/>
            </w:tcBorders>
            <w:shd w:val="clear" w:color="auto" w:fill="auto"/>
            <w:hideMark/>
          </w:tcPr>
          <w:p w14:paraId="343A59A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Table formatting issues. Re-size to fit the page. Also table becoming too big. Maybe a good to split into two tables I would say.</w:t>
            </w:r>
          </w:p>
        </w:tc>
        <w:tc>
          <w:tcPr>
            <w:tcW w:w="1843" w:type="dxa"/>
            <w:tcBorders>
              <w:top w:val="nil"/>
              <w:left w:val="nil"/>
              <w:bottom w:val="single" w:sz="4" w:space="0" w:color="333300"/>
              <w:right w:val="single" w:sz="4" w:space="0" w:color="333300"/>
            </w:tcBorders>
            <w:shd w:val="clear" w:color="auto" w:fill="auto"/>
            <w:hideMark/>
          </w:tcPr>
          <w:p w14:paraId="3D8E06D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0CA8BE79" w14:textId="5FCE8873" w:rsidR="002B199F" w:rsidRPr="002B199F" w:rsidRDefault="00B6503A" w:rsidP="002B199F">
            <w:pPr>
              <w:jc w:val="left"/>
              <w:rPr>
                <w:rFonts w:ascii="Arial" w:eastAsia="宋体" w:hAnsi="Arial" w:cs="Arial"/>
                <w:sz w:val="20"/>
                <w:lang w:val="en-US" w:eastAsia="zh-CN"/>
              </w:rPr>
            </w:pPr>
            <w:r>
              <w:rPr>
                <w:rFonts w:ascii="Arial" w:eastAsia="宋体" w:hAnsi="Arial" w:cs="Arial"/>
                <w:sz w:val="20"/>
                <w:lang w:val="en-US" w:eastAsia="zh-CN"/>
              </w:rPr>
              <w:t>Accepted-</w:t>
            </w:r>
          </w:p>
        </w:tc>
      </w:tr>
    </w:tbl>
    <w:p w14:paraId="58B9E37B" w14:textId="5141396B" w:rsidR="005A2648" w:rsidRPr="002B199F" w:rsidRDefault="005A2648" w:rsidP="00AA56F8">
      <w:pPr>
        <w:rPr>
          <w:b/>
          <w:bCs/>
          <w:i/>
          <w:iCs/>
          <w:lang w:val="en-US" w:eastAsia="zh-CN"/>
        </w:rPr>
      </w:pPr>
    </w:p>
    <w:p w14:paraId="19442847" w14:textId="77777777" w:rsidR="002B199F" w:rsidRDefault="002B199F" w:rsidP="00AA56F8">
      <w:pPr>
        <w:rPr>
          <w:b/>
          <w:bCs/>
          <w:i/>
          <w:iCs/>
          <w:lang w:val="en-US" w:eastAsia="zh-CN"/>
        </w:rPr>
      </w:pPr>
    </w:p>
    <w:p w14:paraId="66C9F119" w14:textId="77777777" w:rsidR="002B199F" w:rsidRPr="002B199F" w:rsidRDefault="002B199F" w:rsidP="00AA56F8">
      <w:pPr>
        <w:rPr>
          <w:b/>
          <w:bCs/>
          <w:i/>
          <w:iCs/>
          <w:lang w:val="en-US" w:eastAsia="zh-CN"/>
        </w:rPr>
      </w:pPr>
    </w:p>
    <w:p w14:paraId="4783648A" w14:textId="5A10B420" w:rsidR="00EE5D9B" w:rsidRDefault="00EE5D9B" w:rsidP="00EE5D9B">
      <w:pPr>
        <w:pStyle w:val="T"/>
        <w:rPr>
          <w:sz w:val="24"/>
          <w:lang w:val="en-GB"/>
        </w:rPr>
      </w:pPr>
      <w:bookmarkStart w:id="1" w:name="RTF35383035323a2048342c312e"/>
      <w:r w:rsidRPr="00E3607E">
        <w:rPr>
          <w:b/>
          <w:sz w:val="24"/>
          <w:u w:val="single"/>
          <w:lang w:val="en-GB"/>
        </w:rPr>
        <w:t>Discussion:</w:t>
      </w:r>
      <w:r w:rsidRPr="00E3607E">
        <w:rPr>
          <w:sz w:val="24"/>
          <w:lang w:val="en-GB"/>
        </w:rPr>
        <w:t xml:space="preserve"> </w:t>
      </w:r>
      <w:r w:rsidR="00656607">
        <w:rPr>
          <w:sz w:val="24"/>
          <w:lang w:val="en-GB"/>
        </w:rPr>
        <w:t>None.</w:t>
      </w:r>
    </w:p>
    <w:bookmarkEnd w:id="1"/>
    <w:p w14:paraId="20C5C632" w14:textId="02BC8564" w:rsidR="00C77B7B" w:rsidRDefault="00C77B7B" w:rsidP="00C77B7B">
      <w:pPr>
        <w:pStyle w:val="T"/>
        <w:rPr>
          <w:rFonts w:ascii="TimesNewRomanPSMT" w:cs="TimesNewRomanPSMT"/>
          <w:lang w:eastAsia="zh-CN"/>
        </w:rPr>
      </w:pPr>
    </w:p>
    <w:p w14:paraId="3039BCFC" w14:textId="77777777" w:rsidR="00DA2BB8" w:rsidRDefault="00DA2BB8" w:rsidP="007B1C04">
      <w:pPr>
        <w:widowControl w:val="0"/>
        <w:autoSpaceDE w:val="0"/>
        <w:autoSpaceDN w:val="0"/>
        <w:adjustRightInd w:val="0"/>
        <w:jc w:val="left"/>
        <w:rPr>
          <w:ins w:id="2" w:author="Ming Gan" w:date="2022-11-03T19:06:00Z"/>
          <w:rFonts w:ascii="TimesNewRoman" w:eastAsia="TimesNewRoman" w:cs="TimesNewRoman"/>
          <w:sz w:val="20"/>
          <w:lang w:val="en-US"/>
        </w:rPr>
      </w:pPr>
    </w:p>
    <w:p w14:paraId="3213DF6C" w14:textId="77777777" w:rsidR="00DA2BB8" w:rsidRDefault="00DA2BB8" w:rsidP="007B1C04">
      <w:pPr>
        <w:widowControl w:val="0"/>
        <w:autoSpaceDE w:val="0"/>
        <w:autoSpaceDN w:val="0"/>
        <w:adjustRightInd w:val="0"/>
        <w:jc w:val="left"/>
        <w:rPr>
          <w:ins w:id="3" w:author="Ming Gan" w:date="2022-10-26T15:05:00Z"/>
          <w:rFonts w:ascii="TimesNewRoman" w:eastAsia="TimesNewRoman" w:cs="TimesNewRoman"/>
          <w:sz w:val="20"/>
          <w:lang w:val="en-US"/>
        </w:rPr>
      </w:pPr>
    </w:p>
    <w:p w14:paraId="2ED5D014" w14:textId="77777777" w:rsidR="0000687B" w:rsidRDefault="0000687B" w:rsidP="0000687B">
      <w:pPr>
        <w:pStyle w:val="T"/>
        <w:rPr>
          <w:ins w:id="4" w:author="Ming Gan" w:date="2022-11-03T20:11:00Z"/>
          <w:rFonts w:ascii="TimesNewRomanPSMT" w:cs="TimesNewRomanPSMT"/>
          <w:lang w:eastAsia="zh-CN"/>
        </w:rPr>
      </w:pPr>
    </w:p>
    <w:p w14:paraId="0082C22F" w14:textId="7FC6B15F" w:rsidR="005224FF" w:rsidRDefault="0000687B" w:rsidP="0000687B">
      <w:pPr>
        <w:widowControl w:val="0"/>
        <w:autoSpaceDE w:val="0"/>
        <w:autoSpaceDN w:val="0"/>
        <w:adjustRightInd w:val="0"/>
        <w:jc w:val="left"/>
        <w:rPr>
          <w:ins w:id="5" w:author="Ming Gan" w:date="2022-11-03T20:11:00Z"/>
          <w:i/>
          <w:color w:val="000000"/>
          <w:sz w:val="20"/>
        </w:rPr>
      </w:pPr>
      <w:ins w:id="6" w:author="Ming Gan" w:date="2022-11-03T20:11:00Z">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 xml:space="preserve">modify the subclause </w:t>
        </w:r>
        <w:r w:rsidRPr="0000687B">
          <w:rPr>
            <w:b/>
            <w:bCs/>
            <w:i/>
            <w:iCs/>
            <w:sz w:val="20"/>
            <w:highlight w:val="yellow"/>
            <w:lang w:val="en-US" w:eastAsia="zh-CN"/>
          </w:rPr>
          <w:t>9.6.24.8 TWT Setup frame format</w:t>
        </w:r>
        <w:r>
          <w:rPr>
            <w:b/>
            <w:bCs/>
            <w:i/>
            <w:iCs/>
            <w:sz w:val="20"/>
            <w:highlight w:val="yellow"/>
            <w:lang w:val="en-US" w:eastAsia="zh-CN"/>
          </w:rPr>
          <w:t xml:space="preserve">  </w:t>
        </w:r>
        <w:r w:rsidRPr="000B7A2A">
          <w:rPr>
            <w:b/>
            <w:bCs/>
            <w:i/>
            <w:iCs/>
            <w:sz w:val="20"/>
            <w:highlight w:val="yellow"/>
            <w:lang w:eastAsia="zh-CN"/>
          </w:rPr>
          <w:t>as follows</w:t>
        </w:r>
        <w:r w:rsidRPr="0092180A">
          <w:rPr>
            <w:color w:val="000000"/>
            <w:sz w:val="20"/>
          </w:rPr>
          <w:t xml:space="preserve"> </w:t>
        </w:r>
        <w:r>
          <w:rPr>
            <w:color w:val="000000"/>
            <w:sz w:val="20"/>
          </w:rPr>
          <w:t xml:space="preserve"> </w:t>
        </w:r>
        <w:r>
          <w:rPr>
            <w:i/>
            <w:color w:val="000000"/>
            <w:sz w:val="20"/>
          </w:rPr>
          <w:t xml:space="preserve"> (#</w:t>
        </w:r>
      </w:ins>
      <w:ins w:id="7" w:author="Ming Gan" w:date="2022-11-03T20:12:00Z">
        <w:r>
          <w:rPr>
            <w:i/>
            <w:color w:val="000000"/>
            <w:sz w:val="20"/>
          </w:rPr>
          <w:t>12588</w:t>
        </w:r>
      </w:ins>
      <w:ins w:id="8" w:author="Ming Gan" w:date="2022-11-03T20:11:00Z">
        <w:r>
          <w:rPr>
            <w:i/>
            <w:color w:val="000000"/>
            <w:sz w:val="20"/>
          </w:rPr>
          <w:t>)</w:t>
        </w:r>
      </w:ins>
    </w:p>
    <w:p w14:paraId="197C195E" w14:textId="77777777" w:rsidR="0000687B" w:rsidRPr="00DA2BB8" w:rsidRDefault="0000687B" w:rsidP="0000687B">
      <w:pPr>
        <w:widowControl w:val="0"/>
        <w:autoSpaceDE w:val="0"/>
        <w:autoSpaceDN w:val="0"/>
        <w:adjustRightInd w:val="0"/>
        <w:jc w:val="left"/>
        <w:rPr>
          <w:rFonts w:ascii="TimesNewRoman" w:eastAsia="TimesNewRoman" w:cs="TimesNewRoman"/>
          <w:sz w:val="20"/>
        </w:rPr>
      </w:pPr>
    </w:p>
    <w:p w14:paraId="73F2588D" w14:textId="77777777" w:rsidR="0000687B" w:rsidRDefault="0000687B" w:rsidP="0000687B">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9.6.24.8 TWT Setup frame format</w:t>
      </w:r>
    </w:p>
    <w:p w14:paraId="724F4CCF" w14:textId="77777777" w:rsidR="0000687B" w:rsidRDefault="0000687B" w:rsidP="0000687B">
      <w:pPr>
        <w:widowControl w:val="0"/>
        <w:autoSpaceDE w:val="0"/>
        <w:autoSpaceDN w:val="0"/>
        <w:adjustRightInd w:val="0"/>
        <w:jc w:val="left"/>
        <w:rPr>
          <w:rFonts w:ascii="Arial,Bold" w:eastAsia="Arial,Bold" w:cs="Arial,Bold"/>
          <w:b/>
          <w:bCs/>
          <w:sz w:val="20"/>
          <w:lang w:val="en-US"/>
        </w:rPr>
      </w:pPr>
    </w:p>
    <w:p w14:paraId="6D56D8CB" w14:textId="62564FD2" w:rsidR="00611EC0" w:rsidRDefault="0000687B" w:rsidP="0000687B">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The TWT Setup frame is sent by a STA to request the setup of a TWT SP and it is sent by a responding STA to indicate the status of a requested TWT SP. The Action field of the TWT Setup frame contains the information shown in Table 9-589 (TWT Setup frame Action field format).</w:t>
      </w:r>
    </w:p>
    <w:p w14:paraId="58611385" w14:textId="77777777" w:rsidR="0000687B" w:rsidRDefault="0000687B" w:rsidP="0000687B">
      <w:pPr>
        <w:widowControl w:val="0"/>
        <w:autoSpaceDE w:val="0"/>
        <w:autoSpaceDN w:val="0"/>
        <w:adjustRightInd w:val="0"/>
        <w:jc w:val="left"/>
        <w:rPr>
          <w:rFonts w:ascii="TimesNewRoman" w:eastAsia="TimesNewRoman" w:cs="TimesNewRoman"/>
          <w:sz w:val="20"/>
          <w:lang w:val="en-US"/>
        </w:rPr>
      </w:pPr>
    </w:p>
    <w:p w14:paraId="1109D646" w14:textId="274A28EC" w:rsidR="0000687B" w:rsidRDefault="0000687B" w:rsidP="0000687B">
      <w:pPr>
        <w:widowControl w:val="0"/>
        <w:autoSpaceDE w:val="0"/>
        <w:autoSpaceDN w:val="0"/>
        <w:adjustRightInd w:val="0"/>
        <w:jc w:val="center"/>
        <w:rPr>
          <w:rFonts w:ascii="TimesNewRoman" w:eastAsia="TimesNewRoman" w:cs="TimesNewRoman"/>
          <w:sz w:val="20"/>
          <w:lang w:val="en-US"/>
        </w:rPr>
      </w:pPr>
      <w:r w:rsidRPr="0000687B">
        <w:rPr>
          <w:rFonts w:ascii="Arial,Bold" w:eastAsia="Arial,Bold" w:cs="Arial,Bold"/>
          <w:b/>
          <w:bCs/>
          <w:sz w:val="20"/>
          <w:lang w:val="en-US"/>
        </w:rPr>
        <w:t>Table 9-589</w:t>
      </w:r>
      <w:r w:rsidRPr="0000687B">
        <w:rPr>
          <w:rFonts w:ascii="Arial,Bold" w:eastAsia="Arial,Bold" w:cs="Arial,Bold"/>
          <w:b/>
          <w:bCs/>
          <w:sz w:val="20"/>
          <w:lang w:val="en-US"/>
        </w:rPr>
        <w:t>—</w:t>
      </w:r>
      <w:r w:rsidRPr="0000687B">
        <w:rPr>
          <w:rFonts w:ascii="Arial,Bold" w:eastAsia="Arial,Bold" w:cs="Arial,Bold"/>
          <w:b/>
          <w:bCs/>
          <w:sz w:val="20"/>
          <w:lang w:val="en-US"/>
        </w:rPr>
        <w:t>TWT Setup frame Action field format</w:t>
      </w:r>
    </w:p>
    <w:tbl>
      <w:tblPr>
        <w:tblStyle w:val="ae"/>
        <w:tblW w:w="0" w:type="auto"/>
        <w:jc w:val="center"/>
        <w:tblLook w:val="04A0" w:firstRow="1" w:lastRow="0" w:firstColumn="1" w:lastColumn="0" w:noHBand="0" w:noVBand="1"/>
      </w:tblPr>
      <w:tblGrid>
        <w:gridCol w:w="988"/>
        <w:gridCol w:w="3446"/>
      </w:tblGrid>
      <w:tr w:rsidR="0000687B" w14:paraId="6C468740" w14:textId="77777777" w:rsidTr="0083473B">
        <w:trPr>
          <w:trHeight w:val="308"/>
          <w:jc w:val="center"/>
        </w:trPr>
        <w:tc>
          <w:tcPr>
            <w:tcW w:w="988" w:type="dxa"/>
          </w:tcPr>
          <w:p w14:paraId="416DF859" w14:textId="77777777" w:rsidR="0000687B" w:rsidRDefault="0000687B" w:rsidP="0083473B">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Order</w:t>
            </w:r>
          </w:p>
        </w:tc>
        <w:tc>
          <w:tcPr>
            <w:tcW w:w="3446" w:type="dxa"/>
          </w:tcPr>
          <w:p w14:paraId="32DD3BA9" w14:textId="77777777" w:rsidR="0000687B" w:rsidRDefault="0000687B" w:rsidP="0083473B">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Information</w:t>
            </w:r>
          </w:p>
        </w:tc>
      </w:tr>
      <w:tr w:rsidR="0000687B" w14:paraId="179F2FBE" w14:textId="77777777" w:rsidTr="0083473B">
        <w:trPr>
          <w:trHeight w:val="246"/>
          <w:jc w:val="center"/>
        </w:trPr>
        <w:tc>
          <w:tcPr>
            <w:tcW w:w="988" w:type="dxa"/>
          </w:tcPr>
          <w:p w14:paraId="68BF9FAE"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1</w:t>
            </w:r>
          </w:p>
        </w:tc>
        <w:tc>
          <w:tcPr>
            <w:tcW w:w="3446" w:type="dxa"/>
          </w:tcPr>
          <w:p w14:paraId="1A5DB2C0" w14:textId="77777777" w:rsidR="0000687B" w:rsidRDefault="0000687B" w:rsidP="0083473B">
            <w:pPr>
              <w:widowControl w:val="0"/>
              <w:autoSpaceDE w:val="0"/>
              <w:autoSpaceDN w:val="0"/>
              <w:adjustRightInd w:val="0"/>
              <w:jc w:val="left"/>
              <w:rPr>
                <w:color w:val="000000"/>
                <w:sz w:val="20"/>
              </w:rPr>
            </w:pPr>
            <w:r>
              <w:rPr>
                <w:rFonts w:ascii="TimesNewRoman" w:eastAsia="TimesNewRoman" w:cs="TimesNewRoman"/>
                <w:sz w:val="18"/>
                <w:szCs w:val="18"/>
                <w:lang w:val="en-US"/>
              </w:rPr>
              <w:t>Category</w:t>
            </w:r>
          </w:p>
        </w:tc>
      </w:tr>
      <w:tr w:rsidR="0000687B" w14:paraId="07648D99" w14:textId="77777777" w:rsidTr="0083473B">
        <w:trPr>
          <w:trHeight w:val="231"/>
          <w:jc w:val="center"/>
        </w:trPr>
        <w:tc>
          <w:tcPr>
            <w:tcW w:w="988" w:type="dxa"/>
          </w:tcPr>
          <w:p w14:paraId="50F74425"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2</w:t>
            </w:r>
          </w:p>
        </w:tc>
        <w:tc>
          <w:tcPr>
            <w:tcW w:w="3446" w:type="dxa"/>
          </w:tcPr>
          <w:p w14:paraId="38FE1B28" w14:textId="77777777" w:rsidR="0000687B" w:rsidRDefault="0000687B" w:rsidP="0083473B">
            <w:pPr>
              <w:widowControl w:val="0"/>
              <w:autoSpaceDE w:val="0"/>
              <w:autoSpaceDN w:val="0"/>
              <w:adjustRightInd w:val="0"/>
              <w:jc w:val="left"/>
              <w:rPr>
                <w:color w:val="000000"/>
                <w:sz w:val="20"/>
              </w:rPr>
            </w:pPr>
            <w:r>
              <w:rPr>
                <w:rFonts w:ascii="TimesNewRoman" w:eastAsia="TimesNewRoman" w:cs="TimesNewRoman"/>
                <w:sz w:val="18"/>
                <w:szCs w:val="18"/>
                <w:lang w:val="en-US"/>
              </w:rPr>
              <w:t>Unprotected S1G Action</w:t>
            </w:r>
          </w:p>
        </w:tc>
      </w:tr>
      <w:tr w:rsidR="0000687B" w14:paraId="16A7F2B5" w14:textId="77777777" w:rsidTr="0083473B">
        <w:trPr>
          <w:trHeight w:val="231"/>
          <w:jc w:val="center"/>
        </w:trPr>
        <w:tc>
          <w:tcPr>
            <w:tcW w:w="988" w:type="dxa"/>
          </w:tcPr>
          <w:p w14:paraId="3798E5AC"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3</w:t>
            </w:r>
          </w:p>
        </w:tc>
        <w:tc>
          <w:tcPr>
            <w:tcW w:w="3446" w:type="dxa"/>
          </w:tcPr>
          <w:p w14:paraId="7FAFCF12" w14:textId="2E6D6EB6" w:rsidR="0000687B" w:rsidRDefault="0000687B" w:rsidP="0083473B">
            <w:pPr>
              <w:widowControl w:val="0"/>
              <w:autoSpaceDE w:val="0"/>
              <w:autoSpaceDN w:val="0"/>
              <w:adjustRightInd w:val="0"/>
              <w:jc w:val="left"/>
              <w:rPr>
                <w:color w:val="000000"/>
                <w:sz w:val="20"/>
              </w:rPr>
            </w:pPr>
            <w:r w:rsidRPr="0000687B">
              <w:rPr>
                <w:rFonts w:ascii="TimesNewRoman" w:eastAsia="TimesNewRoman" w:cs="TimesNewRoman"/>
                <w:sz w:val="18"/>
                <w:szCs w:val="18"/>
                <w:lang w:val="en-US"/>
              </w:rPr>
              <w:t>Dialog Token</w:t>
            </w:r>
          </w:p>
        </w:tc>
      </w:tr>
      <w:tr w:rsidR="0000687B" w14:paraId="69D57D35" w14:textId="77777777" w:rsidTr="0083473B">
        <w:trPr>
          <w:trHeight w:val="231"/>
          <w:jc w:val="center"/>
        </w:trPr>
        <w:tc>
          <w:tcPr>
            <w:tcW w:w="988" w:type="dxa"/>
          </w:tcPr>
          <w:p w14:paraId="32046FE8" w14:textId="6D0A34F9" w:rsidR="0000687B" w:rsidRPr="0000687B"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4</w:t>
            </w:r>
          </w:p>
        </w:tc>
        <w:tc>
          <w:tcPr>
            <w:tcW w:w="3446" w:type="dxa"/>
          </w:tcPr>
          <w:p w14:paraId="4F472543" w14:textId="77777777" w:rsidR="0000687B" w:rsidRDefault="0000687B" w:rsidP="0083473B">
            <w:pPr>
              <w:widowControl w:val="0"/>
              <w:autoSpaceDE w:val="0"/>
              <w:autoSpaceDN w:val="0"/>
              <w:adjustRightInd w:val="0"/>
              <w:jc w:val="left"/>
              <w:rPr>
                <w:ins w:id="9" w:author="Ming Gan" w:date="2022-11-03T20:09:00Z"/>
                <w:rFonts w:ascii="TimesNewRoman" w:eastAsia="TimesNewRoman" w:cs="TimesNewRoman"/>
                <w:sz w:val="18"/>
                <w:szCs w:val="18"/>
                <w:lang w:val="en-US"/>
              </w:rPr>
            </w:pPr>
            <w:r>
              <w:rPr>
                <w:rFonts w:ascii="TimesNewRoman" w:eastAsia="TimesNewRoman" w:cs="TimesNewRoman"/>
                <w:sz w:val="18"/>
                <w:szCs w:val="18"/>
                <w:lang w:val="en-US"/>
              </w:rPr>
              <w:t xml:space="preserve">One or two TWT (9.4.2.199 (TWT element)) </w:t>
            </w:r>
            <w:ins w:id="10" w:author="Ming Gan" w:date="2022-11-03T20:09:00Z">
              <w:r>
                <w:rPr>
                  <w:rFonts w:ascii="TimesNewRoman" w:eastAsia="TimesNewRoman" w:cs="TimesNewRoman"/>
                  <w:sz w:val="18"/>
                  <w:szCs w:val="18"/>
                  <w:lang w:val="en-US"/>
                </w:rPr>
                <w:t>for non-MLO;</w:t>
              </w:r>
            </w:ins>
          </w:p>
          <w:p w14:paraId="6F45F504" w14:textId="70E63790" w:rsidR="0000687B" w:rsidRPr="0000687B" w:rsidRDefault="0000687B" w:rsidP="0000687B">
            <w:pPr>
              <w:widowControl w:val="0"/>
              <w:autoSpaceDE w:val="0"/>
              <w:autoSpaceDN w:val="0"/>
              <w:adjustRightInd w:val="0"/>
              <w:jc w:val="left"/>
              <w:rPr>
                <w:rFonts w:ascii="TimesNewRoman" w:eastAsia="TimesNewRoman" w:cs="TimesNewRoman"/>
                <w:sz w:val="18"/>
                <w:szCs w:val="18"/>
                <w:lang w:val="en-US"/>
              </w:rPr>
            </w:pPr>
            <w:ins w:id="11" w:author="Ming Gan" w:date="2022-11-03T20:09:00Z">
              <w:r>
                <w:rPr>
                  <w:rFonts w:ascii="TimesNewRoman" w:eastAsia="TimesNewRoman" w:cs="TimesNewRoman"/>
                  <w:sz w:val="18"/>
                  <w:szCs w:val="18"/>
                  <w:lang w:val="en-US"/>
                </w:rPr>
                <w:t>One or more TWT (9.4.2.199 (TWT element)) for MLO</w:t>
              </w:r>
            </w:ins>
          </w:p>
        </w:tc>
      </w:tr>
    </w:tbl>
    <w:p w14:paraId="1F36B6A7" w14:textId="77777777" w:rsidR="0000687B" w:rsidRDefault="0000687B" w:rsidP="0000687B">
      <w:pPr>
        <w:widowControl w:val="0"/>
        <w:autoSpaceDE w:val="0"/>
        <w:autoSpaceDN w:val="0"/>
        <w:adjustRightInd w:val="0"/>
        <w:jc w:val="left"/>
        <w:rPr>
          <w:ins w:id="12" w:author="Ming Gan" w:date="2022-11-03T20:10:00Z"/>
          <w:rFonts w:eastAsia="TimesNewRoman"/>
          <w:sz w:val="20"/>
        </w:rPr>
      </w:pPr>
    </w:p>
    <w:p w14:paraId="670AD39D" w14:textId="0FCC06CA" w:rsidR="0000687B" w:rsidRDefault="0000687B" w:rsidP="0000687B">
      <w:pPr>
        <w:widowControl w:val="0"/>
        <w:autoSpaceDE w:val="0"/>
        <w:autoSpaceDN w:val="0"/>
        <w:adjustRightInd w:val="0"/>
        <w:jc w:val="left"/>
        <w:rPr>
          <w:ins w:id="13" w:author="Ming Gan" w:date="2022-11-03T20:10:00Z"/>
          <w:rFonts w:eastAsia="TimesNewRoman"/>
          <w:sz w:val="20"/>
        </w:rPr>
      </w:pPr>
      <w:ins w:id="14" w:author="Ming Gan" w:date="2022-11-03T20:10:00Z">
        <w:r>
          <w:rPr>
            <w:rFonts w:ascii="TimesNewRoman" w:eastAsia="TimesNewRoman" w:cs="TimesNewRoman"/>
            <w:sz w:val="20"/>
            <w:lang w:val="en-US"/>
          </w:rPr>
          <w:t xml:space="preserve">For non-MLO, </w:t>
        </w:r>
      </w:ins>
      <w:del w:id="15" w:author="Ming Gan" w:date="2022-11-03T20:10:00Z">
        <w:r w:rsidDel="0000687B">
          <w:rPr>
            <w:rFonts w:ascii="TimesNewRoman" w:eastAsia="TimesNewRoman" w:cs="TimesNewRoman"/>
            <w:sz w:val="20"/>
            <w:lang w:val="en-US"/>
          </w:rPr>
          <w:delText>A</w:delText>
        </w:r>
      </w:del>
      <w:ins w:id="16" w:author="Ming Gan" w:date="2022-11-03T20:10:00Z">
        <w:r>
          <w:rPr>
            <w:rFonts w:ascii="TimesNewRoman" w:eastAsia="TimesNewRoman" w:cs="TimesNewRoman"/>
            <w:sz w:val="20"/>
            <w:lang w:val="en-US"/>
          </w:rPr>
          <w:t>a</w:t>
        </w:r>
      </w:ins>
      <w:r>
        <w:rPr>
          <w:rFonts w:ascii="TimesNewRoman" w:eastAsia="TimesNewRoman" w:cs="TimesNewRoman"/>
          <w:sz w:val="20"/>
          <w:lang w:val="en-US"/>
        </w:rPr>
        <w:t xml:space="preserve"> TWT Setup frame contains only one TWT element, except if used for the establishment of a TWT agreement with a range of TWT parameter values (see 10.47.9 (TWT parameter ranges)). In this case, an additional TWT element is present.</w:t>
      </w:r>
    </w:p>
    <w:p w14:paraId="25650CBF" w14:textId="77777777" w:rsidR="0000687B" w:rsidRDefault="0000687B" w:rsidP="0000687B">
      <w:pPr>
        <w:widowControl w:val="0"/>
        <w:autoSpaceDE w:val="0"/>
        <w:autoSpaceDN w:val="0"/>
        <w:adjustRightInd w:val="0"/>
        <w:jc w:val="left"/>
        <w:rPr>
          <w:ins w:id="17" w:author="Ming Gan" w:date="2022-11-03T20:11:00Z"/>
          <w:rFonts w:eastAsia="TimesNewRoman"/>
          <w:sz w:val="20"/>
        </w:rPr>
      </w:pPr>
    </w:p>
    <w:p w14:paraId="44E12220" w14:textId="4CAB2622" w:rsidR="0000687B" w:rsidRDefault="0000687B" w:rsidP="0000687B">
      <w:pPr>
        <w:widowControl w:val="0"/>
        <w:autoSpaceDE w:val="0"/>
        <w:autoSpaceDN w:val="0"/>
        <w:adjustRightInd w:val="0"/>
        <w:jc w:val="left"/>
        <w:rPr>
          <w:ins w:id="18" w:author="Ming Gan" w:date="2022-11-03T20:11:00Z"/>
          <w:rFonts w:eastAsia="TimesNewRoman"/>
          <w:sz w:val="20"/>
        </w:rPr>
      </w:pPr>
      <w:ins w:id="19" w:author="Ming Gan" w:date="2022-11-03T20:11:00Z">
        <w:r>
          <w:rPr>
            <w:rFonts w:ascii="TimesNewRoman" w:eastAsia="TimesNewRoman" w:cs="TimesNewRoman"/>
            <w:sz w:val="20"/>
            <w:lang w:val="en-US"/>
          </w:rPr>
          <w:t>For MLO, a TWT Setup frame contains one or more TWT elements.</w:t>
        </w:r>
      </w:ins>
    </w:p>
    <w:p w14:paraId="59344252" w14:textId="77777777" w:rsidR="0000687B" w:rsidRDefault="0000687B" w:rsidP="0000687B">
      <w:pPr>
        <w:widowControl w:val="0"/>
        <w:autoSpaceDE w:val="0"/>
        <w:autoSpaceDN w:val="0"/>
        <w:adjustRightInd w:val="0"/>
        <w:jc w:val="left"/>
        <w:rPr>
          <w:ins w:id="20" w:author="Ming Gan" w:date="2022-11-03T20:21:00Z"/>
          <w:rFonts w:eastAsia="TimesNewRoman"/>
          <w:sz w:val="20"/>
        </w:rPr>
      </w:pPr>
    </w:p>
    <w:p w14:paraId="59C65DD3" w14:textId="77777777" w:rsidR="00FC58EE" w:rsidRDefault="00FC58EE" w:rsidP="0000687B">
      <w:pPr>
        <w:widowControl w:val="0"/>
        <w:autoSpaceDE w:val="0"/>
        <w:autoSpaceDN w:val="0"/>
        <w:adjustRightInd w:val="0"/>
        <w:jc w:val="left"/>
        <w:rPr>
          <w:ins w:id="21" w:author="Ming Gan" w:date="2022-11-03T20:23:00Z"/>
          <w:rFonts w:eastAsia="TimesNewRoman"/>
          <w:sz w:val="20"/>
        </w:rPr>
      </w:pPr>
    </w:p>
    <w:p w14:paraId="5659D7B6" w14:textId="1155809E" w:rsidR="00FC58EE" w:rsidRDefault="00FC58EE" w:rsidP="00FC58EE">
      <w:pPr>
        <w:widowControl w:val="0"/>
        <w:autoSpaceDE w:val="0"/>
        <w:autoSpaceDN w:val="0"/>
        <w:adjustRightInd w:val="0"/>
        <w:jc w:val="left"/>
        <w:rPr>
          <w:ins w:id="22" w:author="Ming Gan" w:date="2022-11-03T20:23:00Z"/>
          <w:i/>
          <w:color w:val="000000"/>
          <w:sz w:val="20"/>
        </w:rPr>
      </w:pPr>
      <w:ins w:id="23" w:author="Ming Gan" w:date="2022-11-03T20:23:00Z">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 xml:space="preserve">modify the subclause </w:t>
        </w:r>
      </w:ins>
      <w:ins w:id="24" w:author="Ming Gan" w:date="2022-11-03T20:24:00Z">
        <w:r w:rsidRPr="00FC58EE">
          <w:rPr>
            <w:b/>
            <w:bCs/>
            <w:i/>
            <w:iCs/>
            <w:sz w:val="20"/>
            <w:highlight w:val="yellow"/>
            <w:lang w:eastAsia="zh-CN"/>
          </w:rPr>
          <w:t>35.3.24.2 Individual TWT agreements</w:t>
        </w:r>
      </w:ins>
      <w:ins w:id="25" w:author="Ming Gan" w:date="2022-11-03T20:23:00Z">
        <w:r>
          <w:rPr>
            <w:b/>
            <w:bCs/>
            <w:i/>
            <w:iCs/>
            <w:sz w:val="20"/>
            <w:highlight w:val="yellow"/>
            <w:lang w:val="en-US" w:eastAsia="zh-CN"/>
          </w:rPr>
          <w:t xml:space="preserve"> </w:t>
        </w:r>
        <w:r w:rsidRPr="000B7A2A">
          <w:rPr>
            <w:b/>
            <w:bCs/>
            <w:i/>
            <w:iCs/>
            <w:sz w:val="20"/>
            <w:highlight w:val="yellow"/>
            <w:lang w:eastAsia="zh-CN"/>
          </w:rPr>
          <w:t>as follows</w:t>
        </w:r>
        <w:r w:rsidRPr="0092180A">
          <w:rPr>
            <w:color w:val="000000"/>
            <w:sz w:val="20"/>
          </w:rPr>
          <w:t xml:space="preserve"> </w:t>
        </w:r>
        <w:r>
          <w:rPr>
            <w:color w:val="000000"/>
            <w:sz w:val="20"/>
          </w:rPr>
          <w:t xml:space="preserve"> </w:t>
        </w:r>
        <w:r>
          <w:rPr>
            <w:i/>
            <w:color w:val="000000"/>
            <w:sz w:val="20"/>
          </w:rPr>
          <w:t xml:space="preserve"> (#1</w:t>
        </w:r>
      </w:ins>
      <w:ins w:id="26" w:author="Ming Gan" w:date="2022-11-03T20:28:00Z">
        <w:r>
          <w:rPr>
            <w:i/>
            <w:color w:val="000000"/>
            <w:sz w:val="20"/>
          </w:rPr>
          <w:t>1879</w:t>
        </w:r>
      </w:ins>
      <w:ins w:id="27" w:author="Ming Gan" w:date="2022-11-03T20:23:00Z">
        <w:r>
          <w:rPr>
            <w:i/>
            <w:color w:val="000000"/>
            <w:sz w:val="20"/>
          </w:rPr>
          <w:t>)</w:t>
        </w:r>
      </w:ins>
    </w:p>
    <w:p w14:paraId="05061B81" w14:textId="77777777" w:rsidR="00FC58EE" w:rsidRPr="00FC58EE" w:rsidRDefault="00FC58EE" w:rsidP="0000687B">
      <w:pPr>
        <w:widowControl w:val="0"/>
        <w:autoSpaceDE w:val="0"/>
        <w:autoSpaceDN w:val="0"/>
        <w:adjustRightInd w:val="0"/>
        <w:jc w:val="left"/>
        <w:rPr>
          <w:ins w:id="28" w:author="Ming Gan" w:date="2022-11-03T20:21:00Z"/>
          <w:rFonts w:eastAsia="TimesNewRoman"/>
          <w:sz w:val="20"/>
        </w:rPr>
      </w:pPr>
    </w:p>
    <w:p w14:paraId="2A0A477D" w14:textId="6410C615" w:rsidR="00FC58EE" w:rsidRDefault="00FC58EE" w:rsidP="0000687B">
      <w:pPr>
        <w:widowControl w:val="0"/>
        <w:autoSpaceDE w:val="0"/>
        <w:autoSpaceDN w:val="0"/>
        <w:adjustRightInd w:val="0"/>
        <w:jc w:val="left"/>
        <w:rPr>
          <w:ins w:id="29" w:author="Ming Gan" w:date="2022-11-03T20:21:00Z"/>
          <w:rFonts w:eastAsia="TimesNewRoman"/>
          <w:sz w:val="20"/>
        </w:rPr>
      </w:pPr>
      <w:r>
        <w:rPr>
          <w:b/>
          <w:bCs/>
          <w:sz w:val="20"/>
        </w:rPr>
        <w:t>35.3.24.2 Individual TWT agreements</w:t>
      </w:r>
    </w:p>
    <w:p w14:paraId="728C072A" w14:textId="77777777" w:rsidR="00FC58EE" w:rsidRDefault="00FC58EE" w:rsidP="0000687B">
      <w:pPr>
        <w:widowControl w:val="0"/>
        <w:autoSpaceDE w:val="0"/>
        <w:autoSpaceDN w:val="0"/>
        <w:adjustRightInd w:val="0"/>
        <w:jc w:val="left"/>
        <w:rPr>
          <w:sz w:val="20"/>
        </w:rPr>
      </w:pPr>
    </w:p>
    <w:p w14:paraId="67654619" w14:textId="546AAA22" w:rsidR="00FC58EE" w:rsidRDefault="00FC58EE" w:rsidP="0000687B">
      <w:pPr>
        <w:widowControl w:val="0"/>
        <w:autoSpaceDE w:val="0"/>
        <w:autoSpaceDN w:val="0"/>
        <w:adjustRightInd w:val="0"/>
        <w:jc w:val="left"/>
        <w:rPr>
          <w:ins w:id="30" w:author="Ming Gan" w:date="2022-11-03T20:23:00Z"/>
          <w:sz w:val="20"/>
        </w:rPr>
      </w:pPr>
      <w:r>
        <w:rPr>
          <w:sz w:val="20"/>
        </w:rPr>
        <w:t>—A TWT responding STA affiliated with a peer MLD that receives a TWT request that contains a Link ID Bitmap subfield in a TWT element shall respond with a TWT resp</w:t>
      </w:r>
      <w:r>
        <w:rPr>
          <w:sz w:val="20"/>
        </w:rPr>
        <w:t>onse that indicates the link(s) in the Link ID Bitmap field of a TWT element. The link(s), if present, in the TWT element carried in the TWT response, shall be the same as the link(s) indicated in the TWT element of the soliciting TWT request.</w:t>
      </w:r>
    </w:p>
    <w:p w14:paraId="61005F57" w14:textId="7016987C" w:rsidR="00FC58EE" w:rsidRPr="008847C8" w:rsidRDefault="00FC58EE" w:rsidP="00FC58EE">
      <w:pPr>
        <w:pStyle w:val="ab"/>
        <w:numPr>
          <w:ilvl w:val="0"/>
          <w:numId w:val="16"/>
        </w:numPr>
        <w:contextualSpacing w:val="0"/>
        <w:jc w:val="left"/>
        <w:rPr>
          <w:ins w:id="31" w:author="Ming Gan" w:date="2022-11-03T20:23:00Z"/>
          <w:rFonts w:eastAsia="宋体"/>
          <w:sz w:val="20"/>
          <w:lang w:eastAsia="zh-CN"/>
        </w:rPr>
      </w:pPr>
      <w:ins w:id="32" w:author="Ming Gan" w:date="2022-11-03T20:23:00Z">
        <w:r w:rsidRPr="008847C8">
          <w:rPr>
            <w:rFonts w:eastAsia="宋体"/>
            <w:sz w:val="20"/>
            <w:lang w:eastAsia="zh-CN"/>
          </w:rPr>
          <w:t xml:space="preserve">The Target Wake Time field of the TWT element shall be in reference to the TSF time of the link indicated by </w:t>
        </w:r>
      </w:ins>
      <w:ins w:id="33" w:author="Ming Gan" w:date="2022-11-04T08:16:00Z">
        <w:r w:rsidR="008847C8" w:rsidRPr="008847C8">
          <w:rPr>
            <w:sz w:val="20"/>
          </w:rPr>
          <w:t>the Link ID Bitmap field</w:t>
        </w:r>
        <w:r w:rsidR="008847C8" w:rsidRPr="008847C8">
          <w:rPr>
            <w:rFonts w:eastAsia="宋体"/>
            <w:sz w:val="20"/>
            <w:lang w:eastAsia="zh-CN"/>
          </w:rPr>
          <w:t xml:space="preserve"> of </w:t>
        </w:r>
      </w:ins>
      <w:ins w:id="34" w:author="Ming Gan" w:date="2022-11-03T20:23:00Z">
        <w:r w:rsidRPr="008847C8">
          <w:rPr>
            <w:rFonts w:eastAsia="宋体"/>
            <w:sz w:val="20"/>
            <w:lang w:eastAsia="zh-CN"/>
          </w:rPr>
          <w:t>the TWT element.</w:t>
        </w:r>
      </w:ins>
    </w:p>
    <w:p w14:paraId="20798BEA" w14:textId="77777777" w:rsidR="00FC58EE" w:rsidRPr="00FC58EE" w:rsidRDefault="00FC58EE" w:rsidP="0000687B">
      <w:pPr>
        <w:widowControl w:val="0"/>
        <w:autoSpaceDE w:val="0"/>
        <w:autoSpaceDN w:val="0"/>
        <w:adjustRightInd w:val="0"/>
        <w:jc w:val="left"/>
        <w:rPr>
          <w:ins w:id="35" w:author="Ming Gan" w:date="2022-11-03T20:22:00Z"/>
          <w:sz w:val="20"/>
        </w:rPr>
      </w:pPr>
      <w:bookmarkStart w:id="36" w:name="_GoBack"/>
      <w:bookmarkEnd w:id="36"/>
    </w:p>
    <w:p w14:paraId="1B0DC13B" w14:textId="77777777" w:rsidR="00FC58EE" w:rsidRDefault="00FC58EE" w:rsidP="0000687B">
      <w:pPr>
        <w:widowControl w:val="0"/>
        <w:autoSpaceDE w:val="0"/>
        <w:autoSpaceDN w:val="0"/>
        <w:adjustRightInd w:val="0"/>
        <w:jc w:val="left"/>
        <w:rPr>
          <w:sz w:val="20"/>
        </w:rPr>
      </w:pPr>
    </w:p>
    <w:p w14:paraId="40AEB842" w14:textId="77777777" w:rsidR="00303447" w:rsidRPr="002B1C83" w:rsidRDefault="00303447" w:rsidP="00303447">
      <w:pPr>
        <w:pStyle w:val="ab"/>
        <w:widowControl w:val="0"/>
        <w:numPr>
          <w:ilvl w:val="2"/>
          <w:numId w:val="17"/>
        </w:numPr>
        <w:tabs>
          <w:tab w:val="left" w:pos="773"/>
        </w:tabs>
        <w:kinsoku w:val="0"/>
        <w:overflowPunct w:val="0"/>
        <w:autoSpaceDE w:val="0"/>
        <w:autoSpaceDN w:val="0"/>
        <w:adjustRightInd w:val="0"/>
        <w:ind w:left="720"/>
        <w:jc w:val="left"/>
        <w:outlineLvl w:val="4"/>
        <w:rPr>
          <w:rFonts w:ascii="Arial" w:eastAsia="Times New Roman" w:hAnsi="Arial" w:cs="Arial"/>
          <w:b/>
          <w:bCs/>
          <w:spacing w:val="-2"/>
          <w:sz w:val="20"/>
        </w:rPr>
      </w:pPr>
      <w:r w:rsidRPr="002B1C83">
        <w:rPr>
          <w:rFonts w:ascii="Arial" w:eastAsia="Times New Roman" w:hAnsi="Arial" w:cs="Arial"/>
          <w:b/>
          <w:bCs/>
          <w:sz w:val="20"/>
        </w:rPr>
        <w:t>Block</w:t>
      </w:r>
      <w:r w:rsidRPr="002B1C83">
        <w:rPr>
          <w:rFonts w:ascii="Arial" w:eastAsia="Times New Roman" w:hAnsi="Arial" w:cs="Arial"/>
          <w:b/>
          <w:bCs/>
          <w:spacing w:val="-7"/>
          <w:sz w:val="20"/>
        </w:rPr>
        <w:t xml:space="preserve"> </w:t>
      </w:r>
      <w:r w:rsidRPr="002B1C83">
        <w:rPr>
          <w:rFonts w:ascii="Arial" w:eastAsia="Times New Roman" w:hAnsi="Arial" w:cs="Arial"/>
          <w:b/>
          <w:bCs/>
          <w:sz w:val="20"/>
        </w:rPr>
        <w:t>ack</w:t>
      </w:r>
      <w:r w:rsidRPr="002B1C83">
        <w:rPr>
          <w:rFonts w:ascii="Arial" w:eastAsia="Times New Roman" w:hAnsi="Arial" w:cs="Arial"/>
          <w:b/>
          <w:bCs/>
          <w:spacing w:val="-7"/>
          <w:sz w:val="20"/>
        </w:rPr>
        <w:t xml:space="preserve"> </w:t>
      </w:r>
      <w:r w:rsidRPr="002B1C83">
        <w:rPr>
          <w:rFonts w:ascii="Arial" w:eastAsia="Times New Roman" w:hAnsi="Arial" w:cs="Arial"/>
          <w:b/>
          <w:bCs/>
          <w:sz w:val="20"/>
        </w:rPr>
        <w:t>procedures</w:t>
      </w:r>
      <w:r w:rsidRPr="002B1C83">
        <w:rPr>
          <w:rFonts w:ascii="Arial" w:eastAsia="Times New Roman" w:hAnsi="Arial" w:cs="Arial"/>
          <w:b/>
          <w:bCs/>
          <w:spacing w:val="-7"/>
          <w:sz w:val="20"/>
        </w:rPr>
        <w:t xml:space="preserve"> </w:t>
      </w:r>
      <w:r w:rsidRPr="002B1C83">
        <w:rPr>
          <w:rFonts w:ascii="Arial" w:eastAsia="Times New Roman" w:hAnsi="Arial" w:cs="Arial"/>
          <w:b/>
          <w:bCs/>
          <w:sz w:val="20"/>
        </w:rPr>
        <w:t>in</w:t>
      </w:r>
      <w:r w:rsidRPr="002B1C83">
        <w:rPr>
          <w:rFonts w:ascii="Arial" w:eastAsia="Times New Roman" w:hAnsi="Arial" w:cs="Arial"/>
          <w:b/>
          <w:bCs/>
          <w:spacing w:val="-7"/>
          <w:sz w:val="20"/>
        </w:rPr>
        <w:t xml:space="preserve"> </w:t>
      </w:r>
      <w:r w:rsidRPr="002B1C83">
        <w:rPr>
          <w:rFonts w:ascii="Arial" w:eastAsia="Times New Roman" w:hAnsi="Arial" w:cs="Arial"/>
          <w:b/>
          <w:bCs/>
          <w:sz w:val="20"/>
        </w:rPr>
        <w:t>Multi-link</w:t>
      </w:r>
      <w:r w:rsidRPr="002B1C83">
        <w:rPr>
          <w:rFonts w:ascii="Arial" w:eastAsia="Times New Roman" w:hAnsi="Arial" w:cs="Arial"/>
          <w:b/>
          <w:bCs/>
          <w:spacing w:val="-6"/>
          <w:sz w:val="20"/>
        </w:rPr>
        <w:t xml:space="preserve"> </w:t>
      </w:r>
      <w:r w:rsidRPr="002B1C83">
        <w:rPr>
          <w:rFonts w:ascii="Arial" w:eastAsia="Times New Roman" w:hAnsi="Arial" w:cs="Arial"/>
          <w:b/>
          <w:bCs/>
          <w:spacing w:val="-2"/>
          <w:sz w:val="20"/>
        </w:rPr>
        <w:t>operation</w:t>
      </w:r>
    </w:p>
    <w:p w14:paraId="09DF80C4" w14:textId="77777777" w:rsidR="00303447" w:rsidRPr="001766BE" w:rsidRDefault="00303447" w:rsidP="00303447">
      <w:pPr>
        <w:widowControl w:val="0"/>
        <w:kinsoku w:val="0"/>
        <w:overflowPunct w:val="0"/>
        <w:autoSpaceDE w:val="0"/>
        <w:autoSpaceDN w:val="0"/>
        <w:adjustRightInd w:val="0"/>
        <w:spacing w:before="9"/>
        <w:rPr>
          <w:rFonts w:ascii="Arial" w:eastAsia="Times New Roman" w:hAnsi="Arial" w:cs="Arial"/>
          <w:b/>
          <w:bCs/>
          <w:sz w:val="21"/>
          <w:szCs w:val="21"/>
        </w:rPr>
      </w:pPr>
    </w:p>
    <w:p w14:paraId="5E5B88F0" w14:textId="40439CC1" w:rsidR="00303447" w:rsidRPr="001D23B7" w:rsidRDefault="00303447" w:rsidP="00303447">
      <w:pPr>
        <w:autoSpaceDE w:val="0"/>
        <w:autoSpaceDN w:val="0"/>
        <w:adjustRightInd w:val="0"/>
        <w:rPr>
          <w:b/>
          <w:bCs/>
          <w:i/>
          <w:iCs/>
          <w:sz w:val="20"/>
          <w:lang w:eastAsia="ko-KR"/>
        </w:rPr>
      </w:pPr>
      <w:r w:rsidRPr="001D23B7">
        <w:rPr>
          <w:b/>
          <w:bCs/>
          <w:i/>
          <w:iCs/>
          <w:sz w:val="20"/>
          <w:highlight w:val="yellow"/>
          <w:lang w:eastAsia="ko-KR"/>
        </w:rPr>
        <w:t xml:space="preserve">TGbe editor: Please </w:t>
      </w:r>
      <w:r>
        <w:rPr>
          <w:b/>
          <w:bCs/>
          <w:i/>
          <w:iCs/>
          <w:sz w:val="20"/>
          <w:highlight w:val="yellow"/>
          <w:u w:val="single"/>
          <w:lang w:eastAsia="ko-KR"/>
        </w:rPr>
        <w:t>update</w:t>
      </w:r>
      <w:r w:rsidRPr="001D23B7">
        <w:rPr>
          <w:b/>
          <w:bCs/>
          <w:i/>
          <w:iCs/>
          <w:sz w:val="20"/>
          <w:highlight w:val="yellow"/>
          <w:lang w:eastAsia="ko-KR"/>
        </w:rPr>
        <w:t xml:space="preserve"> the </w:t>
      </w:r>
      <w:r>
        <w:rPr>
          <w:b/>
          <w:bCs/>
          <w:i/>
          <w:iCs/>
          <w:sz w:val="20"/>
          <w:highlight w:val="yellow"/>
          <w:lang w:eastAsia="ko-KR"/>
        </w:rPr>
        <w:t xml:space="preserve">contents of this subclause as </w:t>
      </w:r>
      <w:r w:rsidRPr="001D23B7">
        <w:rPr>
          <w:b/>
          <w:bCs/>
          <w:i/>
          <w:iCs/>
          <w:sz w:val="20"/>
          <w:highlight w:val="yellow"/>
          <w:lang w:eastAsia="ko-KR"/>
        </w:rPr>
        <w:t>shown below</w:t>
      </w:r>
      <w:r>
        <w:rPr>
          <w:b/>
          <w:bCs/>
          <w:i/>
          <w:iCs/>
          <w:sz w:val="20"/>
          <w:lang w:eastAsia="ko-KR"/>
        </w:rPr>
        <w:t>:</w:t>
      </w:r>
      <w:ins w:id="37" w:author="Ming Gan" w:date="2022-11-06T11:58:00Z">
        <w:r w:rsidR="00DF1B3C">
          <w:rPr>
            <w:b/>
            <w:bCs/>
            <w:i/>
            <w:iCs/>
            <w:sz w:val="20"/>
            <w:lang w:eastAsia="ko-KR"/>
          </w:rPr>
          <w:t>(#13873)</w:t>
        </w:r>
      </w:ins>
    </w:p>
    <w:p w14:paraId="00FBD9E9" w14:textId="77777777" w:rsidR="00FC58EE" w:rsidRDefault="00FC58EE" w:rsidP="0000687B">
      <w:pPr>
        <w:widowControl w:val="0"/>
        <w:autoSpaceDE w:val="0"/>
        <w:autoSpaceDN w:val="0"/>
        <w:adjustRightInd w:val="0"/>
        <w:jc w:val="left"/>
        <w:rPr>
          <w:rFonts w:eastAsia="TimesNewRoman"/>
          <w:sz w:val="20"/>
        </w:rPr>
      </w:pPr>
    </w:p>
    <w:p w14:paraId="77C6DB1B" w14:textId="113DABE3" w:rsidR="00303447" w:rsidRDefault="00303447" w:rsidP="00303447">
      <w:pPr>
        <w:widowControl w:val="0"/>
        <w:autoSpaceDE w:val="0"/>
        <w:autoSpaceDN w:val="0"/>
        <w:adjustRightInd w:val="0"/>
        <w:jc w:val="left"/>
        <w:rPr>
          <w:ins w:id="38" w:author="Ming Gan" w:date="2022-11-06T10:21:00Z"/>
          <w:rFonts w:eastAsia="Times New Roman"/>
          <w:sz w:val="20"/>
        </w:rPr>
      </w:pPr>
      <w:r w:rsidRPr="00303447">
        <w:rPr>
          <w:rFonts w:eastAsia="Times New Roman"/>
          <w:sz w:val="20"/>
        </w:rPr>
        <w:t>A recipient MLD shall maintain a single common receive reordering buffer for each &lt;peer MLD, TID&gt; tuple under a block ack agreement, independent of the number of links that are setup. The receive reordering buffer shall be responsible for reordering MSDUs or A-MSDUs so that MSDUs or A-MSDUs are eventually passed up to the next MAC process in the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Pr>
          <w:rFonts w:eastAsia="Times New Roman"/>
          <w:sz w:val="20"/>
        </w:rPr>
        <w:t xml:space="preserve"> </w:t>
      </w:r>
      <w:r w:rsidRPr="00303447">
        <w:rPr>
          <w:rFonts w:eastAsia="Times New Roman"/>
          <w:sz w:val="20"/>
        </w:rPr>
        <w:t xml:space="preserve">(Receive reordering buffer control operation). Each received MPDU shall be analyzed by the scoreboard context control as well as by the receive reordering buffer control. </w:t>
      </w:r>
      <w:ins w:id="39" w:author="Ming Gan" w:date="2022-11-06T10:19:00Z">
        <w:r>
          <w:rPr>
            <w:rFonts w:eastAsia="Times New Roman"/>
            <w:sz w:val="20"/>
          </w:rPr>
          <w:t>For each</w:t>
        </w:r>
      </w:ins>
      <w:ins w:id="40" w:author="Ming Gan" w:date="2022-11-06T10:20:00Z">
        <w:r w:rsidRPr="00303447">
          <w:t xml:space="preserve"> </w:t>
        </w:r>
        <w:r w:rsidRPr="00303447">
          <w:rPr>
            <w:rFonts w:eastAsia="Times New Roman"/>
            <w:sz w:val="20"/>
          </w:rPr>
          <w:t>&lt;peer MLD, TID&gt; tuple under a block ack agreement,</w:t>
        </w:r>
      </w:ins>
      <w:ins w:id="41" w:author="Ming Gan" w:date="2022-11-06T10:19:00Z">
        <w:r>
          <w:rPr>
            <w:rFonts w:eastAsia="Times New Roman"/>
            <w:sz w:val="20"/>
          </w:rPr>
          <w:t xml:space="preserve"> </w:t>
        </w:r>
      </w:ins>
      <w:del w:id="42" w:author="Ming Gan" w:date="2022-11-06T10:20:00Z">
        <w:r w:rsidRPr="00303447" w:rsidDel="00303447">
          <w:rPr>
            <w:rFonts w:eastAsia="Times New Roman"/>
            <w:sz w:val="20"/>
          </w:rPr>
          <w:delText xml:space="preserve">A </w:delText>
        </w:r>
      </w:del>
      <w:ins w:id="43" w:author="Ming Gan" w:date="2022-11-06T10:20:00Z">
        <w:r>
          <w:rPr>
            <w:rFonts w:eastAsia="Times New Roman"/>
            <w:sz w:val="20"/>
          </w:rPr>
          <w:t>a</w:t>
        </w:r>
        <w:r w:rsidRPr="00303447">
          <w:rPr>
            <w:rFonts w:eastAsia="Times New Roman"/>
            <w:sz w:val="20"/>
          </w:rPr>
          <w:t xml:space="preserve"> </w:t>
        </w:r>
      </w:ins>
      <w:r w:rsidRPr="00303447">
        <w:rPr>
          <w:rFonts w:eastAsia="Times New Roman"/>
          <w:sz w:val="20"/>
        </w:rPr>
        <w:t xml:space="preserve">recipient MLD </w:t>
      </w:r>
      <w:del w:id="44" w:author="Ming Gan" w:date="2022-11-06T10:20:00Z">
        <w:r w:rsidRPr="00303447" w:rsidDel="00303447">
          <w:rPr>
            <w:rFonts w:eastAsia="Times New Roman"/>
            <w:sz w:val="20"/>
          </w:rPr>
          <w:delText xml:space="preserve">may </w:delText>
        </w:r>
      </w:del>
      <w:ins w:id="45" w:author="Ming Gan" w:date="2022-11-06T10:20:00Z">
        <w:r>
          <w:rPr>
            <w:rFonts w:eastAsia="Times New Roman"/>
            <w:sz w:val="20"/>
          </w:rPr>
          <w:t xml:space="preserve">shall </w:t>
        </w:r>
      </w:ins>
      <w:r w:rsidRPr="00303447">
        <w:rPr>
          <w:rFonts w:eastAsia="Times New Roman"/>
          <w:sz w:val="20"/>
        </w:rPr>
        <w:t xml:space="preserve">have </w:t>
      </w:r>
      <w:ins w:id="46" w:author="Ming Gan" w:date="2022-11-06T10:21:00Z">
        <w:r>
          <w:rPr>
            <w:rFonts w:eastAsia="Times New Roman"/>
            <w:spacing w:val="-2"/>
            <w:sz w:val="20"/>
          </w:rPr>
          <w:t>one</w:t>
        </w:r>
      </w:ins>
      <w:ins w:id="47" w:author="Ming Gan" w:date="2022-11-06T11:12:00Z">
        <w:r w:rsidR="00383504">
          <w:rPr>
            <w:rFonts w:eastAsia="Times New Roman"/>
            <w:spacing w:val="-2"/>
            <w:sz w:val="20"/>
          </w:rPr>
          <w:t xml:space="preserve"> or both</w:t>
        </w:r>
      </w:ins>
      <w:ins w:id="48" w:author="Ming Gan" w:date="2022-11-06T10:21:00Z">
        <w:r>
          <w:rPr>
            <w:rFonts w:eastAsia="Times New Roman"/>
            <w:spacing w:val="-2"/>
            <w:sz w:val="20"/>
          </w:rPr>
          <w:t xml:space="preserve"> of the following modes of operation:</w:t>
        </w:r>
      </w:ins>
    </w:p>
    <w:p w14:paraId="5D1567B4" w14:textId="6F257796" w:rsidR="00303447" w:rsidRPr="00303447" w:rsidRDefault="00DF1B3C" w:rsidP="00DF1B3C">
      <w:pPr>
        <w:pStyle w:val="ab"/>
        <w:widowControl w:val="0"/>
        <w:numPr>
          <w:ilvl w:val="0"/>
          <w:numId w:val="18"/>
        </w:numPr>
        <w:autoSpaceDE w:val="0"/>
        <w:autoSpaceDN w:val="0"/>
        <w:adjustRightInd w:val="0"/>
        <w:jc w:val="left"/>
        <w:rPr>
          <w:ins w:id="49" w:author="Ming Gan" w:date="2022-11-06T10:21:00Z"/>
          <w:rFonts w:eastAsia="TimesNewRoman"/>
          <w:sz w:val="20"/>
        </w:rPr>
      </w:pPr>
      <w:ins w:id="50" w:author="Ming Gan" w:date="2022-11-06T11:59:00Z">
        <w:r w:rsidRPr="00DF1B3C">
          <w:rPr>
            <w:rFonts w:eastAsia="Times New Roman"/>
            <w:sz w:val="20"/>
          </w:rPr>
          <w:t>Maintain</w:t>
        </w:r>
      </w:ins>
      <w:ins w:id="51" w:author="Ming Gan" w:date="2022-11-06T10:22:00Z">
        <w:r w:rsidR="00303447" w:rsidRPr="00DF1B3C">
          <w:rPr>
            <w:rFonts w:eastAsia="Times New Roman"/>
            <w:sz w:val="20"/>
          </w:rPr>
          <w:t xml:space="preserve"> an </w:t>
        </w:r>
      </w:ins>
      <w:r w:rsidR="00303447" w:rsidRPr="00DF1B3C">
        <w:rPr>
          <w:rFonts w:eastAsia="Times New Roman"/>
          <w:sz w:val="20"/>
        </w:rPr>
        <w:t xml:space="preserve">independent scoreboard context control in each setup link </w:t>
      </w:r>
      <w:del w:id="52" w:author="Ming Gan" w:date="2022-11-06T10:23:00Z">
        <w:r w:rsidR="00303447" w:rsidRPr="00DF1B3C" w:rsidDel="00303447">
          <w:rPr>
            <w:rFonts w:eastAsia="Times New Roman"/>
            <w:sz w:val="20"/>
          </w:rPr>
          <w:delText xml:space="preserve">during </w:delText>
        </w:r>
      </w:del>
      <w:ins w:id="53" w:author="Ming Gan" w:date="2022-11-06T11:00:00Z">
        <w:r w:rsidR="00ED7B0E" w:rsidRPr="00DF1B3C">
          <w:rPr>
            <w:rFonts w:eastAsia="Times New Roman"/>
            <w:sz w:val="20"/>
          </w:rPr>
          <w:t>only using</w:t>
        </w:r>
      </w:ins>
      <w:ins w:id="54" w:author="Ming Gan" w:date="2022-11-06T10:23:00Z">
        <w:r w:rsidR="00303447" w:rsidRPr="00DF1B3C">
          <w:rPr>
            <w:rFonts w:eastAsia="Times New Roman"/>
            <w:sz w:val="20"/>
          </w:rPr>
          <w:t xml:space="preserve"> </w:t>
        </w:r>
      </w:ins>
      <w:r w:rsidR="00303447" w:rsidRPr="00DF1B3C">
        <w:rPr>
          <w:rFonts w:eastAsia="Times New Roman"/>
          <w:sz w:val="20"/>
        </w:rPr>
        <w:t>partial state operation</w:t>
      </w:r>
      <w:del w:id="55" w:author="Ming Gan" w:date="2022-11-06T10:23:00Z">
        <w:r w:rsidR="00303447" w:rsidRPr="00DF1B3C" w:rsidDel="00303447">
          <w:rPr>
            <w:rFonts w:eastAsia="Times New Roman"/>
            <w:sz w:val="20"/>
          </w:rPr>
          <w:delText xml:space="preserve"> for each &lt;peer MLD, TID&gt; tuple under a block ack agreement</w:delText>
        </w:r>
      </w:del>
      <w:r w:rsidR="00303447" w:rsidRPr="00DF1B3C">
        <w:rPr>
          <w:rFonts w:eastAsia="Times New Roman"/>
          <w:sz w:val="20"/>
        </w:rPr>
        <w:t>.</w:t>
      </w:r>
      <w:ins w:id="56" w:author="Ming Gan" w:date="2022-11-06T11:33:00Z">
        <w:r w:rsidR="00C37213" w:rsidRPr="00DF1B3C">
          <w:rPr>
            <w:rFonts w:eastAsia="Times New Roman"/>
            <w:sz w:val="20"/>
          </w:rPr>
          <w:t xml:space="preserve"> </w:t>
        </w:r>
      </w:ins>
      <w:ins w:id="57" w:author="Ming Gan" w:date="2022-11-06T11:56:00Z">
        <w:r>
          <w:rPr>
            <w:rFonts w:eastAsia="Times New Roman"/>
            <w:sz w:val="20"/>
          </w:rPr>
          <w:t>T</w:t>
        </w:r>
      </w:ins>
      <w:ins w:id="58" w:author="Ming Gan" w:date="2022-11-06T11:48:00Z">
        <w:r w:rsidR="000501DC" w:rsidRPr="00DF1B3C">
          <w:rPr>
            <w:rFonts w:eastAsia="Times New Roman"/>
            <w:sz w:val="20"/>
          </w:rPr>
          <w:t xml:space="preserve">he bitmap corresponding to each scoreboard context control </w:t>
        </w:r>
      </w:ins>
      <w:ins w:id="59" w:author="Ming Gan" w:date="2022-11-06T11:49:00Z">
        <w:r w:rsidR="000501DC" w:rsidRPr="00DF1B3C">
          <w:rPr>
            <w:rFonts w:eastAsia="Times New Roman"/>
            <w:sz w:val="20"/>
          </w:rPr>
          <w:t xml:space="preserve">shall </w:t>
        </w:r>
      </w:ins>
      <w:ins w:id="60" w:author="Ming Gan" w:date="2022-11-06T11:57:00Z">
        <w:r>
          <w:rPr>
            <w:rFonts w:eastAsia="Times New Roman"/>
            <w:sz w:val="20"/>
          </w:rPr>
          <w:t xml:space="preserve">have the same size </w:t>
        </w:r>
        <w:r w:rsidRPr="00DF1B3C">
          <w:rPr>
            <w:rFonts w:eastAsia="Times New Roman"/>
            <w:i/>
            <w:iCs/>
            <w:sz w:val="20"/>
            <w:lang w:val="en-US"/>
          </w:rPr>
          <w:t>WinSizeR</w:t>
        </w:r>
      </w:ins>
      <w:ins w:id="61" w:author="Ming Gan" w:date="2022-11-06T11:53:00Z">
        <w:r w:rsidR="000501DC" w:rsidRPr="00DF1B3C">
          <w:rPr>
            <w:rFonts w:eastAsia="Times New Roman"/>
            <w:sz w:val="20"/>
          </w:rPr>
          <w:t xml:space="preserve">, which is set to the smaller of BitmapLength and </w:t>
        </w:r>
      </w:ins>
      <w:ins w:id="62" w:author="Ming Gan" w:date="2022-11-06T11:55:00Z">
        <w:r w:rsidRPr="00DF1B3C">
          <w:rPr>
            <w:rFonts w:eastAsia="Times New Roman"/>
            <w:sz w:val="20"/>
          </w:rPr>
          <w:t>buffer size indicated in the ADDBA Response frame</w:t>
        </w:r>
      </w:ins>
      <w:ins w:id="63" w:author="Ming Gan" w:date="2022-11-06T11:57:00Z">
        <w:r>
          <w:rPr>
            <w:rFonts w:eastAsia="Times New Roman"/>
            <w:sz w:val="20"/>
          </w:rPr>
          <w:t>.</w:t>
        </w:r>
      </w:ins>
    </w:p>
    <w:p w14:paraId="63D2E60E" w14:textId="40AFC0F1" w:rsidR="00303447" w:rsidRPr="00445C21" w:rsidRDefault="00DF1B3C" w:rsidP="00383504">
      <w:pPr>
        <w:pStyle w:val="ab"/>
        <w:widowControl w:val="0"/>
        <w:numPr>
          <w:ilvl w:val="0"/>
          <w:numId w:val="18"/>
        </w:numPr>
        <w:suppressAutoHyphens/>
        <w:kinsoku w:val="0"/>
        <w:overflowPunct w:val="0"/>
        <w:autoSpaceDE w:val="0"/>
        <w:autoSpaceDN w:val="0"/>
        <w:adjustRightInd w:val="0"/>
        <w:spacing w:before="1" w:line="247" w:lineRule="auto"/>
        <w:rPr>
          <w:ins w:id="64" w:author="Ming Gan" w:date="2022-11-06T10:21:00Z"/>
          <w:rFonts w:eastAsia="Times New Roman"/>
          <w:spacing w:val="-2"/>
          <w:sz w:val="20"/>
        </w:rPr>
      </w:pPr>
      <w:ins w:id="65" w:author="Ming Gan" w:date="2022-11-06T11:59:00Z">
        <w:r w:rsidRPr="00445C21">
          <w:rPr>
            <w:rFonts w:eastAsia="Times New Roman"/>
            <w:spacing w:val="-2"/>
            <w:sz w:val="20"/>
          </w:rPr>
          <w:t>Have</w:t>
        </w:r>
      </w:ins>
      <w:ins w:id="66" w:author="Ming Gan" w:date="2022-11-06T10:21:00Z">
        <w:r w:rsidR="00303447" w:rsidRPr="00445C21">
          <w:rPr>
            <w:rFonts w:eastAsia="Times New Roman"/>
            <w:spacing w:val="-2"/>
            <w:sz w:val="20"/>
          </w:rPr>
          <w:t xml:space="preserve"> a common (single) scoreboard context control</w:t>
        </w:r>
      </w:ins>
      <w:ins w:id="67" w:author="Ming Gan" w:date="2022-11-06T11:16:00Z">
        <w:r w:rsidR="00383504">
          <w:rPr>
            <w:rFonts w:eastAsia="Times New Roman"/>
            <w:spacing w:val="-2"/>
            <w:sz w:val="20"/>
          </w:rPr>
          <w:t xml:space="preserve"> </w:t>
        </w:r>
      </w:ins>
      <w:ins w:id="68" w:author="Ming Gan" w:date="2022-11-06T10:21:00Z">
        <w:r w:rsidR="00303447" w:rsidRPr="00445C21">
          <w:rPr>
            <w:rFonts w:eastAsia="Times New Roman"/>
            <w:spacing w:val="-2"/>
            <w:sz w:val="20"/>
          </w:rPr>
          <w:t>maintained by the MLD</w:t>
        </w:r>
      </w:ins>
      <w:ins w:id="69" w:author="Ming Gan" w:date="2022-11-06T11:12:00Z">
        <w:r w:rsidR="00383504">
          <w:rPr>
            <w:rFonts w:eastAsia="Times New Roman"/>
            <w:spacing w:val="-2"/>
            <w:sz w:val="20"/>
          </w:rPr>
          <w:t xml:space="preserve"> using </w:t>
        </w:r>
      </w:ins>
      <w:ins w:id="70" w:author="Stephen McCann" w:date="2022-11-11T13:51:00Z">
        <w:r w:rsidR="00C143AF">
          <w:rPr>
            <w:rFonts w:eastAsia="Times New Roman"/>
            <w:spacing w:val="-2"/>
            <w:sz w:val="20"/>
          </w:rPr>
          <w:t xml:space="preserve">either </w:t>
        </w:r>
      </w:ins>
      <w:ins w:id="71" w:author="Ming Gan" w:date="2022-11-06T11:13:00Z">
        <w:r w:rsidR="00383504" w:rsidRPr="00383504">
          <w:rPr>
            <w:rFonts w:eastAsia="Times New Roman"/>
            <w:spacing w:val="-2"/>
            <w:sz w:val="20"/>
          </w:rPr>
          <w:t xml:space="preserve">partial state </w:t>
        </w:r>
        <w:r w:rsidR="00383504">
          <w:rPr>
            <w:rFonts w:eastAsia="Times New Roman"/>
            <w:spacing w:val="-2"/>
            <w:sz w:val="20"/>
          </w:rPr>
          <w:t>or full state operation</w:t>
        </w:r>
      </w:ins>
      <w:ins w:id="72" w:author="Ming Gan" w:date="2022-11-06T11:01:00Z">
        <w:r w:rsidR="00ED7B0E">
          <w:rPr>
            <w:rFonts w:asciiTheme="minorEastAsia" w:hAnsiTheme="minorEastAsia" w:hint="eastAsia"/>
            <w:spacing w:val="-2"/>
            <w:sz w:val="20"/>
            <w:lang w:eastAsia="zh-CN"/>
          </w:rPr>
          <w:t>.</w:t>
        </w:r>
      </w:ins>
      <w:ins w:id="73" w:author="Ming Gan" w:date="2022-11-06T10:21:00Z">
        <w:r w:rsidR="00303447" w:rsidRPr="00445C21">
          <w:rPr>
            <w:rFonts w:eastAsia="Times New Roman"/>
            <w:spacing w:val="-2"/>
            <w:sz w:val="20"/>
          </w:rPr>
          <w:t xml:space="preserve"> </w:t>
        </w:r>
      </w:ins>
    </w:p>
    <w:p w14:paraId="01D2F1CD" w14:textId="77777777" w:rsidR="00303447" w:rsidRPr="00303447" w:rsidRDefault="00303447" w:rsidP="00303447">
      <w:pPr>
        <w:pStyle w:val="ab"/>
        <w:widowControl w:val="0"/>
        <w:numPr>
          <w:ilvl w:val="0"/>
          <w:numId w:val="18"/>
        </w:numPr>
        <w:autoSpaceDE w:val="0"/>
        <w:autoSpaceDN w:val="0"/>
        <w:adjustRightInd w:val="0"/>
        <w:jc w:val="left"/>
        <w:rPr>
          <w:rFonts w:eastAsia="TimesNewRoman"/>
          <w:sz w:val="20"/>
        </w:rPr>
      </w:pPr>
    </w:p>
    <w:sectPr w:rsidR="00303447" w:rsidRPr="00303447"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B7D49" w14:textId="77777777" w:rsidR="002C30ED" w:rsidRDefault="002C30ED">
      <w:r>
        <w:separator/>
      </w:r>
    </w:p>
  </w:endnote>
  <w:endnote w:type="continuationSeparator" w:id="0">
    <w:p w14:paraId="1654E80C" w14:textId="77777777" w:rsidR="002C30ED" w:rsidRDefault="002C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Arial"/>
    <w:panose1 w:val="00000000000000000000"/>
    <w:charset w:val="00"/>
    <w:family w:val="auto"/>
    <w:notTrueType/>
    <w:pitch w:val="default"/>
    <w:sig w:usb0="00000003" w:usb1="080F0000" w:usb2="00000010" w:usb3="00000000" w:csb0="00060001" w:csb1="00000000"/>
  </w:font>
  <w:font w:name="TimesNewRoman,Bold">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6E569D">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105A3D">
      <w:rPr>
        <w:noProof/>
      </w:rPr>
      <w:t>8</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5C741" w14:textId="77777777" w:rsidR="002C30ED" w:rsidRDefault="002C30ED">
      <w:r>
        <w:separator/>
      </w:r>
    </w:p>
  </w:footnote>
  <w:footnote w:type="continuationSeparator" w:id="0">
    <w:p w14:paraId="1175A8F9" w14:textId="77777777" w:rsidR="002C30ED" w:rsidRDefault="002C3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927EDBB" w:rsidR="007205AE" w:rsidRDefault="007205AE">
    <w:pPr>
      <w:pStyle w:val="a5"/>
      <w:tabs>
        <w:tab w:val="clear" w:pos="6480"/>
        <w:tab w:val="center" w:pos="4680"/>
        <w:tab w:val="right" w:pos="9360"/>
      </w:tabs>
      <w:rPr>
        <w:lang w:eastAsia="zh-CN"/>
      </w:rPr>
    </w:pPr>
    <w:r>
      <w:rPr>
        <w:lang w:eastAsia="zh-CN"/>
      </w:rPr>
      <w:t>Oct</w:t>
    </w:r>
    <w:r>
      <w:t>.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EA5CC4">
      <w:rPr>
        <w:lang w:eastAsia="zh-CN"/>
      </w:rPr>
      <w:t>1881</w:t>
    </w:r>
    <w:r w:rsidRPr="00F545A8">
      <w:rPr>
        <w:lang w:eastAsia="ko-KR"/>
      </w:rPr>
      <w:t>r</w:t>
    </w:r>
    <w:r w:rsidRPr="00F545A8">
      <w:rPr>
        <w:lang w:eastAsia="ko-KR"/>
      </w:rPr>
      <w:fldChar w:fldCharType="end"/>
    </w:r>
    <w:r w:rsidR="00105A3D">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AE41D00"/>
    <w:multiLevelType w:val="hybridMultilevel"/>
    <w:tmpl w:val="982437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7F74AB2"/>
    <w:multiLevelType w:val="hybridMultilevel"/>
    <w:tmpl w:val="3BB03DA4"/>
    <w:lvl w:ilvl="0" w:tplc="5A70DBEA">
      <w:numFmt w:val="bullet"/>
      <w:lvlText w:val="•"/>
      <w:lvlJc w:val="left"/>
      <w:pPr>
        <w:ind w:left="1140" w:hanging="420"/>
      </w:pPr>
      <w:rPr>
        <w:rFonts w:ascii="Times New Roman" w:hAnsi="Times New Roman" w:hint="default"/>
      </w:rPr>
    </w:lvl>
    <w:lvl w:ilvl="1" w:tplc="39B6861E">
      <w:start w:val="1"/>
      <w:numFmt w:val="bullet"/>
      <w:lvlText w:val="•"/>
      <w:lvlJc w:val="left"/>
      <w:pPr>
        <w:ind w:left="1560" w:hanging="420"/>
      </w:pPr>
      <w:rPr>
        <w:rFonts w:ascii="Arial" w:hAnsi="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79E22E91"/>
    <w:multiLevelType w:val="hybridMultilevel"/>
    <w:tmpl w:val="364EA1B6"/>
    <w:lvl w:ilvl="0" w:tplc="C576E2E4">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8"/>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3"/>
  </w:num>
  <w:num w:numId="14">
    <w:abstractNumId w:val="7"/>
  </w:num>
  <w:num w:numId="15">
    <w:abstractNumId w:val="8"/>
  </w:num>
  <w:num w:numId="16">
    <w:abstractNumId w:val="16"/>
  </w:num>
  <w:num w:numId="17">
    <w:abstractNumId w:val="12"/>
  </w:num>
  <w:num w:numId="18">
    <w:abstractNumId w:val="17"/>
  </w:num>
  <w:num w:numId="19">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147214757-305610072-1517763936-7933830"/>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687B"/>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1B"/>
    <w:rsid w:val="00026850"/>
    <w:rsid w:val="00031D5C"/>
    <w:rsid w:val="000335ED"/>
    <w:rsid w:val="00034315"/>
    <w:rsid w:val="00034E96"/>
    <w:rsid w:val="00035AE8"/>
    <w:rsid w:val="000371D3"/>
    <w:rsid w:val="0003771E"/>
    <w:rsid w:val="00037F35"/>
    <w:rsid w:val="000423B2"/>
    <w:rsid w:val="00042854"/>
    <w:rsid w:val="00044B62"/>
    <w:rsid w:val="0004755E"/>
    <w:rsid w:val="000501DC"/>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5A3D"/>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B94"/>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1535"/>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99F"/>
    <w:rsid w:val="002B36AF"/>
    <w:rsid w:val="002B3890"/>
    <w:rsid w:val="002B436C"/>
    <w:rsid w:val="002B6510"/>
    <w:rsid w:val="002B7268"/>
    <w:rsid w:val="002C3043"/>
    <w:rsid w:val="002C30ED"/>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447"/>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504"/>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EA8"/>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57DC3"/>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F23"/>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569D"/>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278"/>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7C8"/>
    <w:rsid w:val="00884F8A"/>
    <w:rsid w:val="0088556F"/>
    <w:rsid w:val="0089041F"/>
    <w:rsid w:val="00891193"/>
    <w:rsid w:val="00892294"/>
    <w:rsid w:val="00892C49"/>
    <w:rsid w:val="00893A01"/>
    <w:rsid w:val="008941A4"/>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0C90"/>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58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663"/>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285E"/>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1E36"/>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0504"/>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03A"/>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5BD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10B72"/>
    <w:rsid w:val="00C11F0E"/>
    <w:rsid w:val="00C126CD"/>
    <w:rsid w:val="00C1351A"/>
    <w:rsid w:val="00C14144"/>
    <w:rsid w:val="00C142AD"/>
    <w:rsid w:val="00C143AF"/>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213"/>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67A41"/>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2A35"/>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1CA"/>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B3C"/>
    <w:rsid w:val="00DF1E03"/>
    <w:rsid w:val="00DF32A1"/>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734"/>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5C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D7B0E"/>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B1"/>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364C5"/>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FCF"/>
    <w:rsid w:val="00FC4212"/>
    <w:rsid w:val="00FC4D36"/>
    <w:rsid w:val="00FC58EE"/>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87B"/>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01417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58083578">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928338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170890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778171">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389609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6677106">
      <w:bodyDiv w:val="1"/>
      <w:marLeft w:val="0"/>
      <w:marRight w:val="0"/>
      <w:marTop w:val="0"/>
      <w:marBottom w:val="0"/>
      <w:divBdr>
        <w:top w:val="none" w:sz="0" w:space="0" w:color="auto"/>
        <w:left w:val="none" w:sz="0" w:space="0" w:color="auto"/>
        <w:bottom w:val="none" w:sz="0" w:space="0" w:color="auto"/>
        <w:right w:val="none" w:sz="0" w:space="0" w:color="auto"/>
      </w:divBdr>
    </w:div>
    <w:div w:id="860317118">
      <w:bodyDiv w:val="1"/>
      <w:marLeft w:val="0"/>
      <w:marRight w:val="0"/>
      <w:marTop w:val="0"/>
      <w:marBottom w:val="0"/>
      <w:divBdr>
        <w:top w:val="none" w:sz="0" w:space="0" w:color="auto"/>
        <w:left w:val="none" w:sz="0" w:space="0" w:color="auto"/>
        <w:bottom w:val="none" w:sz="0" w:space="0" w:color="auto"/>
        <w:right w:val="none" w:sz="0" w:space="0" w:color="auto"/>
      </w:divBdr>
    </w:div>
    <w:div w:id="874971851">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0573892">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7456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225865">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A034C82-A716-42A7-8761-EB26A109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2104</Words>
  <Characters>11995</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2022-11-12T08:04:00Z</dcterms:created>
  <dcterms:modified xsi:type="dcterms:W3CDTF">2022-11-12T08:04:00Z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(3)laa75S18mjaDiaSxzMscTH/Qck4sMFrOlmwkXtUGbv5euWEFJQME465OnRth/yUGRrr0ceAE
cO/3uBXuq0ojqeuVrtXpI+RJW+0gjMWxsXncJB2Mm77lnJaFtDnSzzp3cWpjml6bnB8YAkKt
IwK61PXOHsK/ispNmh17yVbCWSjWINcy+nVqR5E3HeTaStRb61pLzXec+BgIP2LbWkx6YbHy
ZC/Alo6w8ryCs3tZ3W</vt:lpwstr>
  </property>
  <property fmtid="{D5CDD505-2E9C-101B-9397-08002B2CF9AE}" pid="7" name="_2015_ms_pID_7253431">
    <vt:lpwstr>Gn8Xu/wOewFu23e88Ze/vJ0GMg90z+fp2RU0oO/AoRTUlBnuEoAiHn
MVS8aJJwKghK+IOyFLGpLAyRTjDGDCwHdsIGxY+liaWgFPZARTBoptZ9PAjiPp+ZQSKfQ+3T
d3hLB0Htrv3mfplOenUax+6TN2IXZ24zoy90oPT1meMUJMSvLb1fIpf28gexxdBAz4y2uqp5
Ef/paHIRVzFIifd2mimSYK25JwXofHpxZhIn</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a5lpfsUBGikQUpPz6EF+2Hw=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1668148808</vt:lpwstr>
  </property>
</Properties>
</file>